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Home Building Contracts Act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_Toc22915153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_Toc22915154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_Toc22915155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Home building work contracts</w:t>
      </w:r>
    </w:p>
    <w:p>
      <w:pPr>
        <w:pStyle w:val="TOC8"/>
        <w:rPr>
          <w:rFonts w:asciiTheme="minorHAnsi" w:eastAsiaTheme="minorEastAsia" w:hAnsiTheme="minorHAnsi" w:cstheme="minorBidi"/>
          <w:szCs w:val="22"/>
        </w:rPr>
      </w:pPr>
      <w:r>
        <w:t>4</w:t>
      </w:r>
      <w:r>
        <w:rPr>
          <w:snapToGrid w:val="0"/>
        </w:rPr>
        <w:t>.</w:t>
      </w:r>
      <w:r>
        <w:rPr>
          <w:snapToGrid w:val="0"/>
        </w:rPr>
        <w:tab/>
        <w:t>Contracts to be in writing; prescribed explanatory notice to be given</w:t>
      </w:r>
      <w:r>
        <w:tab/>
      </w:r>
      <w:r>
        <w:fldChar w:fldCharType="begin"/>
      </w:r>
      <w:r>
        <w:instrText xml:space="preserve"> PAGEREF _Toc22915157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Owner to be given copy of contract</w:t>
      </w:r>
      <w:r>
        <w:tab/>
      </w:r>
      <w:r>
        <w:fldChar w:fldCharType="begin"/>
      </w:r>
      <w:r>
        <w:instrText xml:space="preserve"> PAGEREF _Toc22915158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Receipt of documents by owner, proof of</w:t>
      </w:r>
      <w:r>
        <w:tab/>
      </w:r>
      <w:r>
        <w:fldChar w:fldCharType="begin"/>
      </w:r>
      <w:r>
        <w:instrText xml:space="preserve"> PAGEREF _Toc22915159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Variation of contract to be in writing and given to owner</w:t>
      </w:r>
      <w:r>
        <w:tab/>
      </w:r>
      <w:r>
        <w:fldChar w:fldCharType="begin"/>
      </w:r>
      <w:r>
        <w:instrText xml:space="preserve"> PAGEREF _Toc22915160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7 and related provisions</w:t>
      </w:r>
      <w:r>
        <w:tab/>
      </w:r>
      <w:r>
        <w:fldChar w:fldCharType="begin"/>
      </w:r>
      <w:r>
        <w:instrText xml:space="preserve"> PAGEREF _Toc22915161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Building permit etc., implied conditions and terms as to</w:t>
      </w:r>
      <w:r>
        <w:tab/>
      </w:r>
      <w:r>
        <w:fldChar w:fldCharType="begin"/>
      </w:r>
      <w:r>
        <w:instrText xml:space="preserve"> PAGEREF _Toc22915162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Deposits and progress payments, limits on terms as to</w:t>
      </w:r>
      <w:r>
        <w:tab/>
      </w:r>
      <w:r>
        <w:fldChar w:fldCharType="begin"/>
      </w:r>
      <w:r>
        <w:instrText xml:space="preserve"> PAGEREF _Toc22915163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Defects, implied condition as to liability for</w:t>
      </w:r>
      <w:r>
        <w:tab/>
      </w:r>
      <w:r>
        <w:fldChar w:fldCharType="begin"/>
      </w:r>
      <w:r>
        <w:instrText xml:space="preserve"> PAGEREF _Toc22915164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Understatement of prime cost items etc. by builder, offence</w:t>
      </w:r>
      <w:r>
        <w:tab/>
      </w:r>
      <w:r>
        <w:fldChar w:fldCharType="begin"/>
      </w:r>
      <w:r>
        <w:instrText xml:space="preserve"> PAGEREF _Toc22915165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_Toc22915166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Cost plus contracts, requirements as to</w:t>
      </w:r>
      <w:r>
        <w:tab/>
      </w:r>
      <w:r>
        <w:fldChar w:fldCharType="begin"/>
      </w:r>
      <w:r>
        <w:instrText xml:space="preserve"> PAGEREF _Toc22915167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Unconscionable etc. conduct by builder as to contract etc.</w:t>
      </w:r>
      <w:r>
        <w:tab/>
      </w:r>
      <w:r>
        <w:fldChar w:fldCharType="begin"/>
      </w:r>
      <w:r>
        <w:instrText xml:space="preserve"> PAGEREF _Toc22915168 \h </w:instrText>
      </w:r>
      <w:r>
        <w:fldChar w:fldCharType="separate"/>
      </w:r>
      <w:r>
        <w:t>15</w:t>
      </w:r>
      <w:r>
        <w:fldChar w:fldCharType="end"/>
      </w:r>
    </w:p>
    <w:p>
      <w:pPr>
        <w:pStyle w:val="TOC8"/>
        <w:rPr>
          <w:rFonts w:asciiTheme="minorHAnsi" w:eastAsiaTheme="minorEastAsia" w:hAnsiTheme="minorHAnsi" w:cstheme="minorBidi"/>
          <w:szCs w:val="22"/>
        </w:rPr>
      </w:pPr>
      <w:r>
        <w:t>15A.</w:t>
      </w:r>
      <w:r>
        <w:tab/>
        <w:t>Misleading or deceptive conduct by builder or owner as to contract</w:t>
      </w:r>
      <w:r>
        <w:tab/>
      </w:r>
      <w:r>
        <w:fldChar w:fldCharType="begin"/>
      </w:r>
      <w:r>
        <w:instrText xml:space="preserve"> PAGEREF _Toc22915169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Remedies</w:t>
      </w:r>
    </w:p>
    <w:p>
      <w:pPr>
        <w:pStyle w:val="TOC8"/>
        <w:rPr>
          <w:rFonts w:asciiTheme="minorHAnsi" w:eastAsiaTheme="minorEastAsia" w:hAnsiTheme="minorHAnsi" w:cstheme="minorBidi"/>
          <w:szCs w:val="22"/>
        </w:rPr>
      </w:pPr>
      <w:r>
        <w:t>17.</w:t>
      </w:r>
      <w:r>
        <w:tab/>
        <w:t>Breach of contract or Part 2, or entitlement to compensation, procedure in case of</w:t>
      </w:r>
      <w:r>
        <w:tab/>
      </w:r>
      <w:r>
        <w:fldChar w:fldCharType="begin"/>
      </w:r>
      <w:r>
        <w:instrText xml:space="preserve"> PAGEREF _Toc22915171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contract terminated</w:t>
      </w:r>
      <w:r>
        <w:tab/>
      </w:r>
      <w:r>
        <w:fldChar w:fldCharType="begin"/>
      </w:r>
      <w:r>
        <w:instrText xml:space="preserve"> PAGEREF _Toc22915172 \h </w:instrText>
      </w:r>
      <w:r>
        <w:fldChar w:fldCharType="separate"/>
      </w:r>
      <w:r>
        <w:t>18</w:t>
      </w:r>
      <w:r>
        <w:fldChar w:fldCharType="end"/>
      </w:r>
    </w:p>
    <w:p>
      <w:pPr>
        <w:pStyle w:val="TOC8"/>
        <w:rPr>
          <w:rFonts w:asciiTheme="minorHAnsi" w:eastAsiaTheme="minorEastAsia" w:hAnsiTheme="minorHAnsi" w:cstheme="minorBidi"/>
          <w:szCs w:val="22"/>
        </w:rPr>
      </w:pPr>
      <w:r>
        <w:t>20.</w:t>
      </w:r>
      <w:r>
        <w:tab/>
        <w:t>Adjustment of rights in certain cases</w:t>
      </w:r>
      <w:r>
        <w:tab/>
      </w:r>
      <w:r>
        <w:fldChar w:fldCharType="begin"/>
      </w:r>
      <w:r>
        <w:instrText xml:space="preserve"> PAGEREF _Toc22915173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3A — Home indemnity insurance and corresponding cover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25A</w:t>
      </w:r>
      <w:r>
        <w:rPr>
          <w:snapToGrid w:val="0"/>
        </w:rPr>
        <w:t>.</w:t>
      </w:r>
      <w:r>
        <w:rPr>
          <w:snapToGrid w:val="0"/>
        </w:rPr>
        <w:tab/>
        <w:t>Terms used</w:t>
      </w:r>
      <w:r>
        <w:tab/>
      </w:r>
      <w:r>
        <w:fldChar w:fldCharType="begin"/>
      </w:r>
      <w:r>
        <w:instrText xml:space="preserve"> PAGEREF _Toc22915176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Builders</w:t>
      </w:r>
    </w:p>
    <w:p>
      <w:pPr>
        <w:pStyle w:val="TOC8"/>
        <w:rPr>
          <w:rFonts w:asciiTheme="minorHAnsi" w:eastAsiaTheme="minorEastAsia" w:hAnsiTheme="minorHAnsi" w:cstheme="minorBidi"/>
          <w:szCs w:val="22"/>
        </w:rPr>
      </w:pPr>
      <w:r>
        <w:t>25B</w:t>
      </w:r>
      <w:r>
        <w:rPr>
          <w:snapToGrid w:val="0"/>
        </w:rPr>
        <w:t xml:space="preserve">. </w:t>
      </w:r>
      <w:r>
        <w:rPr>
          <w:snapToGrid w:val="0"/>
        </w:rPr>
        <w:tab/>
        <w:t>Application of this Division</w:t>
      </w:r>
      <w:r>
        <w:tab/>
      </w:r>
      <w:r>
        <w:fldChar w:fldCharType="begin"/>
      </w:r>
      <w:r>
        <w:instrText xml:space="preserve"> PAGEREF _Toc22915178 \h </w:instrText>
      </w:r>
      <w:r>
        <w:fldChar w:fldCharType="separate"/>
      </w:r>
      <w:r>
        <w:t>24</w:t>
      </w:r>
      <w:r>
        <w:fldChar w:fldCharType="end"/>
      </w:r>
    </w:p>
    <w:p>
      <w:pPr>
        <w:pStyle w:val="TOC8"/>
        <w:rPr>
          <w:rFonts w:asciiTheme="minorHAnsi" w:eastAsiaTheme="minorEastAsia" w:hAnsiTheme="minorHAnsi" w:cstheme="minorBidi"/>
          <w:szCs w:val="22"/>
        </w:rPr>
      </w:pPr>
      <w:r>
        <w:t>25C</w:t>
      </w:r>
      <w:r>
        <w:rPr>
          <w:snapToGrid w:val="0"/>
        </w:rPr>
        <w:t xml:space="preserve">. </w:t>
      </w:r>
      <w:r>
        <w:rPr>
          <w:snapToGrid w:val="0"/>
        </w:rPr>
        <w:tab/>
        <w:t>Builder doing residential building work without insurance or corresponding cover, offence</w:t>
      </w:r>
      <w:r>
        <w:tab/>
      </w:r>
      <w:r>
        <w:fldChar w:fldCharType="begin"/>
      </w:r>
      <w:r>
        <w:instrText xml:space="preserve"> PAGEREF _Toc22915179 \h </w:instrText>
      </w:r>
      <w:r>
        <w:fldChar w:fldCharType="separate"/>
      </w:r>
      <w:r>
        <w:t>25</w:t>
      </w:r>
      <w:r>
        <w:fldChar w:fldCharType="end"/>
      </w:r>
    </w:p>
    <w:p>
      <w:pPr>
        <w:pStyle w:val="TOC8"/>
        <w:rPr>
          <w:rFonts w:asciiTheme="minorHAnsi" w:eastAsiaTheme="minorEastAsia" w:hAnsiTheme="minorHAnsi" w:cstheme="minorBidi"/>
          <w:szCs w:val="22"/>
        </w:rPr>
      </w:pPr>
      <w:r>
        <w:t>25D</w:t>
      </w:r>
      <w:r>
        <w:rPr>
          <w:snapToGrid w:val="0"/>
        </w:rPr>
        <w:t xml:space="preserve">. </w:t>
      </w:r>
      <w:r>
        <w:rPr>
          <w:snapToGrid w:val="0"/>
        </w:rPr>
        <w:tab/>
        <w:t>Insurance policy for this Division, terms of</w:t>
      </w:r>
      <w:r>
        <w:tab/>
      </w:r>
      <w:r>
        <w:fldChar w:fldCharType="begin"/>
      </w:r>
      <w:r>
        <w:instrText xml:space="preserve"> PAGEREF _Toc22915180 \h </w:instrText>
      </w:r>
      <w:r>
        <w:fldChar w:fldCharType="separate"/>
      </w:r>
      <w:r>
        <w:t>26</w:t>
      </w:r>
      <w:r>
        <w:fldChar w:fldCharType="end"/>
      </w:r>
    </w:p>
    <w:p>
      <w:pPr>
        <w:pStyle w:val="TOC8"/>
        <w:rPr>
          <w:rFonts w:asciiTheme="minorHAnsi" w:eastAsiaTheme="minorEastAsia" w:hAnsiTheme="minorHAnsi" w:cstheme="minorBidi"/>
          <w:szCs w:val="22"/>
        </w:rPr>
      </w:pPr>
      <w:r>
        <w:t>25DA.</w:t>
      </w:r>
      <w:r>
        <w:tab/>
        <w:t>Corresponding cover by an approved fund for builders</w:t>
      </w:r>
      <w:r>
        <w:tab/>
      </w:r>
      <w:r>
        <w:fldChar w:fldCharType="begin"/>
      </w:r>
      <w:r>
        <w:instrText xml:space="preserve"> PAGEREF _Toc22915181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Owner</w:t>
      </w:r>
      <w:r>
        <w:noBreakHyphen/>
        <w:t>builders</w:t>
      </w:r>
    </w:p>
    <w:p>
      <w:pPr>
        <w:pStyle w:val="TOC8"/>
        <w:rPr>
          <w:rFonts w:asciiTheme="minorHAnsi" w:eastAsiaTheme="minorEastAsia" w:hAnsiTheme="minorHAnsi" w:cstheme="minorBidi"/>
          <w:szCs w:val="22"/>
        </w:rPr>
      </w:pPr>
      <w:r>
        <w:t>25E</w:t>
      </w:r>
      <w:r>
        <w:rPr>
          <w:snapToGrid w:val="0"/>
        </w:rPr>
        <w:t xml:space="preserve">. </w:t>
      </w:r>
      <w:r>
        <w:rPr>
          <w:snapToGrid w:val="0"/>
        </w:rPr>
        <w:tab/>
        <w:t>Application of this Division</w:t>
      </w:r>
      <w:r>
        <w:tab/>
      </w:r>
      <w:r>
        <w:fldChar w:fldCharType="begin"/>
      </w:r>
      <w:r>
        <w:instrText xml:space="preserve"> PAGEREF _Toc22915183 \h </w:instrText>
      </w:r>
      <w:r>
        <w:fldChar w:fldCharType="separate"/>
      </w:r>
      <w:r>
        <w:t>29</w:t>
      </w:r>
      <w:r>
        <w:fldChar w:fldCharType="end"/>
      </w:r>
    </w:p>
    <w:p>
      <w:pPr>
        <w:pStyle w:val="TOC8"/>
        <w:rPr>
          <w:rFonts w:asciiTheme="minorHAnsi" w:eastAsiaTheme="minorEastAsia" w:hAnsiTheme="minorHAnsi" w:cstheme="minorBidi"/>
          <w:szCs w:val="22"/>
        </w:rPr>
      </w:pPr>
      <w:r>
        <w:t>25F.</w:t>
      </w:r>
      <w:r>
        <w:tab/>
        <w:t>Sale by owner</w:t>
      </w:r>
      <w:r>
        <w:noBreakHyphen/>
        <w:t>builder, restrictions on</w:t>
      </w:r>
      <w:r>
        <w:tab/>
      </w:r>
      <w:r>
        <w:fldChar w:fldCharType="begin"/>
      </w:r>
      <w:r>
        <w:instrText xml:space="preserve"> PAGEREF _Toc22915184 \h </w:instrText>
      </w:r>
      <w:r>
        <w:fldChar w:fldCharType="separate"/>
      </w:r>
      <w:r>
        <w:t>29</w:t>
      </w:r>
      <w:r>
        <w:fldChar w:fldCharType="end"/>
      </w:r>
    </w:p>
    <w:p>
      <w:pPr>
        <w:pStyle w:val="TOC8"/>
        <w:rPr>
          <w:rFonts w:asciiTheme="minorHAnsi" w:eastAsiaTheme="minorEastAsia" w:hAnsiTheme="minorHAnsi" w:cstheme="minorBidi"/>
          <w:szCs w:val="22"/>
        </w:rPr>
      </w:pPr>
      <w:r>
        <w:t>25FA.</w:t>
      </w:r>
      <w:r>
        <w:tab/>
        <w:t>Sale by certain owner-builders, further restrictions on</w:t>
      </w:r>
      <w:r>
        <w:tab/>
      </w:r>
      <w:r>
        <w:fldChar w:fldCharType="begin"/>
      </w:r>
      <w:r>
        <w:instrText xml:space="preserve"> PAGEREF _Toc22915185 \h </w:instrText>
      </w:r>
      <w:r>
        <w:fldChar w:fldCharType="separate"/>
      </w:r>
      <w:r>
        <w:t>30</w:t>
      </w:r>
      <w:r>
        <w:fldChar w:fldCharType="end"/>
      </w:r>
    </w:p>
    <w:p>
      <w:pPr>
        <w:pStyle w:val="TOC8"/>
        <w:rPr>
          <w:rFonts w:asciiTheme="minorHAnsi" w:eastAsiaTheme="minorEastAsia" w:hAnsiTheme="minorHAnsi" w:cstheme="minorBidi"/>
          <w:szCs w:val="22"/>
        </w:rPr>
      </w:pPr>
      <w:r>
        <w:t>25G</w:t>
      </w:r>
      <w:r>
        <w:rPr>
          <w:snapToGrid w:val="0"/>
        </w:rPr>
        <w:t xml:space="preserve">. </w:t>
      </w:r>
      <w:r>
        <w:rPr>
          <w:snapToGrid w:val="0"/>
        </w:rPr>
        <w:tab/>
        <w:t>Insurance policy for this Division, terms of</w:t>
      </w:r>
      <w:r>
        <w:tab/>
      </w:r>
      <w:r>
        <w:fldChar w:fldCharType="begin"/>
      </w:r>
      <w:r>
        <w:instrText xml:space="preserve"> PAGEREF _Toc22915186 \h </w:instrText>
      </w:r>
      <w:r>
        <w:fldChar w:fldCharType="separate"/>
      </w:r>
      <w:r>
        <w:t>31</w:t>
      </w:r>
      <w:r>
        <w:fldChar w:fldCharType="end"/>
      </w:r>
    </w:p>
    <w:p>
      <w:pPr>
        <w:pStyle w:val="TOC8"/>
        <w:rPr>
          <w:rFonts w:asciiTheme="minorHAnsi" w:eastAsiaTheme="minorEastAsia" w:hAnsiTheme="minorHAnsi" w:cstheme="minorBidi"/>
          <w:szCs w:val="22"/>
        </w:rPr>
      </w:pPr>
      <w:r>
        <w:t>25GA.</w:t>
      </w:r>
      <w:r>
        <w:tab/>
        <w:t>Corresponding cover by an approved fund for owner</w:t>
      </w:r>
      <w:r>
        <w:noBreakHyphen/>
        <w:t>builders</w:t>
      </w:r>
      <w:r>
        <w:tab/>
      </w:r>
      <w:r>
        <w:fldChar w:fldCharType="begin"/>
      </w:r>
      <w:r>
        <w:instrText xml:space="preserve"> PAGEREF _Toc22915187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3A — Approved funds</w:t>
      </w:r>
    </w:p>
    <w:p>
      <w:pPr>
        <w:pStyle w:val="TOC8"/>
        <w:rPr>
          <w:rFonts w:asciiTheme="minorHAnsi" w:eastAsiaTheme="minorEastAsia" w:hAnsiTheme="minorHAnsi" w:cstheme="minorBidi"/>
          <w:szCs w:val="22"/>
        </w:rPr>
      </w:pPr>
      <w:r>
        <w:t>25GB.</w:t>
      </w:r>
      <w:r>
        <w:tab/>
        <w:t>Approval of fund by Minister</w:t>
      </w:r>
      <w:r>
        <w:tab/>
      </w:r>
      <w:r>
        <w:fldChar w:fldCharType="begin"/>
      </w:r>
      <w:r>
        <w:instrText xml:space="preserve"> PAGEREF _Toc22915189 \h </w:instrText>
      </w:r>
      <w:r>
        <w:fldChar w:fldCharType="separate"/>
      </w:r>
      <w:r>
        <w:t>33</w:t>
      </w:r>
      <w:r>
        <w:fldChar w:fldCharType="end"/>
      </w:r>
    </w:p>
    <w:p>
      <w:pPr>
        <w:pStyle w:val="TOC8"/>
        <w:rPr>
          <w:rFonts w:asciiTheme="minorHAnsi" w:eastAsiaTheme="minorEastAsia" w:hAnsiTheme="minorHAnsi" w:cstheme="minorBidi"/>
          <w:szCs w:val="22"/>
        </w:rPr>
      </w:pPr>
      <w:r>
        <w:t>25GC.</w:t>
      </w:r>
      <w:r>
        <w:tab/>
        <w:t>Certain changes to approved fund require Minister’s consent</w:t>
      </w:r>
      <w:r>
        <w:tab/>
      </w:r>
      <w:r>
        <w:fldChar w:fldCharType="begin"/>
      </w:r>
      <w:r>
        <w:instrText xml:space="preserve"> PAGEREF _Toc22915190 \h </w:instrText>
      </w:r>
      <w:r>
        <w:fldChar w:fldCharType="separate"/>
      </w:r>
      <w:r>
        <w:t>34</w:t>
      </w:r>
      <w:r>
        <w:fldChar w:fldCharType="end"/>
      </w:r>
    </w:p>
    <w:p>
      <w:pPr>
        <w:pStyle w:val="TOC8"/>
        <w:rPr>
          <w:rFonts w:asciiTheme="minorHAnsi" w:eastAsiaTheme="minorEastAsia" w:hAnsiTheme="minorHAnsi" w:cstheme="minorBidi"/>
          <w:szCs w:val="22"/>
        </w:rPr>
      </w:pPr>
      <w:r>
        <w:t>25GD.</w:t>
      </w:r>
      <w:r>
        <w:tab/>
        <w:t>Approval of fund, revoking</w:t>
      </w:r>
      <w:r>
        <w:tab/>
      </w:r>
      <w:r>
        <w:fldChar w:fldCharType="begin"/>
      </w:r>
      <w:r>
        <w:instrText xml:space="preserve"> PAGEREF _Toc22915191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25H</w:t>
      </w:r>
      <w:r>
        <w:rPr>
          <w:snapToGrid w:val="0"/>
        </w:rPr>
        <w:t xml:space="preserve">. </w:t>
      </w:r>
      <w:r>
        <w:rPr>
          <w:snapToGrid w:val="0"/>
        </w:rPr>
        <w:tab/>
        <w:t>Review of this Part by Minister</w:t>
      </w:r>
      <w:r>
        <w:tab/>
      </w:r>
      <w:r>
        <w:fldChar w:fldCharType="begin"/>
      </w:r>
      <w:r>
        <w:instrText xml:space="preserve"> PAGEREF _Toc22915193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Provisions about non</w:t>
      </w:r>
      <w:r>
        <w:noBreakHyphen/>
        <w:t>application of sections 25C(1) and (2) and 25F(1)</w:t>
      </w:r>
    </w:p>
    <w:p>
      <w:pPr>
        <w:pStyle w:val="TOC8"/>
        <w:rPr>
          <w:rFonts w:asciiTheme="minorHAnsi" w:eastAsiaTheme="minorEastAsia" w:hAnsiTheme="minorHAnsi" w:cstheme="minorBidi"/>
          <w:szCs w:val="22"/>
        </w:rPr>
      </w:pPr>
      <w:r>
        <w:t>25I.</w:t>
      </w:r>
      <w:r>
        <w:tab/>
        <w:t>Periods for s. 25C(3) and 25F(2), Minister may specify</w:t>
      </w:r>
      <w:r>
        <w:tab/>
      </w:r>
      <w:r>
        <w:fldChar w:fldCharType="begin"/>
      </w:r>
      <w:r>
        <w:instrText xml:space="preserve"> PAGEREF _Toc22915195 \h </w:instrText>
      </w:r>
      <w:r>
        <w:fldChar w:fldCharType="separate"/>
      </w:r>
      <w:r>
        <w:t>35</w:t>
      </w:r>
      <w:r>
        <w:fldChar w:fldCharType="end"/>
      </w:r>
    </w:p>
    <w:p>
      <w:pPr>
        <w:pStyle w:val="TOC8"/>
        <w:rPr>
          <w:rFonts w:asciiTheme="minorHAnsi" w:eastAsiaTheme="minorEastAsia" w:hAnsiTheme="minorHAnsi" w:cstheme="minorBidi"/>
          <w:szCs w:val="22"/>
        </w:rPr>
      </w:pPr>
      <w:r>
        <w:t>25J.</w:t>
      </w:r>
      <w:r>
        <w:tab/>
        <w:t>Contracts with builders, builders to give prescribed notice to other party</w:t>
      </w:r>
      <w:r>
        <w:tab/>
      </w:r>
      <w:r>
        <w:fldChar w:fldCharType="begin"/>
      </w:r>
      <w:r>
        <w:instrText xml:space="preserve"> PAGEREF _Toc22915196 \h </w:instrText>
      </w:r>
      <w:r>
        <w:fldChar w:fldCharType="separate"/>
      </w:r>
      <w:r>
        <w:t>35</w:t>
      </w:r>
      <w:r>
        <w:fldChar w:fldCharType="end"/>
      </w:r>
    </w:p>
    <w:p>
      <w:pPr>
        <w:pStyle w:val="TOC8"/>
        <w:rPr>
          <w:rFonts w:asciiTheme="minorHAnsi" w:eastAsiaTheme="minorEastAsia" w:hAnsiTheme="minorHAnsi" w:cstheme="minorBidi"/>
          <w:szCs w:val="22"/>
        </w:rPr>
      </w:pPr>
      <w:r>
        <w:t>25K.</w:t>
      </w:r>
      <w:r>
        <w:tab/>
        <w:t>Sale contract with owner-builder, owner-builder to give prescribed notice to other party</w:t>
      </w:r>
      <w:r>
        <w:tab/>
      </w:r>
      <w:r>
        <w:fldChar w:fldCharType="begin"/>
      </w:r>
      <w:r>
        <w:instrText xml:space="preserve"> PAGEREF _Toc22915197 \h </w:instrText>
      </w:r>
      <w:r>
        <w:fldChar w:fldCharType="separate"/>
      </w:r>
      <w:r>
        <w:t>37</w:t>
      </w:r>
      <w:r>
        <w:fldChar w:fldCharType="end"/>
      </w:r>
    </w:p>
    <w:p>
      <w:pPr>
        <w:pStyle w:val="TOC8"/>
        <w:rPr>
          <w:rFonts w:asciiTheme="minorHAnsi" w:eastAsiaTheme="minorEastAsia" w:hAnsiTheme="minorHAnsi" w:cstheme="minorBidi"/>
          <w:szCs w:val="22"/>
        </w:rPr>
      </w:pPr>
      <w:r>
        <w:t>25L.</w:t>
      </w:r>
      <w:r>
        <w:tab/>
        <w:t>Subsequent purchaser to be given notice given under s. 25J in some cases</w:t>
      </w:r>
      <w:r>
        <w:tab/>
      </w:r>
      <w:r>
        <w:fldChar w:fldCharType="begin"/>
      </w:r>
      <w:r>
        <w:instrText xml:space="preserve"> PAGEREF _Toc22915198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rPr>
          <w:snapToGrid w:val="0"/>
        </w:rPr>
        <w:t>.</w:t>
      </w:r>
      <w:r>
        <w:rPr>
          <w:snapToGrid w:val="0"/>
        </w:rPr>
        <w:tab/>
        <w:t>Inspection by owner etc. of building work, prevention of etc.</w:t>
      </w:r>
      <w:r>
        <w:tab/>
      </w:r>
      <w:r>
        <w:fldChar w:fldCharType="begin"/>
      </w:r>
      <w:r>
        <w:instrText xml:space="preserve"> PAGEREF _Toc22915200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Breach of Act, effect of on contract</w:t>
      </w:r>
      <w:r>
        <w:tab/>
      </w:r>
      <w:r>
        <w:fldChar w:fldCharType="begin"/>
      </w:r>
      <w:r>
        <w:instrText xml:space="preserve"> PAGEREF _Toc22915201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Contracting out prohibited</w:t>
      </w:r>
      <w:r>
        <w:tab/>
      </w:r>
      <w:r>
        <w:fldChar w:fldCharType="begin"/>
      </w:r>
      <w:r>
        <w:instrText xml:space="preserve"> PAGEREF _Toc22915202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Other laws not affected</w:t>
      </w:r>
      <w:r>
        <w:tab/>
      </w:r>
      <w:r>
        <w:fldChar w:fldCharType="begin"/>
      </w:r>
      <w:r>
        <w:instrText xml:space="preserve"> PAGEREF _Toc22915203 \h </w:instrText>
      </w:r>
      <w:r>
        <w:fldChar w:fldCharType="separate"/>
      </w:r>
      <w:r>
        <w:t>39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 by body corporate, liability of officers for</w:t>
      </w:r>
      <w:r>
        <w:tab/>
      </w:r>
      <w:r>
        <w:fldChar w:fldCharType="begin"/>
      </w:r>
      <w:r>
        <w:instrText xml:space="preserve"> PAGEREF _Toc22915204 \h </w:instrText>
      </w:r>
      <w:r>
        <w:fldChar w:fldCharType="separate"/>
      </w:r>
      <w:r>
        <w:t>39</w:t>
      </w:r>
      <w:r>
        <w:fldChar w:fldCharType="end"/>
      </w:r>
    </w:p>
    <w:p>
      <w:pPr>
        <w:pStyle w:val="TOC8"/>
        <w:rPr>
          <w:rFonts w:asciiTheme="minorHAnsi" w:eastAsiaTheme="minorEastAsia" w:hAnsiTheme="minorHAnsi" w:cstheme="minorBidi"/>
          <w:szCs w:val="22"/>
        </w:rPr>
      </w:pPr>
      <w:r>
        <w:t>31.</w:t>
      </w:r>
      <w:r>
        <w:tab/>
        <w:t>Prosecutions</w:t>
      </w:r>
      <w:r>
        <w:tab/>
      </w:r>
      <w:r>
        <w:fldChar w:fldCharType="begin"/>
      </w:r>
      <w:r>
        <w:instrText xml:space="preserve"> PAGEREF _Toc22915205 \h </w:instrText>
      </w:r>
      <w:r>
        <w:fldChar w:fldCharType="separate"/>
      </w:r>
      <w:r>
        <w:t>39</w:t>
      </w:r>
      <w:r>
        <w:fldChar w:fldCharType="end"/>
      </w:r>
    </w:p>
    <w:p>
      <w:pPr>
        <w:pStyle w:val="TOC8"/>
        <w:rPr>
          <w:rFonts w:asciiTheme="minorHAnsi" w:eastAsiaTheme="minorEastAsia" w:hAnsiTheme="minorHAnsi" w:cstheme="minorBidi"/>
          <w:szCs w:val="22"/>
        </w:rPr>
      </w:pPr>
      <w:r>
        <w:t>31B.</w:t>
      </w:r>
      <w:r>
        <w:tab/>
      </w:r>
      <w:r>
        <w:rPr>
          <w:snapToGrid w:val="0"/>
        </w:rPr>
        <w:t>Infringement notices</w:t>
      </w:r>
      <w:r>
        <w:tab/>
      </w:r>
      <w:r>
        <w:fldChar w:fldCharType="begin"/>
      </w:r>
      <w:r>
        <w:instrText xml:space="preserve"> PAGEREF _Toc22915206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_Toc22915207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Retrospectivity of Act</w:t>
      </w:r>
      <w:r>
        <w:tab/>
      </w:r>
      <w:r>
        <w:fldChar w:fldCharType="begin"/>
      </w:r>
      <w:r>
        <w:instrText xml:space="preserve"> PAGEREF _Toc22915208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Review of Act</w:t>
      </w:r>
      <w:r>
        <w:tab/>
      </w:r>
      <w:r>
        <w:fldChar w:fldCharType="begin"/>
      </w:r>
      <w:r>
        <w:instrText xml:space="preserve"> PAGEREF _Toc22915209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Consequences of non</w:t>
      </w:r>
      <w:r>
        <w:noBreakHyphen/>
        <w:t>fulfilment of conditions</w:t>
      </w:r>
    </w:p>
    <w:p>
      <w:pPr>
        <w:pStyle w:val="TOC8"/>
        <w:rPr>
          <w:rFonts w:asciiTheme="minorHAnsi" w:eastAsiaTheme="minorEastAsia" w:hAnsiTheme="minorHAnsi" w:cstheme="minorBidi"/>
          <w:szCs w:val="22"/>
        </w:rPr>
      </w:pPr>
      <w:r>
        <w:t>1</w:t>
      </w:r>
      <w:r>
        <w:rPr>
          <w:snapToGrid w:val="0"/>
        </w:rPr>
        <w:t>.</w:t>
      </w:r>
      <w:r>
        <w:rPr>
          <w:snapToGrid w:val="0"/>
        </w:rPr>
        <w:tab/>
        <w:t>Condition in s. 9(1), non-fulfilment of by builder</w:t>
      </w:r>
      <w:r>
        <w:tab/>
      </w:r>
      <w:r>
        <w:fldChar w:fldCharType="begin"/>
      </w:r>
      <w:r>
        <w:instrText xml:space="preserve"> PAGEREF _Toc22915211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Condition in s. 9(1), non-fulfilment of by owner</w:t>
      </w:r>
      <w:r>
        <w:tab/>
      </w:r>
      <w:r>
        <w:fldChar w:fldCharType="begin"/>
      </w:r>
      <w:r>
        <w:instrText xml:space="preserve"> PAGEREF _Toc22915212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Condition in s. 9(1), non-fulfilment of by builder and owner</w:t>
      </w:r>
      <w:r>
        <w:tab/>
      </w:r>
      <w:r>
        <w:fldChar w:fldCharType="begin"/>
      </w:r>
      <w:r>
        <w:instrText xml:space="preserve"> PAGEREF _Toc22915213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Rights of builder and owner if cl. 2 or 3 or s. 13(4)(c) applies</w:t>
      </w:r>
      <w:r>
        <w:tab/>
      </w:r>
      <w:r>
        <w:fldChar w:fldCharType="begin"/>
      </w:r>
      <w:r>
        <w:instrText xml:space="preserve"> PAGEREF _Toc22915214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Price increase, review of</w:t>
      </w:r>
      <w:r>
        <w:tab/>
      </w:r>
      <w:r>
        <w:fldChar w:fldCharType="begin"/>
      </w:r>
      <w:r>
        <w:instrText xml:space="preserve"> PAGEREF _Toc22915215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_Toc22915217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_Toc22915218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3" w:name="_Toc530488393"/>
      <w:bookmarkStart w:id="4" w:name="_Toc530489378"/>
      <w:bookmarkStart w:id="5" w:name="_Toc530558327"/>
      <w:bookmarkStart w:id="6" w:name="_Toc22914967"/>
      <w:bookmarkStart w:id="7" w:name="_Toc22915071"/>
      <w:bookmarkStart w:id="8" w:name="_Toc229151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200"/>
        <w:rPr>
          <w:snapToGrid w:val="0"/>
        </w:rPr>
      </w:pPr>
      <w:bookmarkStart w:id="9" w:name="_Toc22915153"/>
      <w:r>
        <w:rPr>
          <w:rStyle w:val="CharSectno"/>
        </w:rPr>
        <w:t>1</w:t>
      </w:r>
      <w:r>
        <w:rPr>
          <w:snapToGrid w:val="0"/>
        </w:rPr>
        <w:t>.</w:t>
      </w:r>
      <w:r>
        <w:rPr>
          <w:snapToGrid w:val="0"/>
        </w:rPr>
        <w:tab/>
        <w:t>Short title</w:t>
      </w:r>
      <w:bookmarkEnd w:id="9"/>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10" w:name="_Toc22915154"/>
      <w:r>
        <w:rPr>
          <w:rStyle w:val="CharSectno"/>
        </w:rPr>
        <w:t>2</w:t>
      </w:r>
      <w:r>
        <w:rPr>
          <w:snapToGrid w:val="0"/>
        </w:rPr>
        <w:t>.</w:t>
      </w:r>
      <w:r>
        <w:rPr>
          <w:snapToGrid w:val="0"/>
        </w:rPr>
        <w:tab/>
        <w:t>Commencement</w:t>
      </w:r>
      <w:bookmarkEnd w:id="10"/>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11" w:name="_Toc22915155"/>
      <w:r>
        <w:rPr>
          <w:rStyle w:val="CharSectno"/>
        </w:rPr>
        <w:t>3</w:t>
      </w:r>
      <w:r>
        <w:rPr>
          <w:snapToGrid w:val="0"/>
        </w:rPr>
        <w:t>.</w:t>
      </w:r>
      <w:r>
        <w:rPr>
          <w:snapToGrid w:val="0"/>
        </w:rPr>
        <w:tab/>
        <w:t>Terms used</w:t>
      </w:r>
      <w:bookmarkEnd w:id="11"/>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 or</w:t>
      </w:r>
    </w:p>
    <w:p>
      <w:pPr>
        <w:pStyle w:val="Defpara"/>
      </w:pPr>
      <w:r>
        <w:tab/>
        <w:t>(b)</w:t>
      </w:r>
      <w:r>
        <w:tab/>
        <w:t>placing a dwelling on land; or</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pPr>
      <w:r>
        <w:tab/>
        <w:t>(i)</w:t>
      </w:r>
      <w:r>
        <w:tab/>
        <w:t>any work referred to in paragraph (a) or (b); or</w:t>
      </w:r>
    </w:p>
    <w:p>
      <w:pPr>
        <w:pStyle w:val="Defsubpara"/>
      </w:pPr>
      <w:r>
        <w:tab/>
        <w:t>(ii)</w:t>
      </w:r>
      <w:r>
        <w:tab/>
        <w:t>an existing dwelling, including a strata</w:t>
      </w:r>
      <w: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pPr>
      <w:r>
        <w:tab/>
        <w:t>(i)</w:t>
      </w:r>
      <w:r>
        <w:tab/>
        <w:t>for a builder who is in turn obliged to perform the work under another contract; or</w:t>
      </w:r>
    </w:p>
    <w:p>
      <w:pPr>
        <w:pStyle w:val="Defsubpara"/>
      </w:pPr>
      <w:r>
        <w:tab/>
        <w:t>(ii)</w:t>
      </w:r>
      <w:r>
        <w:tab/>
        <w:t>if the amount stated in the contract as being payable under the contract for the work is $6 000, or such other amount as is prescribed, or less; or</w:t>
      </w:r>
    </w:p>
    <w:p>
      <w:pPr>
        <w:pStyle w:val="Defsubpara"/>
      </w:pPr>
      <w:r>
        <w:tab/>
        <w:t>(iii)</w:t>
      </w:r>
      <w:r>
        <w:tab/>
        <w:t>if the amount stated in the contract as being 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12" w:name="_Toc530488397"/>
      <w:bookmarkStart w:id="13" w:name="_Toc530489382"/>
      <w:bookmarkStart w:id="14" w:name="_Toc530558331"/>
      <w:bookmarkStart w:id="15" w:name="_Toc22914971"/>
      <w:bookmarkStart w:id="16" w:name="_Toc22915075"/>
      <w:bookmarkStart w:id="17" w:name="_Toc22915156"/>
      <w:r>
        <w:rPr>
          <w:rStyle w:val="CharPartNo"/>
        </w:rPr>
        <w:t>Part 2</w:t>
      </w:r>
      <w:r>
        <w:rPr>
          <w:rStyle w:val="CharDivNo"/>
        </w:rPr>
        <w:t> </w:t>
      </w:r>
      <w:r>
        <w:t>—</w:t>
      </w:r>
      <w:r>
        <w:rPr>
          <w:rStyle w:val="CharDivText"/>
        </w:rPr>
        <w:t> </w:t>
      </w:r>
      <w:r>
        <w:rPr>
          <w:rStyle w:val="CharPartText"/>
        </w:rPr>
        <w:t>Home building work contracts</w:t>
      </w:r>
      <w:bookmarkEnd w:id="12"/>
      <w:bookmarkEnd w:id="13"/>
      <w:bookmarkEnd w:id="14"/>
      <w:bookmarkEnd w:id="15"/>
      <w:bookmarkEnd w:id="16"/>
      <w:bookmarkEnd w:id="17"/>
    </w:p>
    <w:p>
      <w:pPr>
        <w:pStyle w:val="Heading5"/>
        <w:spacing w:before="160"/>
        <w:rPr>
          <w:snapToGrid w:val="0"/>
        </w:rPr>
      </w:pPr>
      <w:bookmarkStart w:id="18" w:name="_Toc22915157"/>
      <w:r>
        <w:rPr>
          <w:rStyle w:val="CharSectno"/>
        </w:rPr>
        <w:t>4</w:t>
      </w:r>
      <w:r>
        <w:rPr>
          <w:snapToGrid w:val="0"/>
        </w:rPr>
        <w:t>.</w:t>
      </w:r>
      <w:r>
        <w:rPr>
          <w:snapToGrid w:val="0"/>
        </w:rPr>
        <w:tab/>
        <w:t>Contracts to be in writing; prescribed explanatory notice to be given</w:t>
      </w:r>
      <w:bookmarkEnd w:id="18"/>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19" w:name="_Toc22915158"/>
      <w:r>
        <w:rPr>
          <w:rStyle w:val="CharSectno"/>
        </w:rPr>
        <w:t>5</w:t>
      </w:r>
      <w:r>
        <w:rPr>
          <w:snapToGrid w:val="0"/>
        </w:rPr>
        <w:t>.</w:t>
      </w:r>
      <w:r>
        <w:rPr>
          <w:snapToGrid w:val="0"/>
        </w:rPr>
        <w:tab/>
        <w:t>Owner to be given copy of contract</w:t>
      </w:r>
      <w:bookmarkEnd w:id="19"/>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20" w:name="_Toc22915159"/>
      <w:r>
        <w:rPr>
          <w:rStyle w:val="CharSectno"/>
        </w:rPr>
        <w:t>6</w:t>
      </w:r>
      <w:r>
        <w:rPr>
          <w:snapToGrid w:val="0"/>
        </w:rPr>
        <w:t>.</w:t>
      </w:r>
      <w:r>
        <w:rPr>
          <w:snapToGrid w:val="0"/>
        </w:rPr>
        <w:tab/>
        <w:t>Receipt of documents by owner, proof of</w:t>
      </w:r>
      <w:bookmarkEnd w:id="20"/>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21" w:name="_Toc22915160"/>
      <w:r>
        <w:rPr>
          <w:rStyle w:val="CharSectno"/>
        </w:rPr>
        <w:t>7</w:t>
      </w:r>
      <w:r>
        <w:rPr>
          <w:snapToGrid w:val="0"/>
        </w:rPr>
        <w:t>.</w:t>
      </w:r>
      <w:r>
        <w:rPr>
          <w:snapToGrid w:val="0"/>
        </w:rPr>
        <w:tab/>
        <w:t>Variation of contract to be in writing and given to owner</w:t>
      </w:r>
      <w:bookmarkEnd w:id="21"/>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22" w:name="_Toc22915161"/>
      <w:r>
        <w:rPr>
          <w:rStyle w:val="CharSectno"/>
        </w:rPr>
        <w:t>8</w:t>
      </w:r>
      <w:r>
        <w:rPr>
          <w:snapToGrid w:val="0"/>
        </w:rPr>
        <w:t>.</w:t>
      </w:r>
      <w:r>
        <w:rPr>
          <w:snapToGrid w:val="0"/>
        </w:rPr>
        <w:tab/>
        <w:t>Exceptions to s. 7 and related provisions</w:t>
      </w:r>
      <w:bookmarkEnd w:id="22"/>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by No. 14 of 1996 s. 4; No. 76 of 2000 s. 46; No. 16 of 2011 s. 114; No. 24 of 2011 s. 163(2) and (3).]</w:t>
      </w:r>
    </w:p>
    <w:p>
      <w:pPr>
        <w:pStyle w:val="Heading5"/>
        <w:rPr>
          <w:snapToGrid w:val="0"/>
        </w:rPr>
      </w:pPr>
      <w:bookmarkStart w:id="23" w:name="_Toc22915162"/>
      <w:r>
        <w:rPr>
          <w:rStyle w:val="CharSectno"/>
        </w:rPr>
        <w:t>9</w:t>
      </w:r>
      <w:r>
        <w:rPr>
          <w:snapToGrid w:val="0"/>
        </w:rPr>
        <w:t>.</w:t>
      </w:r>
      <w:r>
        <w:rPr>
          <w:snapToGrid w:val="0"/>
        </w:rPr>
        <w:tab/>
        <w:t>Building permit etc., implied conditions and terms as to</w:t>
      </w:r>
      <w:bookmarkEnd w:id="23"/>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Ednotesubsection"/>
      </w:pPr>
      <w:r>
        <w:tab/>
        <w:t>[(6)</w:t>
      </w:r>
      <w:r>
        <w:tab/>
        <w:t>Deleted.]</w:t>
      </w:r>
    </w:p>
    <w:p>
      <w:pPr>
        <w:pStyle w:val="Footnotesection"/>
        <w:spacing w:before="100"/>
        <w:ind w:left="890" w:hanging="890"/>
        <w:rPr>
          <w:spacing w:val="-4"/>
        </w:rPr>
      </w:pPr>
      <w:r>
        <w:rPr>
          <w:spacing w:val="-4"/>
        </w:rPr>
        <w:tab/>
        <w:t>[Section 9 amended by No. 73 of 1995 s. 188; No. 14 of 1996 s. 4; No. 76 of 2000 s. 47; No. 37 of 2002 s. 6; No. 24 of 2011 s. 163(4) and (5); No. 25 of 2012 s. 217.]</w:t>
      </w:r>
    </w:p>
    <w:p>
      <w:pPr>
        <w:pStyle w:val="Heading5"/>
        <w:spacing w:before="240"/>
        <w:rPr>
          <w:snapToGrid w:val="0"/>
        </w:rPr>
      </w:pPr>
      <w:bookmarkStart w:id="24" w:name="_Toc22915163"/>
      <w:r>
        <w:rPr>
          <w:rStyle w:val="CharSectno"/>
        </w:rPr>
        <w:t>10</w:t>
      </w:r>
      <w:r>
        <w:rPr>
          <w:snapToGrid w:val="0"/>
        </w:rPr>
        <w:t>.</w:t>
      </w:r>
      <w:r>
        <w:rPr>
          <w:snapToGrid w:val="0"/>
        </w:rPr>
        <w:tab/>
        <w:t>Deposits and progress payments, limits on terms as to</w:t>
      </w:r>
      <w:bookmarkEnd w:id="24"/>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25" w:name="_Toc22915164"/>
      <w:r>
        <w:rPr>
          <w:rStyle w:val="CharSectno"/>
        </w:rPr>
        <w:t>11</w:t>
      </w:r>
      <w:r>
        <w:rPr>
          <w:snapToGrid w:val="0"/>
        </w:rPr>
        <w:t>.</w:t>
      </w:r>
      <w:r>
        <w:rPr>
          <w:snapToGrid w:val="0"/>
        </w:rPr>
        <w:tab/>
        <w:t>Defects, implied condition as to liability for</w:t>
      </w:r>
      <w:bookmarkEnd w:id="25"/>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26" w:name="_Toc22915165"/>
      <w:r>
        <w:rPr>
          <w:rStyle w:val="CharSectno"/>
        </w:rPr>
        <w:t>12</w:t>
      </w:r>
      <w:r>
        <w:rPr>
          <w:snapToGrid w:val="0"/>
        </w:rPr>
        <w:t>.</w:t>
      </w:r>
      <w:r>
        <w:rPr>
          <w:snapToGrid w:val="0"/>
        </w:rPr>
        <w:tab/>
        <w:t>Understatement of prime cost items etc. by builder, offence</w:t>
      </w:r>
      <w:bookmarkEnd w:id="26"/>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27" w:name="_Toc22915166"/>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27"/>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28" w:name="_Toc22915167"/>
      <w:r>
        <w:rPr>
          <w:rStyle w:val="CharSectno"/>
        </w:rPr>
        <w:t>14</w:t>
      </w:r>
      <w:r>
        <w:rPr>
          <w:snapToGrid w:val="0"/>
        </w:rPr>
        <w:t>.</w:t>
      </w:r>
      <w:r>
        <w:rPr>
          <w:snapToGrid w:val="0"/>
        </w:rPr>
        <w:tab/>
        <w:t>Cost plus contracts, requirements as to</w:t>
      </w:r>
      <w:bookmarkEnd w:id="28"/>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29" w:name="_Toc22915168"/>
      <w:r>
        <w:rPr>
          <w:rStyle w:val="CharSectno"/>
        </w:rPr>
        <w:t>15</w:t>
      </w:r>
      <w:r>
        <w:rPr>
          <w:snapToGrid w:val="0"/>
        </w:rPr>
        <w:t>.</w:t>
      </w:r>
      <w:r>
        <w:rPr>
          <w:snapToGrid w:val="0"/>
        </w:rPr>
        <w:tab/>
        <w:t>Unconscionable etc. conduct by builder as to contract etc.</w:t>
      </w:r>
      <w:bookmarkEnd w:id="29"/>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30" w:name="_Toc22915169"/>
      <w:r>
        <w:rPr>
          <w:rStyle w:val="CharSectno"/>
        </w:rPr>
        <w:t>15A</w:t>
      </w:r>
      <w:r>
        <w:t>.</w:t>
      </w:r>
      <w:r>
        <w:tab/>
        <w:t>Misleading or deceptive conduct by builder or owner as to contract</w:t>
      </w:r>
      <w:bookmarkEnd w:id="30"/>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31" w:name="_Toc530488411"/>
      <w:bookmarkStart w:id="32" w:name="_Toc530489396"/>
      <w:bookmarkStart w:id="33" w:name="_Toc530558345"/>
      <w:bookmarkStart w:id="34" w:name="_Toc22914985"/>
      <w:bookmarkStart w:id="35" w:name="_Toc22915089"/>
      <w:bookmarkStart w:id="36" w:name="_Toc22915170"/>
      <w:r>
        <w:rPr>
          <w:rStyle w:val="CharPartNo"/>
        </w:rPr>
        <w:t>Part 3</w:t>
      </w:r>
      <w:r>
        <w:rPr>
          <w:rStyle w:val="CharDivNo"/>
        </w:rPr>
        <w:t> </w:t>
      </w:r>
      <w:r>
        <w:t>—</w:t>
      </w:r>
      <w:r>
        <w:rPr>
          <w:rStyle w:val="CharDivText"/>
        </w:rPr>
        <w:t> </w:t>
      </w:r>
      <w:r>
        <w:rPr>
          <w:rStyle w:val="CharPartText"/>
        </w:rPr>
        <w:t>Remedies</w:t>
      </w:r>
      <w:bookmarkEnd w:id="31"/>
      <w:bookmarkEnd w:id="32"/>
      <w:bookmarkEnd w:id="33"/>
      <w:bookmarkEnd w:id="34"/>
      <w:bookmarkEnd w:id="35"/>
      <w:bookmarkEnd w:id="36"/>
    </w:p>
    <w:p>
      <w:pPr>
        <w:pStyle w:val="Ednotesection"/>
      </w:pPr>
      <w:r>
        <w:t>[</w:t>
      </w:r>
      <w:r>
        <w:rPr>
          <w:b/>
        </w:rPr>
        <w:t>16.</w:t>
      </w:r>
      <w:r>
        <w:tab/>
        <w:t>Deleted by No. 16 of 2011 s. 116]</w:t>
      </w:r>
    </w:p>
    <w:p>
      <w:pPr>
        <w:pStyle w:val="Heading5"/>
      </w:pPr>
      <w:bookmarkStart w:id="37" w:name="_Toc22915171"/>
      <w:r>
        <w:rPr>
          <w:rStyle w:val="CharSectno"/>
        </w:rPr>
        <w:t>17</w:t>
      </w:r>
      <w:r>
        <w:t>.</w:t>
      </w:r>
      <w:r>
        <w:tab/>
        <w:t>Breach of contract or Part 2, or entitlement to compensation, procedure in case of</w:t>
      </w:r>
      <w:bookmarkEnd w:id="37"/>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p>
      <w:pPr>
        <w:pStyle w:val="Ednotesection"/>
      </w:pPr>
      <w:r>
        <w:t>[</w:t>
      </w:r>
      <w:r>
        <w:rPr>
          <w:b/>
        </w:rPr>
        <w:t>18.</w:t>
      </w:r>
      <w:r>
        <w:tab/>
        <w:t>Deleted by No. 16 of 2011 s. 118]</w:t>
      </w:r>
    </w:p>
    <w:p>
      <w:pPr>
        <w:pStyle w:val="Heading5"/>
        <w:rPr>
          <w:snapToGrid w:val="0"/>
        </w:rPr>
      </w:pPr>
      <w:bookmarkStart w:id="38" w:name="_Toc22915172"/>
      <w:r>
        <w:rPr>
          <w:rStyle w:val="CharSectno"/>
        </w:rPr>
        <w:t>19</w:t>
      </w:r>
      <w:r>
        <w:rPr>
          <w:snapToGrid w:val="0"/>
        </w:rPr>
        <w:t>.</w:t>
      </w:r>
      <w:r>
        <w:rPr>
          <w:snapToGrid w:val="0"/>
        </w:rPr>
        <w:tab/>
        <w:t>How contract terminated</w:t>
      </w:r>
      <w:bookmarkEnd w:id="38"/>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39" w:name="_Toc22915173"/>
      <w:r>
        <w:rPr>
          <w:rStyle w:val="CharSectno"/>
        </w:rPr>
        <w:t>20</w:t>
      </w:r>
      <w:r>
        <w:t>.</w:t>
      </w:r>
      <w:r>
        <w:tab/>
        <w:t>Adjustment of rights in certain cases</w:t>
      </w:r>
      <w:bookmarkEnd w:id="39"/>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40" w:name="_Toc530488415"/>
      <w:bookmarkStart w:id="41" w:name="_Toc530489400"/>
      <w:bookmarkStart w:id="42" w:name="_Toc530558349"/>
      <w:bookmarkStart w:id="43" w:name="_Toc22914989"/>
      <w:bookmarkStart w:id="44" w:name="_Toc22915093"/>
      <w:bookmarkStart w:id="45" w:name="_Toc22915174"/>
      <w:r>
        <w:rPr>
          <w:rStyle w:val="CharPartNo"/>
        </w:rPr>
        <w:t>Part 3A</w:t>
      </w:r>
      <w:r>
        <w:t> — </w:t>
      </w:r>
      <w:r>
        <w:rPr>
          <w:rStyle w:val="CharPartText"/>
        </w:rPr>
        <w:t>Home indemnity insurance and corresponding cover</w:t>
      </w:r>
      <w:bookmarkEnd w:id="40"/>
      <w:bookmarkEnd w:id="41"/>
      <w:bookmarkEnd w:id="42"/>
      <w:bookmarkEnd w:id="43"/>
      <w:bookmarkEnd w:id="44"/>
      <w:bookmarkEnd w:id="45"/>
    </w:p>
    <w:p>
      <w:pPr>
        <w:pStyle w:val="Footnoteheading"/>
        <w:rPr>
          <w:snapToGrid w:val="0"/>
        </w:rPr>
      </w:pPr>
      <w:r>
        <w:rPr>
          <w:snapToGrid w:val="0"/>
        </w:rPr>
        <w:tab/>
        <w:t>[Heading inserted by No. 72 of 1996 s. 5; amended by No. 37 of 2002 s. 8.]</w:t>
      </w:r>
    </w:p>
    <w:p>
      <w:pPr>
        <w:pStyle w:val="Heading3"/>
      </w:pPr>
      <w:bookmarkStart w:id="46" w:name="_Toc530488416"/>
      <w:bookmarkStart w:id="47" w:name="_Toc530489401"/>
      <w:bookmarkStart w:id="48" w:name="_Toc530558350"/>
      <w:bookmarkStart w:id="49" w:name="_Toc22914990"/>
      <w:bookmarkStart w:id="50" w:name="_Toc22915094"/>
      <w:bookmarkStart w:id="51" w:name="_Toc22915175"/>
      <w:r>
        <w:rPr>
          <w:rStyle w:val="CharDivNo"/>
        </w:rPr>
        <w:t>Division 1</w:t>
      </w:r>
      <w:r>
        <w:rPr>
          <w:snapToGrid w:val="0"/>
        </w:rPr>
        <w:t> — </w:t>
      </w:r>
      <w:r>
        <w:rPr>
          <w:rStyle w:val="CharDivText"/>
        </w:rPr>
        <w:t>Introduction</w:t>
      </w:r>
      <w:bookmarkEnd w:id="46"/>
      <w:bookmarkEnd w:id="47"/>
      <w:bookmarkEnd w:id="48"/>
      <w:bookmarkEnd w:id="49"/>
      <w:bookmarkEnd w:id="50"/>
      <w:bookmarkEnd w:id="51"/>
    </w:p>
    <w:p>
      <w:pPr>
        <w:pStyle w:val="Footnoteheading"/>
        <w:rPr>
          <w:snapToGrid w:val="0"/>
        </w:rPr>
      </w:pPr>
      <w:r>
        <w:rPr>
          <w:snapToGrid w:val="0"/>
        </w:rPr>
        <w:tab/>
        <w:t>[Heading inserted by No. 72 of 1996 s. 5.]</w:t>
      </w:r>
    </w:p>
    <w:p>
      <w:pPr>
        <w:pStyle w:val="Heading5"/>
        <w:rPr>
          <w:snapToGrid w:val="0"/>
        </w:rPr>
      </w:pPr>
      <w:bookmarkStart w:id="52" w:name="_Toc22915176"/>
      <w:r>
        <w:rPr>
          <w:rStyle w:val="CharSectno"/>
        </w:rPr>
        <w:t>25A</w:t>
      </w:r>
      <w:r>
        <w:rPr>
          <w:snapToGrid w:val="0"/>
        </w:rPr>
        <w:t>.</w:t>
      </w:r>
      <w:r>
        <w:rPr>
          <w:snapToGrid w:val="0"/>
        </w:rPr>
        <w:tab/>
        <w:t>Terms used</w:t>
      </w:r>
      <w:bookmarkEnd w:id="52"/>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pPr>
      <w:r>
        <w:tab/>
        <w:t>(i)</w:t>
      </w:r>
      <w:r>
        <w:tab/>
        <w:t>by a builder on behalf of another person where the work is not performed under a residential building work contract; or</w:t>
      </w:r>
    </w:p>
    <w:p>
      <w:pPr>
        <w:pStyle w:val="Defsubpara"/>
      </w:pPr>
      <w:r>
        <w:tab/>
        <w:t>(ii)</w:t>
      </w:r>
      <w:r>
        <w:tab/>
        <w:t>by a builder on the builder’s own behalf; or</w:t>
      </w:r>
    </w:p>
    <w:p>
      <w:pPr>
        <w:pStyle w:val="Defsubpara"/>
      </w:pPr>
      <w:r>
        <w:tab/>
        <w:t>(iii)</w:t>
      </w:r>
      <w:r>
        <w:tab/>
        <w:t>by an owner</w:t>
      </w:r>
      <w: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24 of 2011 s. 163(6)</w:t>
      </w:r>
      <w:r>
        <w:rPr>
          <w:spacing w:val="-4"/>
        </w:rPr>
        <w:t>; No. 47 of 2011 s.</w:t>
      </w:r>
      <w:r>
        <w:t> 22.]</w:t>
      </w:r>
    </w:p>
    <w:p>
      <w:pPr>
        <w:pStyle w:val="Heading3"/>
      </w:pPr>
      <w:bookmarkStart w:id="53" w:name="_Toc530488418"/>
      <w:bookmarkStart w:id="54" w:name="_Toc530489403"/>
      <w:bookmarkStart w:id="55" w:name="_Toc530558352"/>
      <w:bookmarkStart w:id="56" w:name="_Toc22914992"/>
      <w:bookmarkStart w:id="57" w:name="_Toc22915096"/>
      <w:bookmarkStart w:id="58" w:name="_Toc22915177"/>
      <w:r>
        <w:rPr>
          <w:rStyle w:val="CharDivNo"/>
        </w:rPr>
        <w:t>Division 2</w:t>
      </w:r>
      <w:r>
        <w:rPr>
          <w:snapToGrid w:val="0"/>
        </w:rPr>
        <w:t> — </w:t>
      </w:r>
      <w:r>
        <w:rPr>
          <w:rStyle w:val="CharDivText"/>
        </w:rPr>
        <w:t>Builders</w:t>
      </w:r>
      <w:bookmarkEnd w:id="53"/>
      <w:bookmarkEnd w:id="54"/>
      <w:bookmarkEnd w:id="55"/>
      <w:bookmarkEnd w:id="56"/>
      <w:bookmarkEnd w:id="57"/>
      <w:bookmarkEnd w:id="58"/>
    </w:p>
    <w:p>
      <w:pPr>
        <w:pStyle w:val="Footnoteheading"/>
        <w:rPr>
          <w:snapToGrid w:val="0"/>
        </w:rPr>
      </w:pPr>
      <w:r>
        <w:rPr>
          <w:snapToGrid w:val="0"/>
        </w:rPr>
        <w:tab/>
        <w:t>[Heading inserted by No. 72 of 1996 s. 5.]</w:t>
      </w:r>
    </w:p>
    <w:p>
      <w:pPr>
        <w:pStyle w:val="Heading5"/>
        <w:rPr>
          <w:snapToGrid w:val="0"/>
        </w:rPr>
      </w:pPr>
      <w:bookmarkStart w:id="59" w:name="_Toc22915178"/>
      <w:r>
        <w:rPr>
          <w:rStyle w:val="CharSectno"/>
        </w:rPr>
        <w:t>25B</w:t>
      </w:r>
      <w:r>
        <w:rPr>
          <w:snapToGrid w:val="0"/>
        </w:rPr>
        <w:t xml:space="preserve">. </w:t>
      </w:r>
      <w:r>
        <w:rPr>
          <w:snapToGrid w:val="0"/>
        </w:rPr>
        <w:tab/>
        <w:t>Application of this Division</w:t>
      </w:r>
      <w:bookmarkEnd w:id="59"/>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60" w:name="_Toc22915179"/>
      <w:r>
        <w:rPr>
          <w:rStyle w:val="CharSectno"/>
        </w:rPr>
        <w:t>25C</w:t>
      </w:r>
      <w:r>
        <w:rPr>
          <w:snapToGrid w:val="0"/>
        </w:rPr>
        <w:t xml:space="preserve">. </w:t>
      </w:r>
      <w:r>
        <w:rPr>
          <w:snapToGrid w:val="0"/>
        </w:rPr>
        <w:tab/>
        <w:t>Builder doing residential building work without insurance or corresponding cover, offence</w:t>
      </w:r>
      <w:bookmarkEnd w:id="60"/>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61" w:name="_Toc22915180"/>
      <w:r>
        <w:rPr>
          <w:rStyle w:val="CharSectno"/>
        </w:rPr>
        <w:t>25D</w:t>
      </w:r>
      <w:r>
        <w:rPr>
          <w:snapToGrid w:val="0"/>
        </w:rPr>
        <w:t xml:space="preserve">. </w:t>
      </w:r>
      <w:r>
        <w:rPr>
          <w:snapToGrid w:val="0"/>
        </w:rPr>
        <w:tab/>
        <w:t>Insurance policy for this Division, terms of</w:t>
      </w:r>
      <w:bookmarkEnd w:id="61"/>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 and</w:t>
      </w:r>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 and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62" w:name="_Toc22915181"/>
      <w:r>
        <w:rPr>
          <w:rStyle w:val="CharSectno"/>
        </w:rPr>
        <w:t>25DA</w:t>
      </w:r>
      <w:r>
        <w:t>.</w:t>
      </w:r>
      <w:r>
        <w:tab/>
        <w:t>Corresponding cover by an approved fund for builders</w:t>
      </w:r>
      <w:bookmarkEnd w:id="62"/>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63" w:name="_Toc530488423"/>
      <w:bookmarkStart w:id="64" w:name="_Toc530489408"/>
      <w:bookmarkStart w:id="65" w:name="_Toc530558357"/>
      <w:bookmarkStart w:id="66" w:name="_Toc22914997"/>
      <w:bookmarkStart w:id="67" w:name="_Toc22915101"/>
      <w:bookmarkStart w:id="68" w:name="_Toc22915182"/>
      <w:r>
        <w:rPr>
          <w:rStyle w:val="CharDivNo"/>
        </w:rPr>
        <w:t>Division 3</w:t>
      </w:r>
      <w:r>
        <w:rPr>
          <w:snapToGrid w:val="0"/>
        </w:rPr>
        <w:t> — </w:t>
      </w:r>
      <w:r>
        <w:rPr>
          <w:rStyle w:val="CharDivText"/>
        </w:rPr>
        <w:t>Owner</w:t>
      </w:r>
      <w:r>
        <w:rPr>
          <w:rStyle w:val="CharDivText"/>
        </w:rPr>
        <w:noBreakHyphen/>
        <w:t>builders</w:t>
      </w:r>
      <w:bookmarkEnd w:id="63"/>
      <w:bookmarkEnd w:id="64"/>
      <w:bookmarkEnd w:id="65"/>
      <w:bookmarkEnd w:id="66"/>
      <w:bookmarkEnd w:id="67"/>
      <w:bookmarkEnd w:id="68"/>
    </w:p>
    <w:p>
      <w:pPr>
        <w:pStyle w:val="Footnoteheading"/>
        <w:keepNext/>
        <w:rPr>
          <w:snapToGrid w:val="0"/>
        </w:rPr>
      </w:pPr>
      <w:r>
        <w:rPr>
          <w:snapToGrid w:val="0"/>
        </w:rPr>
        <w:tab/>
        <w:t>[Heading inserted by No. 72 of 1996 s. 5.]</w:t>
      </w:r>
    </w:p>
    <w:p>
      <w:pPr>
        <w:pStyle w:val="Heading5"/>
        <w:rPr>
          <w:snapToGrid w:val="0"/>
        </w:rPr>
      </w:pPr>
      <w:bookmarkStart w:id="69" w:name="_Toc22915183"/>
      <w:r>
        <w:rPr>
          <w:rStyle w:val="CharSectno"/>
        </w:rPr>
        <w:t>25E</w:t>
      </w:r>
      <w:r>
        <w:rPr>
          <w:snapToGrid w:val="0"/>
        </w:rPr>
        <w:t xml:space="preserve">. </w:t>
      </w:r>
      <w:r>
        <w:rPr>
          <w:snapToGrid w:val="0"/>
        </w:rPr>
        <w:tab/>
        <w:t>Application of this Division</w:t>
      </w:r>
      <w:bookmarkEnd w:id="69"/>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70" w:name="_Toc22915184"/>
      <w:r>
        <w:rPr>
          <w:rStyle w:val="CharSectno"/>
        </w:rPr>
        <w:t>25F</w:t>
      </w:r>
      <w:r>
        <w:t>.</w:t>
      </w:r>
      <w:r>
        <w:tab/>
      </w:r>
      <w:smartTag w:uri="urn:schemas-microsoft-com:office:smarttags" w:element="place">
        <w:smartTag w:uri="urn:schemas-microsoft-com:office:smarttags" w:element="City">
          <w:r>
            <w:t>Sale</w:t>
          </w:r>
        </w:smartTag>
      </w:smartTag>
      <w:r>
        <w:t xml:space="preserve"> by owner</w:t>
      </w:r>
      <w:r>
        <w:noBreakHyphen/>
        <w:t>builder, restrictions on</w:t>
      </w:r>
      <w:bookmarkEnd w:id="70"/>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71" w:name="_Toc22915185"/>
      <w:r>
        <w:rPr>
          <w:rStyle w:val="CharSectno"/>
        </w:rPr>
        <w:t>25FA</w:t>
      </w:r>
      <w:r>
        <w:t>.</w:t>
      </w:r>
      <w:r>
        <w:tab/>
      </w:r>
      <w:smartTag w:uri="urn:schemas-microsoft-com:office:smarttags" w:element="place">
        <w:smartTag w:uri="urn:schemas-microsoft-com:office:smarttags" w:element="City">
          <w:r>
            <w:t>Sale</w:t>
          </w:r>
        </w:smartTag>
      </w:smartTag>
      <w:r>
        <w:t xml:space="preserve"> by certain owner-builders, </w:t>
      </w:r>
      <w:smartTag w:uri="urn:schemas-microsoft-com:office:smarttags" w:element="City">
        <w:r>
          <w:t>furth</w:t>
        </w:r>
      </w:smartTag>
      <w:r>
        <w:t>er restrictions on</w:t>
      </w:r>
      <w:bookmarkEnd w:id="71"/>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72" w:name="_Toc22915186"/>
      <w:r>
        <w:rPr>
          <w:rStyle w:val="CharSectno"/>
        </w:rPr>
        <w:t>25G</w:t>
      </w:r>
      <w:r>
        <w:rPr>
          <w:snapToGrid w:val="0"/>
        </w:rPr>
        <w:t xml:space="preserve">. </w:t>
      </w:r>
      <w:r>
        <w:rPr>
          <w:snapToGrid w:val="0"/>
        </w:rPr>
        <w:tab/>
        <w:t>Insurance policy for this Division, terms of</w:t>
      </w:r>
      <w:bookmarkEnd w:id="72"/>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73" w:name="_Toc22915187"/>
      <w:r>
        <w:rPr>
          <w:rStyle w:val="CharSectno"/>
        </w:rPr>
        <w:t>25GA</w:t>
      </w:r>
      <w:r>
        <w:t>.</w:t>
      </w:r>
      <w:r>
        <w:tab/>
        <w:t>Corresponding cover by an approved fund for owner</w:t>
      </w:r>
      <w:r>
        <w:noBreakHyphen/>
        <w:t>builders</w:t>
      </w:r>
      <w:bookmarkEnd w:id="73"/>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74" w:name="_Toc530488429"/>
      <w:bookmarkStart w:id="75" w:name="_Toc530489414"/>
      <w:bookmarkStart w:id="76" w:name="_Toc530558363"/>
      <w:bookmarkStart w:id="77" w:name="_Toc22915003"/>
      <w:bookmarkStart w:id="78" w:name="_Toc22915107"/>
      <w:bookmarkStart w:id="79" w:name="_Toc22915188"/>
      <w:r>
        <w:rPr>
          <w:rStyle w:val="CharDivNo"/>
        </w:rPr>
        <w:t>Division 3A</w:t>
      </w:r>
      <w:r>
        <w:t> — </w:t>
      </w:r>
      <w:r>
        <w:rPr>
          <w:rStyle w:val="CharDivText"/>
        </w:rPr>
        <w:t>Approved funds</w:t>
      </w:r>
      <w:bookmarkEnd w:id="74"/>
      <w:bookmarkEnd w:id="75"/>
      <w:bookmarkEnd w:id="76"/>
      <w:bookmarkEnd w:id="77"/>
      <w:bookmarkEnd w:id="78"/>
      <w:bookmarkEnd w:id="79"/>
    </w:p>
    <w:p>
      <w:pPr>
        <w:pStyle w:val="Footnoteheading"/>
        <w:keepNext/>
        <w:rPr>
          <w:snapToGrid w:val="0"/>
        </w:rPr>
      </w:pPr>
      <w:r>
        <w:rPr>
          <w:snapToGrid w:val="0"/>
        </w:rPr>
        <w:tab/>
        <w:t>[Heading inserted by No. 37 of 2002 s. 16.]</w:t>
      </w:r>
    </w:p>
    <w:p>
      <w:pPr>
        <w:pStyle w:val="Heading5"/>
      </w:pPr>
      <w:bookmarkStart w:id="80" w:name="_Toc22915189"/>
      <w:r>
        <w:rPr>
          <w:rStyle w:val="CharSectno"/>
        </w:rPr>
        <w:t>25GB</w:t>
      </w:r>
      <w:r>
        <w:t>.</w:t>
      </w:r>
      <w:r>
        <w:tab/>
        <w:t>Approval of fund by Minister</w:t>
      </w:r>
      <w:bookmarkEnd w:id="80"/>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81" w:name="_Toc22915190"/>
      <w:r>
        <w:rPr>
          <w:rStyle w:val="CharSectno"/>
        </w:rPr>
        <w:t>25GC</w:t>
      </w:r>
      <w:r>
        <w:t>.</w:t>
      </w:r>
      <w:r>
        <w:tab/>
        <w:t>Certain changes to approved fund require Minister’s consent</w:t>
      </w:r>
      <w:bookmarkEnd w:id="81"/>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82" w:name="_Toc22915191"/>
      <w:r>
        <w:rPr>
          <w:rStyle w:val="CharSectno"/>
        </w:rPr>
        <w:t>25GD</w:t>
      </w:r>
      <w:r>
        <w:t>.</w:t>
      </w:r>
      <w:r>
        <w:tab/>
        <w:t>Approval of fund, revoking</w:t>
      </w:r>
      <w:bookmarkEnd w:id="82"/>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83" w:name="_Toc530488433"/>
      <w:bookmarkStart w:id="84" w:name="_Toc530489418"/>
      <w:bookmarkStart w:id="85" w:name="_Toc530558367"/>
      <w:bookmarkStart w:id="86" w:name="_Toc22915007"/>
      <w:bookmarkStart w:id="87" w:name="_Toc22915111"/>
      <w:bookmarkStart w:id="88" w:name="_Toc22915192"/>
      <w:r>
        <w:rPr>
          <w:rStyle w:val="CharDivNo"/>
        </w:rPr>
        <w:t>Division 4</w:t>
      </w:r>
      <w:r>
        <w:rPr>
          <w:snapToGrid w:val="0"/>
        </w:rPr>
        <w:t> — </w:t>
      </w:r>
      <w:r>
        <w:rPr>
          <w:rStyle w:val="CharDivText"/>
        </w:rPr>
        <w:t>Review</w:t>
      </w:r>
      <w:bookmarkEnd w:id="83"/>
      <w:bookmarkEnd w:id="84"/>
      <w:bookmarkEnd w:id="85"/>
      <w:bookmarkEnd w:id="86"/>
      <w:bookmarkEnd w:id="87"/>
      <w:bookmarkEnd w:id="88"/>
    </w:p>
    <w:p>
      <w:pPr>
        <w:pStyle w:val="Footnoteheading"/>
        <w:keepNext/>
        <w:rPr>
          <w:snapToGrid w:val="0"/>
        </w:rPr>
      </w:pPr>
      <w:r>
        <w:rPr>
          <w:snapToGrid w:val="0"/>
        </w:rPr>
        <w:tab/>
        <w:t>[Heading inserted by No. 72 of 1996 s. 5.]</w:t>
      </w:r>
    </w:p>
    <w:p>
      <w:pPr>
        <w:pStyle w:val="Heading5"/>
        <w:rPr>
          <w:snapToGrid w:val="0"/>
        </w:rPr>
      </w:pPr>
      <w:bookmarkStart w:id="89" w:name="_Toc22915193"/>
      <w:r>
        <w:rPr>
          <w:rStyle w:val="CharSectno"/>
        </w:rPr>
        <w:t>25H</w:t>
      </w:r>
      <w:r>
        <w:rPr>
          <w:snapToGrid w:val="0"/>
        </w:rPr>
        <w:t xml:space="preserve">. </w:t>
      </w:r>
      <w:r>
        <w:rPr>
          <w:snapToGrid w:val="0"/>
        </w:rPr>
        <w:tab/>
        <w:t>Review of this Part by Minister</w:t>
      </w:r>
      <w:bookmarkEnd w:id="89"/>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90" w:name="_Toc530488435"/>
      <w:bookmarkStart w:id="91" w:name="_Toc530489420"/>
      <w:bookmarkStart w:id="92" w:name="_Toc530558369"/>
      <w:bookmarkStart w:id="93" w:name="_Toc22915009"/>
      <w:bookmarkStart w:id="94" w:name="_Toc22915113"/>
      <w:bookmarkStart w:id="95" w:name="_Toc22915194"/>
      <w:r>
        <w:rPr>
          <w:rStyle w:val="CharDivNo"/>
        </w:rPr>
        <w:t>Division 5</w:t>
      </w:r>
      <w:r>
        <w:t> — </w:t>
      </w:r>
      <w:r>
        <w:rPr>
          <w:rStyle w:val="CharDivText"/>
        </w:rPr>
        <w:t>Provisions about non</w:t>
      </w:r>
      <w:r>
        <w:rPr>
          <w:rStyle w:val="CharDivText"/>
        </w:rPr>
        <w:noBreakHyphen/>
        <w:t>application of sections 25C(1) and (2) and 25F(1)</w:t>
      </w:r>
      <w:bookmarkEnd w:id="90"/>
      <w:bookmarkEnd w:id="91"/>
      <w:bookmarkEnd w:id="92"/>
      <w:bookmarkEnd w:id="93"/>
      <w:bookmarkEnd w:id="94"/>
      <w:bookmarkEnd w:id="95"/>
    </w:p>
    <w:p>
      <w:pPr>
        <w:pStyle w:val="Footnoteheading"/>
        <w:keepNext/>
        <w:rPr>
          <w:snapToGrid w:val="0"/>
        </w:rPr>
      </w:pPr>
      <w:r>
        <w:rPr>
          <w:snapToGrid w:val="0"/>
        </w:rPr>
        <w:tab/>
        <w:t>[Heading inserted by No. 37 of 2002 s. 17.]</w:t>
      </w:r>
    </w:p>
    <w:p>
      <w:pPr>
        <w:pStyle w:val="Heading5"/>
      </w:pPr>
      <w:bookmarkStart w:id="96" w:name="_Toc22915195"/>
      <w:r>
        <w:rPr>
          <w:rStyle w:val="CharSectno"/>
        </w:rPr>
        <w:t>25I</w:t>
      </w:r>
      <w:r>
        <w:t>.</w:t>
      </w:r>
      <w:r>
        <w:tab/>
        <w:t>Periods for s. 25C(3) and 25F(2), Minister may specify</w:t>
      </w:r>
      <w:bookmarkEnd w:id="96"/>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97" w:name="_Toc22915196"/>
      <w:r>
        <w:rPr>
          <w:rStyle w:val="CharSectno"/>
        </w:rPr>
        <w:t>25J</w:t>
      </w:r>
      <w:r>
        <w:t>.</w:t>
      </w:r>
      <w:r>
        <w:tab/>
        <w:t>Contracts with builders, builders to give prescribed notice to other party</w:t>
      </w:r>
      <w:bookmarkEnd w:id="97"/>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98" w:name="_Toc22915197"/>
      <w:r>
        <w:rPr>
          <w:rStyle w:val="CharSectno"/>
        </w:rPr>
        <w:t>25K</w:t>
      </w:r>
      <w:r>
        <w:t>.</w:t>
      </w:r>
      <w:r>
        <w:tab/>
      </w:r>
      <w:smartTag w:uri="urn:schemas-microsoft-com:office:smarttags" w:element="place">
        <w:smartTag w:uri="urn:schemas-microsoft-com:office:smarttags" w:element="City">
          <w:r>
            <w:t>Sale</w:t>
          </w:r>
        </w:smartTag>
      </w:smartTag>
      <w:r>
        <w:t xml:space="preserve"> contract with owner-builder, owner-builder to give prescribed notice to other party</w:t>
      </w:r>
      <w:bookmarkEnd w:id="98"/>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99" w:name="_Toc22915198"/>
      <w:r>
        <w:rPr>
          <w:rStyle w:val="CharSectno"/>
        </w:rPr>
        <w:t>25L</w:t>
      </w:r>
      <w:r>
        <w:t>.</w:t>
      </w:r>
      <w:r>
        <w:tab/>
        <w:t>Subsequent purchaser to be given notice given under s. 25J in some cases</w:t>
      </w:r>
      <w:bookmarkEnd w:id="99"/>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100" w:name="_Toc530488440"/>
      <w:bookmarkStart w:id="101" w:name="_Toc530489425"/>
      <w:bookmarkStart w:id="102" w:name="_Toc530558374"/>
      <w:bookmarkStart w:id="103" w:name="_Toc22915014"/>
      <w:bookmarkStart w:id="104" w:name="_Toc22915118"/>
      <w:bookmarkStart w:id="105" w:name="_Toc22915199"/>
      <w:r>
        <w:rPr>
          <w:rStyle w:val="CharPartNo"/>
        </w:rPr>
        <w:t>Part 4</w:t>
      </w:r>
      <w:r>
        <w:rPr>
          <w:rStyle w:val="CharDivNo"/>
        </w:rPr>
        <w:t> </w:t>
      </w:r>
      <w:r>
        <w:t>—</w:t>
      </w:r>
      <w:r>
        <w:rPr>
          <w:rStyle w:val="CharDivText"/>
        </w:rPr>
        <w:t> </w:t>
      </w:r>
      <w:r>
        <w:rPr>
          <w:rStyle w:val="CharPartText"/>
        </w:rPr>
        <w:t>General</w:t>
      </w:r>
      <w:bookmarkEnd w:id="100"/>
      <w:bookmarkEnd w:id="101"/>
      <w:bookmarkEnd w:id="102"/>
      <w:bookmarkEnd w:id="103"/>
      <w:bookmarkEnd w:id="104"/>
      <w:bookmarkEnd w:id="105"/>
    </w:p>
    <w:p>
      <w:pPr>
        <w:pStyle w:val="Heading5"/>
        <w:rPr>
          <w:snapToGrid w:val="0"/>
        </w:rPr>
      </w:pPr>
      <w:bookmarkStart w:id="106" w:name="_Toc22915200"/>
      <w:r>
        <w:rPr>
          <w:rStyle w:val="CharSectno"/>
        </w:rPr>
        <w:t>26</w:t>
      </w:r>
      <w:r>
        <w:rPr>
          <w:snapToGrid w:val="0"/>
        </w:rPr>
        <w:t>.</w:t>
      </w:r>
      <w:r>
        <w:rPr>
          <w:snapToGrid w:val="0"/>
        </w:rPr>
        <w:tab/>
        <w:t>Inspection by owner etc. of building work, prevention of etc.</w:t>
      </w:r>
      <w:bookmarkEnd w:id="106"/>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107" w:name="_Toc22915201"/>
      <w:r>
        <w:rPr>
          <w:rStyle w:val="CharSectno"/>
        </w:rPr>
        <w:t>27</w:t>
      </w:r>
      <w:r>
        <w:rPr>
          <w:snapToGrid w:val="0"/>
        </w:rPr>
        <w:t>.</w:t>
      </w:r>
      <w:r>
        <w:rPr>
          <w:snapToGrid w:val="0"/>
        </w:rPr>
        <w:tab/>
        <w:t>Breach of Act, effect of on contract</w:t>
      </w:r>
      <w:bookmarkEnd w:id="107"/>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108" w:name="_Toc22915202"/>
      <w:r>
        <w:rPr>
          <w:rStyle w:val="CharSectno"/>
        </w:rPr>
        <w:t>28</w:t>
      </w:r>
      <w:r>
        <w:rPr>
          <w:snapToGrid w:val="0"/>
        </w:rPr>
        <w:t>.</w:t>
      </w:r>
      <w:r>
        <w:rPr>
          <w:snapToGrid w:val="0"/>
        </w:rPr>
        <w:tab/>
        <w:t>Contracting out prohibited</w:t>
      </w:r>
      <w:bookmarkEnd w:id="108"/>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109" w:name="_Toc22915203"/>
      <w:r>
        <w:rPr>
          <w:rStyle w:val="CharSectno"/>
        </w:rPr>
        <w:t>29</w:t>
      </w:r>
      <w:r>
        <w:rPr>
          <w:snapToGrid w:val="0"/>
        </w:rPr>
        <w:t>.</w:t>
      </w:r>
      <w:r>
        <w:rPr>
          <w:snapToGrid w:val="0"/>
        </w:rPr>
        <w:tab/>
        <w:t>Other laws not affected</w:t>
      </w:r>
      <w:bookmarkEnd w:id="109"/>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110" w:name="_Toc22915204"/>
      <w:r>
        <w:rPr>
          <w:rStyle w:val="CharSectno"/>
        </w:rPr>
        <w:t>30</w:t>
      </w:r>
      <w:r>
        <w:rPr>
          <w:snapToGrid w:val="0"/>
        </w:rPr>
        <w:t>.</w:t>
      </w:r>
      <w:r>
        <w:rPr>
          <w:snapToGrid w:val="0"/>
        </w:rPr>
        <w:tab/>
        <w:t>Offences by body corporate, liability of officers for</w:t>
      </w:r>
      <w:bookmarkEnd w:id="110"/>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111" w:name="_Toc22915205"/>
      <w:r>
        <w:rPr>
          <w:rStyle w:val="CharSectno"/>
        </w:rPr>
        <w:t>31</w:t>
      </w:r>
      <w:r>
        <w:t>.</w:t>
      </w:r>
      <w:r>
        <w:tab/>
        <w:t>Prosecutions</w:t>
      </w:r>
      <w:bookmarkEnd w:id="111"/>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p>
      <w:pPr>
        <w:pStyle w:val="Ednotesection"/>
      </w:pPr>
      <w:r>
        <w:t>[</w:t>
      </w:r>
      <w:r>
        <w:rPr>
          <w:b/>
        </w:rPr>
        <w:t>31A.</w:t>
      </w:r>
      <w:r>
        <w:tab/>
        <w:t>Deleted by No. 16 of 2011 s. 125]</w:t>
      </w:r>
    </w:p>
    <w:p>
      <w:pPr>
        <w:pStyle w:val="Heading5"/>
        <w:rPr>
          <w:snapToGrid w:val="0"/>
        </w:rPr>
      </w:pPr>
      <w:bookmarkStart w:id="112" w:name="_Toc22915206"/>
      <w:r>
        <w:rPr>
          <w:rStyle w:val="CharSectno"/>
        </w:rPr>
        <w:t>31B</w:t>
      </w:r>
      <w:r>
        <w:t>.</w:t>
      </w:r>
      <w:r>
        <w:tab/>
      </w:r>
      <w:r>
        <w:rPr>
          <w:snapToGrid w:val="0"/>
        </w:rPr>
        <w:t>Infringement notices</w:t>
      </w:r>
      <w:bookmarkEnd w:id="112"/>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113" w:name="_Toc22915207"/>
      <w:r>
        <w:rPr>
          <w:rStyle w:val="CharSectno"/>
        </w:rPr>
        <w:t>32</w:t>
      </w:r>
      <w:r>
        <w:rPr>
          <w:snapToGrid w:val="0"/>
        </w:rPr>
        <w:t>.</w:t>
      </w:r>
      <w:r>
        <w:rPr>
          <w:snapToGrid w:val="0"/>
        </w:rPr>
        <w:tab/>
        <w:t>Regulations</w:t>
      </w:r>
      <w:bookmarkEnd w:id="1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rPr>
          <w:snapToGrid w:val="0"/>
        </w:rPr>
      </w:pPr>
      <w:bookmarkStart w:id="114" w:name="_Toc22915208"/>
      <w:r>
        <w:rPr>
          <w:rStyle w:val="CharSectno"/>
        </w:rPr>
        <w:t>33</w:t>
      </w:r>
      <w:r>
        <w:rPr>
          <w:snapToGrid w:val="0"/>
        </w:rPr>
        <w:t>.</w:t>
      </w:r>
      <w:r>
        <w:rPr>
          <w:snapToGrid w:val="0"/>
        </w:rPr>
        <w:tab/>
        <w:t>Retrospectivity of Act</w:t>
      </w:r>
      <w:bookmarkEnd w:id="114"/>
    </w:p>
    <w:p>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115" w:name="_Toc22915209"/>
      <w:r>
        <w:rPr>
          <w:rStyle w:val="CharSectno"/>
        </w:rPr>
        <w:t>34</w:t>
      </w:r>
      <w:r>
        <w:rPr>
          <w:snapToGrid w:val="0"/>
        </w:rPr>
        <w:t>.</w:t>
      </w:r>
      <w:r>
        <w:rPr>
          <w:snapToGrid w:val="0"/>
        </w:rPr>
        <w:tab/>
        <w:t>Review of Act</w:t>
      </w:r>
      <w:bookmarkEnd w:id="11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16" w:name="_Toc530488451"/>
      <w:bookmarkStart w:id="117" w:name="_Toc530489436"/>
      <w:bookmarkStart w:id="118" w:name="_Toc530558385"/>
      <w:bookmarkStart w:id="119" w:name="_Toc22915025"/>
      <w:bookmarkStart w:id="120" w:name="_Toc22915129"/>
      <w:bookmarkStart w:id="121" w:name="_Toc22915210"/>
      <w:r>
        <w:rPr>
          <w:rStyle w:val="CharSchNo"/>
        </w:rPr>
        <w:t>Schedule 1</w:t>
      </w:r>
      <w:r>
        <w:t xml:space="preserve"> — </w:t>
      </w:r>
      <w:r>
        <w:rPr>
          <w:rStyle w:val="CharSchText"/>
        </w:rPr>
        <w:t>Consequences of non</w:t>
      </w:r>
      <w:r>
        <w:rPr>
          <w:rStyle w:val="CharSchText"/>
        </w:rPr>
        <w:noBreakHyphen/>
        <w:t>fulfilment of conditions</w:t>
      </w:r>
      <w:bookmarkEnd w:id="116"/>
      <w:bookmarkEnd w:id="117"/>
      <w:bookmarkEnd w:id="118"/>
      <w:bookmarkEnd w:id="119"/>
      <w:bookmarkEnd w:id="120"/>
      <w:bookmarkEnd w:id="121"/>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122" w:name="_Toc22915211"/>
      <w:r>
        <w:rPr>
          <w:rStyle w:val="CharSClsNo"/>
        </w:rPr>
        <w:t>1</w:t>
      </w:r>
      <w:r>
        <w:rPr>
          <w:snapToGrid w:val="0"/>
        </w:rPr>
        <w:t>.</w:t>
      </w:r>
      <w:r>
        <w:rPr>
          <w:snapToGrid w:val="0"/>
        </w:rPr>
        <w:tab/>
        <w:t>Condition in s. 9(1), non-fulfilment of by builder</w:t>
      </w:r>
      <w:bookmarkEnd w:id="122"/>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123" w:name="_Toc22915212"/>
      <w:r>
        <w:rPr>
          <w:rStyle w:val="CharSClsNo"/>
        </w:rPr>
        <w:t>2</w:t>
      </w:r>
      <w:r>
        <w:rPr>
          <w:snapToGrid w:val="0"/>
        </w:rPr>
        <w:t>.</w:t>
      </w:r>
      <w:r>
        <w:rPr>
          <w:snapToGrid w:val="0"/>
        </w:rPr>
        <w:tab/>
        <w:t>Condition in s. 9(1), non-fulfilment of by owner</w:t>
      </w:r>
      <w:bookmarkEnd w:id="123"/>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76 of 2000 s. 58(a); No. 19 of 2010 s. 51.]</w:t>
      </w:r>
    </w:p>
    <w:p>
      <w:pPr>
        <w:pStyle w:val="yHeading5"/>
        <w:rPr>
          <w:snapToGrid w:val="0"/>
        </w:rPr>
      </w:pPr>
      <w:bookmarkStart w:id="124" w:name="_Toc22915213"/>
      <w:r>
        <w:rPr>
          <w:rStyle w:val="CharSClsNo"/>
        </w:rPr>
        <w:t>3</w:t>
      </w:r>
      <w:r>
        <w:rPr>
          <w:snapToGrid w:val="0"/>
        </w:rPr>
        <w:t>.</w:t>
      </w:r>
      <w:r>
        <w:rPr>
          <w:snapToGrid w:val="0"/>
        </w:rPr>
        <w:tab/>
        <w:t>Condition in s. 9(1), non-fulfilment of by builder and owner</w:t>
      </w:r>
      <w:bookmarkEnd w:id="124"/>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76 of 2000 s. 58(b); No. 19 of 2010 s. 51.]</w:t>
      </w:r>
    </w:p>
    <w:p>
      <w:pPr>
        <w:pStyle w:val="yHeading5"/>
        <w:rPr>
          <w:snapToGrid w:val="0"/>
        </w:rPr>
      </w:pPr>
      <w:bookmarkStart w:id="125" w:name="_Toc22915214"/>
      <w:r>
        <w:rPr>
          <w:rStyle w:val="CharSClsNo"/>
        </w:rPr>
        <w:t>4</w:t>
      </w:r>
      <w:r>
        <w:rPr>
          <w:snapToGrid w:val="0"/>
        </w:rPr>
        <w:t>.</w:t>
      </w:r>
      <w:r>
        <w:rPr>
          <w:snapToGrid w:val="0"/>
        </w:rPr>
        <w:tab/>
        <w:t>Rights of builder and owner if cl. 2 or 3 or s. 13(4)(c) applies</w:t>
      </w:r>
      <w:bookmarkEnd w:id="125"/>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57 of 1997 s. 73; No. 19 of 2010 s. 51.]</w:t>
      </w:r>
    </w:p>
    <w:p>
      <w:pPr>
        <w:pStyle w:val="yHeading5"/>
        <w:rPr>
          <w:snapToGrid w:val="0"/>
        </w:rPr>
      </w:pPr>
      <w:bookmarkStart w:id="126" w:name="_Toc22915215"/>
      <w:r>
        <w:rPr>
          <w:rStyle w:val="CharSClsNo"/>
        </w:rPr>
        <w:t>5</w:t>
      </w:r>
      <w:r>
        <w:rPr>
          <w:snapToGrid w:val="0"/>
        </w:rPr>
        <w:t>.</w:t>
      </w:r>
      <w:r>
        <w:rPr>
          <w:snapToGrid w:val="0"/>
        </w:rPr>
        <w:tab/>
        <w:t>Price increase, review of</w:t>
      </w:r>
      <w:bookmarkEnd w:id="126"/>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by No. 76 of 2000 s. 57 and 58(c); No. 37 of 2002 s. 20; No. 19 of 2010 s. 51; No. 16 of 2011 s. 126.]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28" w:name="_Toc530488457"/>
      <w:bookmarkStart w:id="129" w:name="_Toc530489442"/>
      <w:bookmarkStart w:id="130" w:name="_Toc530558391"/>
      <w:bookmarkStart w:id="131" w:name="_Toc22915031"/>
      <w:bookmarkStart w:id="132" w:name="_Toc22915135"/>
      <w:bookmarkStart w:id="133" w:name="_Toc22915216"/>
      <w:r>
        <w:t>Notes</w:t>
      </w:r>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snapToGrid w:val="0"/>
          <w:vertAlign w:val="superscript"/>
        </w:rPr>
        <w:t> 1a,</w:t>
      </w:r>
      <w:r>
        <w:rPr>
          <w:caps/>
          <w:snapToGrid w:val="0"/>
          <w:vertAlign w:val="superscript"/>
        </w:rPr>
        <w:t> </w:t>
      </w:r>
      <w:r>
        <w:rPr>
          <w:rFonts w:ascii="Times" w:hAnsi="Times"/>
          <w:snapToGrid w:val="0"/>
          <w:vertAlign w:val="superscript"/>
        </w:rPr>
        <w:t>2</w:t>
      </w:r>
      <w:r>
        <w:rPr>
          <w:snapToGrid w:val="0"/>
        </w:rPr>
        <w:t>.  The table also contains information about any reprint.</w:t>
      </w:r>
    </w:p>
    <w:p>
      <w:pPr>
        <w:pStyle w:val="nHeading3"/>
        <w:spacing w:before="180"/>
        <w:rPr>
          <w:snapToGrid w:val="0"/>
        </w:rPr>
      </w:pPr>
      <w:bookmarkStart w:id="134" w:name="_Toc22915217"/>
      <w:r>
        <w:rPr>
          <w:snapToGrid w:val="0"/>
        </w:rPr>
        <w:t>Compilation table</w:t>
      </w:r>
      <w:bookmarkEnd w:id="1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134" w:type="dxa"/>
            <w:tcBorders>
              <w:top w:val="single" w:sz="8" w:space="0" w:color="auto"/>
            </w:tcBorders>
          </w:tcPr>
          <w:p>
            <w:pPr>
              <w:pStyle w:val="nTable"/>
              <w:spacing w:after="40"/>
            </w:pPr>
            <w:r>
              <w:t>61 of 1991</w:t>
            </w:r>
          </w:p>
        </w:tc>
        <w:tc>
          <w:tcPr>
            <w:tcW w:w="1134" w:type="dxa"/>
            <w:tcBorders>
              <w:top w:val="single" w:sz="8" w:space="0" w:color="auto"/>
            </w:tcBorders>
          </w:tcPr>
          <w:p>
            <w:pPr>
              <w:pStyle w:val="nTable"/>
              <w:spacing w:after="40"/>
            </w:pPr>
            <w:r>
              <w:t>30 Dec 1991</w:t>
            </w:r>
          </w:p>
        </w:tc>
        <w:tc>
          <w:tcPr>
            <w:tcW w:w="2552" w:type="dxa"/>
            <w:tcBorders>
              <w:top w:val="single" w:sz="8" w:space="0" w:color="auto"/>
            </w:tcBorders>
          </w:tcPr>
          <w:p>
            <w:pPr>
              <w:pStyle w:val="nTable"/>
              <w:spacing w:after="40"/>
            </w:pPr>
            <w:r>
              <w:t>s. 1 and 2: 30 Dec 1991;</w:t>
            </w:r>
            <w:r>
              <w:br/>
              <w:t xml:space="preserve">Act other than s. 1 and 2: 4 Apr 1992 (see s. 2 and </w:t>
            </w:r>
            <w:r>
              <w:rPr>
                <w:i/>
              </w:rPr>
              <w:t>Gazette</w:t>
            </w:r>
            <w:r>
              <w:t xml:space="preserve"> 3 Apr 1992 p. 1461)</w:t>
            </w:r>
          </w:p>
        </w:tc>
      </w:tr>
      <w:tr>
        <w:trPr>
          <w:cantSplit/>
        </w:trPr>
        <w:tc>
          <w:tcPr>
            <w:tcW w:w="2268" w:type="dxa"/>
          </w:tcPr>
          <w:p>
            <w:pPr>
              <w:pStyle w:val="nTable"/>
              <w:spacing w:after="40"/>
              <w:ind w:right="113"/>
            </w:pPr>
            <w:r>
              <w:rPr>
                <w:i/>
              </w:rPr>
              <w:t xml:space="preserve">Strata Titles Amendment Act 1995 </w:t>
            </w:r>
            <w:r>
              <w:t>s. 97</w:t>
            </w:r>
          </w:p>
        </w:tc>
        <w:tc>
          <w:tcPr>
            <w:tcW w:w="1134" w:type="dxa"/>
          </w:tcPr>
          <w:p>
            <w:pPr>
              <w:pStyle w:val="nTable"/>
              <w:spacing w:after="40"/>
            </w:pPr>
            <w:r>
              <w:t>58 of 1995</w:t>
            </w:r>
          </w:p>
        </w:tc>
        <w:tc>
          <w:tcPr>
            <w:tcW w:w="1134"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2268" w:type="dxa"/>
          </w:tcPr>
          <w:p>
            <w:pPr>
              <w:pStyle w:val="nTable"/>
              <w:spacing w:after="40"/>
              <w:ind w:right="113"/>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1996</w:t>
            </w:r>
          </w:p>
        </w:tc>
        <w:tc>
          <w:tcPr>
            <w:tcW w:w="1134" w:type="dxa"/>
          </w:tcPr>
          <w:p>
            <w:pPr>
              <w:pStyle w:val="nTable"/>
              <w:spacing w:after="40"/>
            </w:pPr>
            <w:r>
              <w:t>72 of 1996</w:t>
            </w:r>
          </w:p>
        </w:tc>
        <w:tc>
          <w:tcPr>
            <w:tcW w:w="1134" w:type="dxa"/>
          </w:tcPr>
          <w:p>
            <w:pPr>
              <w:pStyle w:val="nTable"/>
              <w:spacing w:after="40"/>
            </w:pPr>
            <w:r>
              <w:t>13 Nov 1996</w:t>
            </w:r>
          </w:p>
        </w:tc>
        <w:tc>
          <w:tcPr>
            <w:tcW w:w="2552" w:type="dxa"/>
          </w:tcPr>
          <w:p>
            <w:pPr>
              <w:pStyle w:val="nTable"/>
              <w:spacing w:after="40"/>
            </w:pPr>
            <w:r>
              <w:t>s. 1 and 2: 13 Nov 1996;</w:t>
            </w:r>
            <w:r>
              <w:br/>
              <w:t xml:space="preserve">Act other than s. 1 and 2: 1 Feb 1997 (see s. 2 and </w:t>
            </w:r>
            <w:r>
              <w:rPr>
                <w:i/>
              </w:rPr>
              <w:t>Gazette</w:t>
            </w:r>
            <w:r>
              <w:t xml:space="preserve"> 24 Jan 1997 p. 543)</w:t>
            </w:r>
          </w:p>
        </w:tc>
      </w:tr>
      <w:tr>
        <w:trPr>
          <w:cantSplit/>
        </w:trPr>
        <w:tc>
          <w:tcPr>
            <w:tcW w:w="2268" w:type="dxa"/>
          </w:tcPr>
          <w:p>
            <w:pPr>
              <w:pStyle w:val="nTable"/>
              <w:spacing w:after="40"/>
              <w:ind w:right="113"/>
            </w:pPr>
            <w:r>
              <w:rPr>
                <w:i/>
              </w:rPr>
              <w:t xml:space="preserve">Trustees Amendment Act 1997 </w:t>
            </w:r>
            <w:r>
              <w:t>s. 18</w:t>
            </w:r>
          </w:p>
        </w:tc>
        <w:tc>
          <w:tcPr>
            <w:tcW w:w="1134" w:type="dxa"/>
          </w:tcPr>
          <w:p>
            <w:pPr>
              <w:pStyle w:val="nTable"/>
              <w:spacing w:after="40"/>
            </w:pPr>
            <w:r>
              <w:t>1 of 1997</w:t>
            </w:r>
          </w:p>
        </w:tc>
        <w:tc>
          <w:tcPr>
            <w:tcW w:w="1134"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br w:type="page"/>
            </w:r>
            <w:r>
              <w:rPr>
                <w:i/>
              </w:rPr>
              <w:t xml:space="preserve">Statutes (Repeals and Minor Amendments) Act 1997 </w:t>
            </w:r>
            <w:r>
              <w:t>s. 73</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30 Oct 1998 </w:t>
            </w:r>
            <w:r>
              <w:t>(includes amendments listed above)</w:t>
            </w:r>
          </w:p>
        </w:tc>
      </w:tr>
      <w:tr>
        <w:trPr>
          <w:cantSplit/>
        </w:trPr>
        <w:tc>
          <w:tcPr>
            <w:tcW w:w="2268" w:type="dxa"/>
          </w:tcPr>
          <w:p>
            <w:pPr>
              <w:pStyle w:val="nTable"/>
              <w:spacing w:after="40"/>
              <w:ind w:right="113"/>
              <w:rPr>
                <w:vertAlign w:val="superscript"/>
              </w:rPr>
            </w:pPr>
            <w:r>
              <w:rPr>
                <w:i/>
              </w:rPr>
              <w:t xml:space="preserve">Building Legislation Amendment Act 2000 </w:t>
            </w:r>
            <w:r>
              <w:t>Pt. 3 and s. 59 and 62 </w:t>
            </w:r>
            <w:r>
              <w:rPr>
                <w:vertAlign w:val="superscript"/>
              </w:rPr>
              <w:t>3</w:t>
            </w:r>
          </w:p>
        </w:tc>
        <w:tc>
          <w:tcPr>
            <w:tcW w:w="1134" w:type="dxa"/>
          </w:tcPr>
          <w:p>
            <w:pPr>
              <w:pStyle w:val="nTable"/>
              <w:spacing w:after="40"/>
            </w:pPr>
            <w:r>
              <w:t>76 of 2000</w:t>
            </w:r>
          </w:p>
        </w:tc>
        <w:tc>
          <w:tcPr>
            <w:tcW w:w="1134" w:type="dxa"/>
          </w:tcPr>
          <w:p>
            <w:pPr>
              <w:pStyle w:val="nTable"/>
              <w:spacing w:after="40"/>
            </w:pPr>
            <w:r>
              <w:t>7 Dec 2000</w:t>
            </w:r>
          </w:p>
        </w:tc>
        <w:tc>
          <w:tcPr>
            <w:tcW w:w="2552" w:type="dxa"/>
          </w:tcPr>
          <w:p>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trPr>
          <w:cantSplit/>
        </w:trPr>
        <w:tc>
          <w:tcPr>
            <w:tcW w:w="2268" w:type="dxa"/>
          </w:tcPr>
          <w:p>
            <w:pPr>
              <w:pStyle w:val="nTable"/>
              <w:keepNext/>
              <w:spacing w:before="60" w:after="60"/>
              <w:ind w:right="113"/>
            </w:pPr>
            <w:r>
              <w:rPr>
                <w:i/>
              </w:rPr>
              <w:t xml:space="preserve">Corporations (Consequential Amendments) Act 2001 </w:t>
            </w:r>
            <w:r>
              <w:t>s. 220</w:t>
            </w:r>
          </w:p>
        </w:tc>
        <w:tc>
          <w:tcPr>
            <w:tcW w:w="1134" w:type="dxa"/>
          </w:tcPr>
          <w:p>
            <w:pPr>
              <w:pStyle w:val="nTable"/>
              <w:keepNext/>
              <w:spacing w:before="60" w:after="60"/>
            </w:pPr>
            <w:r>
              <w:t>10 of 2001</w:t>
            </w:r>
          </w:p>
        </w:tc>
        <w:tc>
          <w:tcPr>
            <w:tcW w:w="1134" w:type="dxa"/>
          </w:tcPr>
          <w:p>
            <w:pPr>
              <w:pStyle w:val="nTable"/>
              <w:keepNext/>
              <w:spacing w:before="60" w:after="60"/>
            </w:pPr>
            <w:r>
              <w:t>28 Jun 2001</w:t>
            </w:r>
          </w:p>
        </w:tc>
        <w:tc>
          <w:tcPr>
            <w:tcW w:w="2552" w:type="dxa"/>
          </w:tcPr>
          <w:p>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9 Nov 2001 </w:t>
            </w:r>
            <w:r>
              <w:t>(includes amendments listed above)</w:t>
            </w:r>
          </w:p>
        </w:tc>
      </w:tr>
      <w:tr>
        <w:trPr>
          <w:cantSplit/>
        </w:trPr>
        <w:tc>
          <w:tcPr>
            <w:tcW w:w="2268" w:type="dxa"/>
          </w:tcPr>
          <w:p>
            <w:pPr>
              <w:pStyle w:val="nTable"/>
              <w:spacing w:before="60" w:after="6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Act 2002</w:t>
            </w:r>
          </w:p>
        </w:tc>
        <w:tc>
          <w:tcPr>
            <w:tcW w:w="1134" w:type="dxa"/>
          </w:tcPr>
          <w:p>
            <w:pPr>
              <w:pStyle w:val="nTable"/>
              <w:spacing w:before="60" w:after="60"/>
            </w:pPr>
            <w:r>
              <w:t>37 of 2002</w:t>
            </w:r>
          </w:p>
        </w:tc>
        <w:tc>
          <w:tcPr>
            <w:tcW w:w="1134" w:type="dxa"/>
          </w:tcPr>
          <w:p>
            <w:pPr>
              <w:pStyle w:val="nTable"/>
              <w:spacing w:before="60" w:after="60"/>
            </w:pPr>
            <w:r>
              <w:t>20 Nov 2002</w:t>
            </w:r>
          </w:p>
        </w:tc>
        <w:tc>
          <w:tcPr>
            <w:tcW w:w="2552" w:type="dxa"/>
          </w:tcPr>
          <w:p>
            <w:pPr>
              <w:pStyle w:val="nTable"/>
              <w:spacing w:before="60" w:after="60"/>
            </w:pPr>
            <w:r>
              <w:t>20 Nov 2002 (see s. 2)</w:t>
            </w:r>
          </w:p>
        </w:tc>
      </w:tr>
      <w:tr>
        <w:trPr>
          <w:cantSplit/>
        </w:trPr>
        <w:tc>
          <w:tcPr>
            <w:tcW w:w="2268" w:type="dxa"/>
          </w:tcPr>
          <w:p>
            <w:pPr>
              <w:pStyle w:val="nTable"/>
              <w:spacing w:before="60" w:after="60"/>
              <w:ind w:right="113"/>
            </w:pPr>
            <w:r>
              <w:rPr>
                <w:i/>
              </w:rPr>
              <w:t>Statutes (Repeals and Minor Amendments) Act 2003</w:t>
            </w:r>
            <w:r>
              <w:t xml:space="preserve"> s. 66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2" w:type="dxa"/>
          </w:tcPr>
          <w:p>
            <w:pPr>
              <w:pStyle w:val="nTable"/>
              <w:spacing w:before="60" w:after="60"/>
            </w:pPr>
            <w:r>
              <w:rPr>
                <w:spacing w:val="-2"/>
              </w:rPr>
              <w:t>15 Dec 2003 (see s. 2)</w:t>
            </w:r>
          </w:p>
        </w:tc>
      </w:tr>
      <w:tr>
        <w:trPr>
          <w:cantSplit/>
        </w:trPr>
        <w:tc>
          <w:tcPr>
            <w:tcW w:w="2268" w:type="dxa"/>
          </w:tcPr>
          <w:p>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rPr>
                <w:snapToGrid w:val="0"/>
              </w:rPr>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rPr>
                <w:snapToGrid w:val="0"/>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10 Feb 2006 </w:t>
            </w:r>
            <w:r>
              <w:t>(includes amendments listed above)</w:t>
            </w:r>
          </w:p>
        </w:tc>
      </w:tr>
      <w:tr>
        <w:trPr>
          <w:cantSplit/>
        </w:trPr>
        <w:tc>
          <w:tcPr>
            <w:tcW w:w="2268" w:type="dxa"/>
          </w:tcPr>
          <w:p>
            <w:pPr>
              <w:pStyle w:val="nTable"/>
              <w:spacing w:before="60" w:after="60"/>
              <w:ind w:right="113"/>
              <w:rPr>
                <w:iCs/>
              </w:rPr>
            </w:pPr>
            <w:r>
              <w:rPr>
                <w:i/>
              </w:rPr>
              <w:t>Statutes (Repeals and Miscellaneous Amendments) Act 2009</w:t>
            </w:r>
            <w:r>
              <w:rPr>
                <w:iCs/>
              </w:rPr>
              <w:t xml:space="preserve"> s. 75</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2" w:type="dxa"/>
          </w:tcPr>
          <w:p>
            <w:pPr>
              <w:pStyle w:val="nTable"/>
              <w:spacing w:before="60" w:after="60"/>
            </w:pPr>
            <w:r>
              <w:t>22 May 2009 (see s. 2(b))</w:t>
            </w:r>
          </w:p>
        </w:tc>
      </w:tr>
      <w:tr>
        <w:trPr>
          <w:cantSplit/>
        </w:trPr>
        <w:tc>
          <w:tcPr>
            <w:tcW w:w="2268" w:type="dxa"/>
          </w:tcPr>
          <w:p>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pPr>
              <w:pStyle w:val="nTable"/>
              <w:spacing w:before="60" w:after="60"/>
            </w:pPr>
            <w:r>
              <w:rPr>
                <w:snapToGrid w:val="0"/>
              </w:rPr>
              <w:t>19 of 2010</w:t>
            </w:r>
          </w:p>
        </w:tc>
        <w:tc>
          <w:tcPr>
            <w:tcW w:w="1134" w:type="dxa"/>
          </w:tcPr>
          <w:p>
            <w:pPr>
              <w:pStyle w:val="nTable"/>
              <w:spacing w:before="60" w:after="60"/>
            </w:pPr>
            <w:r>
              <w:rPr>
                <w:snapToGrid w:val="0"/>
              </w:rPr>
              <w:t>28 Jun 2010</w:t>
            </w:r>
          </w:p>
        </w:tc>
        <w:tc>
          <w:tcPr>
            <w:tcW w:w="2552" w:type="dxa"/>
          </w:tcPr>
          <w:p>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pPr>
              <w:pStyle w:val="nTable"/>
              <w:spacing w:before="60" w:after="60"/>
              <w:rPr>
                <w:snapToGrid w:val="0"/>
              </w:rPr>
            </w:pPr>
            <w:r>
              <w:rPr>
                <w:snapToGrid w:val="0"/>
              </w:rPr>
              <w:t>16 of 2011</w:t>
            </w:r>
          </w:p>
        </w:tc>
        <w:tc>
          <w:tcPr>
            <w:tcW w:w="1134" w:type="dxa"/>
          </w:tcPr>
          <w:p>
            <w:pPr>
              <w:pStyle w:val="nTable"/>
              <w:spacing w:before="60" w:after="60"/>
              <w:rPr>
                <w:snapToGrid w:val="0"/>
              </w:rPr>
            </w:pPr>
            <w:r>
              <w:rPr>
                <w:snapToGrid w:val="0"/>
              </w:rPr>
              <w:t>25 May 2011</w:t>
            </w:r>
          </w:p>
        </w:tc>
        <w:tc>
          <w:tcPr>
            <w:tcW w:w="2552" w:type="dxa"/>
          </w:tcPr>
          <w:p>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before="60" w:after="60"/>
              <w:ind w:right="113"/>
              <w:rPr>
                <w:i/>
                <w:snapToGrid w:val="0"/>
              </w:rPr>
            </w:pPr>
            <w:r>
              <w:rPr>
                <w:i/>
                <w:snapToGrid w:val="0"/>
              </w:rPr>
              <w:t xml:space="preserve">Building Services (Registration) Act 2011 </w:t>
            </w:r>
            <w:r>
              <w:rPr>
                <w:snapToGrid w:val="0"/>
              </w:rPr>
              <w:t>Pt. 10 Div. 1</w:t>
            </w:r>
          </w:p>
        </w:tc>
        <w:tc>
          <w:tcPr>
            <w:tcW w:w="1134" w:type="dxa"/>
          </w:tcPr>
          <w:p>
            <w:pPr>
              <w:pStyle w:val="nTable"/>
              <w:spacing w:before="60" w:after="60"/>
              <w:rPr>
                <w:snapToGrid w:val="0"/>
              </w:rPr>
            </w:pPr>
            <w:r>
              <w:rPr>
                <w:snapToGrid w:val="0"/>
              </w:rPr>
              <w:t>19 of 2011</w:t>
            </w:r>
          </w:p>
        </w:tc>
        <w:tc>
          <w:tcPr>
            <w:tcW w:w="1134" w:type="dxa"/>
          </w:tcPr>
          <w:p>
            <w:pPr>
              <w:pStyle w:val="nTable"/>
              <w:spacing w:before="60" w:after="60"/>
              <w:rPr>
                <w:snapToGrid w:val="0"/>
              </w:rPr>
            </w:pPr>
            <w:r>
              <w:rPr>
                <w:snapToGrid w:val="0"/>
              </w:rPr>
              <w:t>22 Jun 2011</w:t>
            </w:r>
          </w:p>
        </w:tc>
        <w:tc>
          <w:tcPr>
            <w:tcW w:w="2552" w:type="dxa"/>
          </w:tcPr>
          <w:p>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trPr>
          <w:cantSplit/>
        </w:trPr>
        <w:tc>
          <w:tcPr>
            <w:tcW w:w="2268" w:type="dxa"/>
          </w:tcPr>
          <w:p>
            <w:pPr>
              <w:pStyle w:val="nTable"/>
              <w:spacing w:before="60" w:after="60"/>
              <w:ind w:right="113"/>
              <w:rPr>
                <w:i/>
                <w:snapToGrid w:val="0"/>
              </w:rPr>
            </w:pPr>
            <w:r>
              <w:rPr>
                <w:i/>
                <w:snapToGrid w:val="0"/>
              </w:rPr>
              <w:t>Building Act 2011</w:t>
            </w:r>
            <w:r>
              <w:rPr>
                <w:snapToGrid w:val="0"/>
              </w:rPr>
              <w:t xml:space="preserve"> s. 163</w:t>
            </w:r>
          </w:p>
        </w:tc>
        <w:tc>
          <w:tcPr>
            <w:tcW w:w="1134" w:type="dxa"/>
          </w:tcPr>
          <w:p>
            <w:pPr>
              <w:pStyle w:val="nTable"/>
              <w:spacing w:before="60" w:after="60"/>
              <w:rPr>
                <w:snapToGrid w:val="0"/>
              </w:rPr>
            </w:pPr>
            <w:r>
              <w:rPr>
                <w:snapToGrid w:val="0"/>
              </w:rPr>
              <w:t>24 of 2011</w:t>
            </w:r>
          </w:p>
        </w:tc>
        <w:tc>
          <w:tcPr>
            <w:tcW w:w="1134" w:type="dxa"/>
          </w:tcPr>
          <w:p>
            <w:pPr>
              <w:pStyle w:val="nTable"/>
              <w:spacing w:before="60" w:after="60"/>
              <w:rPr>
                <w:snapToGrid w:val="0"/>
              </w:rPr>
            </w:pPr>
            <w:r>
              <w:rPr>
                <w:snapToGrid w:val="0"/>
              </w:rPr>
              <w:t>11 Jul 2011</w:t>
            </w:r>
          </w:p>
        </w:tc>
        <w:tc>
          <w:tcPr>
            <w:tcW w:w="2552" w:type="dxa"/>
          </w:tcPr>
          <w:p>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Act 1991</w:t>
            </w:r>
            <w:r>
              <w:rPr>
                <w:b/>
              </w:rPr>
              <w:t xml:space="preserve"> as at 25 May 2012 </w:t>
            </w:r>
            <w: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rPr>
              <w:t>Water Services Legislation Amendment and Repeal Act 2012</w:t>
            </w:r>
            <w:r>
              <w:rPr>
                <w:snapToGrid w:val="0"/>
              </w:rPr>
              <w:t xml:space="preserve"> s. 217</w:t>
            </w:r>
          </w:p>
        </w:tc>
        <w:tc>
          <w:tcPr>
            <w:tcW w:w="1134" w:type="dxa"/>
            <w:tcBorders>
              <w:bottom w:val="single" w:sz="4" w:space="0" w:color="auto"/>
            </w:tcBorders>
            <w:shd w:val="clear" w:color="auto" w:fill="auto"/>
          </w:tcPr>
          <w:p>
            <w:pPr>
              <w:pStyle w:val="nTable"/>
              <w:spacing w:after="40"/>
              <w:rPr>
                <w:snapToGrid w:val="0"/>
              </w:rPr>
            </w:pPr>
            <w:r>
              <w:rPr>
                <w:snapToGrid w:val="0"/>
              </w:rPr>
              <w:t>25 of 2012</w:t>
            </w:r>
          </w:p>
        </w:tc>
        <w:tc>
          <w:tcPr>
            <w:tcW w:w="1134" w:type="dxa"/>
            <w:tcBorders>
              <w:bottom w:val="single" w:sz="4" w:space="0" w:color="auto"/>
            </w:tcBorders>
            <w:shd w:val="clear" w:color="auto" w:fill="auto"/>
          </w:tcPr>
          <w:p>
            <w:pPr>
              <w:pStyle w:val="nTable"/>
              <w:spacing w:after="40"/>
              <w:rPr>
                <w:snapToGrid w:val="0"/>
              </w:rPr>
            </w:pPr>
            <w:r>
              <w:t>3 Sep 2012</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 w:name="_Toc22915218"/>
      <w:r>
        <w:t>Provisions that have not come into operation</w:t>
      </w:r>
      <w:bookmarkEnd w:id="1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tblHeader/>
        </w:trPr>
        <w:tc>
          <w:tcPr>
            <w:tcW w:w="2273"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gridAfter w:val="1"/>
          <w:wAfter w:w="18" w:type="dxa"/>
        </w:trPr>
        <w:tc>
          <w:tcPr>
            <w:tcW w:w="2273" w:type="dxa"/>
            <w:tcBorders>
              <w:bottom w:val="nil"/>
            </w:tcBorders>
          </w:tcPr>
          <w:p>
            <w:pPr>
              <w:pStyle w:val="nTable"/>
              <w:spacing w:after="40"/>
            </w:pPr>
            <w:r>
              <w:rPr>
                <w:i/>
              </w:rPr>
              <w:t>Community Titles Act 2018</w:t>
            </w:r>
            <w:r>
              <w:t xml:space="preserve"> Pt. 14 Div. 10</w:t>
            </w:r>
            <w:r>
              <w:rPr>
                <w:vertAlign w:val="superscript"/>
              </w:rPr>
              <w:t> 4</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To be proclaimed (see s. 2(b))</w:t>
            </w:r>
          </w:p>
        </w:tc>
      </w:tr>
      <w:tr>
        <w:trPr>
          <w:cantSplit/>
        </w:trPr>
        <w:tc>
          <w:tcPr>
            <w:tcW w:w="2273" w:type="dxa"/>
            <w:tcBorders>
              <w:top w:val="nil"/>
              <w:bottom w:val="single" w:sz="4" w:space="0" w:color="auto"/>
            </w:tcBorders>
          </w:tcPr>
          <w:p>
            <w:pPr>
              <w:pStyle w:val="nTable"/>
              <w:spacing w:after="40"/>
              <w:rPr>
                <w:snapToGrid w:val="0"/>
                <w:vertAlign w:val="superscript"/>
              </w:rPr>
            </w:pPr>
            <w:r>
              <w:rPr>
                <w:i/>
              </w:rPr>
              <w:t xml:space="preserve">Consumer Protection Legislation Amendment Act 2019 </w:t>
            </w:r>
            <w:r>
              <w:t>Pt. 6 </w:t>
            </w:r>
            <w:r>
              <w:rPr>
                <w:vertAlign w:val="superscript"/>
              </w:rPr>
              <w:t>5</w:t>
            </w:r>
          </w:p>
        </w:tc>
        <w:tc>
          <w:tcPr>
            <w:tcW w:w="1139" w:type="dxa"/>
            <w:tcBorders>
              <w:top w:val="nil"/>
              <w:bottom w:val="single" w:sz="4" w:space="0" w:color="auto"/>
            </w:tcBorders>
          </w:tcPr>
          <w:p>
            <w:pPr>
              <w:pStyle w:val="nTable"/>
              <w:spacing w:after="40"/>
            </w:pPr>
            <w:r>
              <w:t>25 of 2019</w:t>
            </w:r>
          </w:p>
        </w:tc>
        <w:tc>
          <w:tcPr>
            <w:tcW w:w="1138" w:type="dxa"/>
            <w:tcBorders>
              <w:top w:val="nil"/>
              <w:bottom w:val="single" w:sz="4" w:space="0" w:color="auto"/>
            </w:tcBorders>
          </w:tcPr>
          <w:p>
            <w:pPr>
              <w:pStyle w:val="nTable"/>
              <w:spacing w:after="40"/>
            </w:pPr>
            <w:r>
              <w:t>24 Oct 2019</w:t>
            </w:r>
          </w:p>
        </w:tc>
        <w:tc>
          <w:tcPr>
            <w:tcW w:w="2561"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keepLines/>
        <w:rPr>
          <w:vertAlign w:val="superscript"/>
        </w:rPr>
      </w:pPr>
    </w:p>
    <w:p>
      <w:pPr>
        <w:pStyle w:val="nSubsection"/>
        <w:keepNext/>
        <w:keepLines/>
      </w:pPr>
      <w:r>
        <w:rPr>
          <w:vertAlign w:val="superscript"/>
        </w:rPr>
        <w:t>2</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Subsection"/>
      </w:pPr>
      <w:r>
        <w:rPr>
          <w:vertAlign w:val="superscript"/>
        </w:rPr>
        <w:t>3</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r>
        <w:rPr>
          <w:rStyle w:val="CharSectno"/>
        </w:rPr>
        <w:t>59</w:t>
      </w:r>
      <w:r>
        <w:rPr>
          <w:snapToGrid w:val="0"/>
        </w:rPr>
        <w:t>.</w:t>
      </w:r>
      <w:r>
        <w:rPr>
          <w:snapToGrid w:val="0"/>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pPr>
      <w:r>
        <w:rPr>
          <w:vertAlign w:val="superscript"/>
        </w:rPr>
        <w:t>4</w:t>
      </w:r>
      <w:r>
        <w:rPr>
          <w:vertAlign w:val="superscript"/>
        </w:rPr>
        <w:tab/>
      </w:r>
      <w:r>
        <w:rPr>
          <w:snapToGrid w:val="0"/>
        </w:rPr>
        <w:t xml:space="preserve">On the date as at which this compilation was prepared, the </w:t>
      </w:r>
      <w:r>
        <w:rPr>
          <w:i/>
        </w:rPr>
        <w:t>Community Titles Act 2018</w:t>
      </w:r>
      <w:r>
        <w:t xml:space="preserve"> Pt. 14 Div. 10 had not come into operation.  It reads as follows:</w:t>
      </w:r>
    </w:p>
    <w:p>
      <w:pPr>
        <w:pStyle w:val="BlankOpen"/>
      </w:pPr>
    </w:p>
    <w:p>
      <w:pPr>
        <w:pStyle w:val="nzHeading2"/>
      </w:pPr>
      <w:bookmarkStart w:id="136" w:name="_Toc517684206"/>
      <w:bookmarkStart w:id="137" w:name="_Toc517684547"/>
      <w:bookmarkStart w:id="138" w:name="_Toc517696497"/>
      <w:bookmarkStart w:id="139" w:name="_Toc517790969"/>
      <w:bookmarkStart w:id="140" w:name="_Toc529355691"/>
      <w:bookmarkStart w:id="141" w:name="_Toc529356368"/>
      <w:bookmarkStart w:id="142" w:name="_Toc529360169"/>
      <w:bookmarkStart w:id="143" w:name="_Toc529361409"/>
      <w:bookmarkStart w:id="144" w:name="_Toc529526534"/>
      <w:bookmarkStart w:id="145" w:name="_Toc529857039"/>
      <w:bookmarkStart w:id="146" w:name="_Toc530473550"/>
      <w:bookmarkStart w:id="147" w:name="_Toc530474909"/>
      <w:bookmarkStart w:id="148" w:name="_Toc517684238"/>
      <w:bookmarkStart w:id="149" w:name="_Toc517684579"/>
      <w:bookmarkStart w:id="150" w:name="_Toc517687578"/>
      <w:bookmarkStart w:id="151" w:name="_Toc517688810"/>
      <w:bookmarkStart w:id="152" w:name="_Toc517696529"/>
      <w:bookmarkStart w:id="153" w:name="_Toc517791001"/>
      <w:bookmarkStart w:id="154" w:name="_Toc529355723"/>
      <w:bookmarkStart w:id="155" w:name="_Toc529356400"/>
      <w:bookmarkStart w:id="156" w:name="_Toc529360201"/>
      <w:bookmarkStart w:id="157" w:name="_Toc529361441"/>
      <w:bookmarkStart w:id="158" w:name="_Toc529526566"/>
      <w:bookmarkStart w:id="159" w:name="_Toc529857071"/>
      <w:bookmarkStart w:id="160" w:name="_Toc530473582"/>
      <w:bookmarkStart w:id="161" w:name="_Toc530474941"/>
      <w:r>
        <w:rPr>
          <w:rStyle w:val="CharPartNo"/>
        </w:rPr>
        <w:t>Part 14</w:t>
      </w:r>
      <w:r>
        <w:t> — </w:t>
      </w:r>
      <w:r>
        <w:rPr>
          <w:rStyle w:val="CharPartText"/>
        </w:rPr>
        <w:t>Other Acts amended</w:t>
      </w:r>
      <w:bookmarkEnd w:id="136"/>
      <w:bookmarkEnd w:id="137"/>
      <w:bookmarkEnd w:id="138"/>
      <w:bookmarkEnd w:id="139"/>
      <w:bookmarkEnd w:id="140"/>
      <w:bookmarkEnd w:id="141"/>
      <w:bookmarkEnd w:id="142"/>
      <w:bookmarkEnd w:id="143"/>
      <w:bookmarkEnd w:id="144"/>
      <w:bookmarkEnd w:id="145"/>
      <w:bookmarkEnd w:id="146"/>
      <w:bookmarkEnd w:id="147"/>
    </w:p>
    <w:p>
      <w:pPr>
        <w:pStyle w:val="nzHeading3"/>
      </w:pPr>
      <w:r>
        <w:rPr>
          <w:rStyle w:val="CharDivNo"/>
        </w:rPr>
        <w:t>Division 10</w:t>
      </w:r>
      <w:r>
        <w:t> — </w:t>
      </w:r>
      <w:r>
        <w:rPr>
          <w:rStyle w:val="CharDivText"/>
          <w:i/>
        </w:rPr>
        <w:t>Home Building Contracts Act 1991</w:t>
      </w:r>
      <w:r>
        <w:rPr>
          <w:rStyle w:val="CharDivText"/>
        </w:rPr>
        <w:t xml:space="preserve"> amended</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nzHeading5"/>
        <w:rPr>
          <w:snapToGrid w:val="0"/>
        </w:rPr>
      </w:pPr>
      <w:bookmarkStart w:id="162" w:name="_Toc530473583"/>
      <w:bookmarkStart w:id="163" w:name="_Toc530474942"/>
      <w:r>
        <w:rPr>
          <w:rStyle w:val="CharSectno"/>
        </w:rPr>
        <w:t>213</w:t>
      </w:r>
      <w:r>
        <w:rPr>
          <w:snapToGrid w:val="0"/>
        </w:rPr>
        <w:t>.</w:t>
      </w:r>
      <w:r>
        <w:rPr>
          <w:snapToGrid w:val="0"/>
        </w:rPr>
        <w:tab/>
        <w:t>Act amended</w:t>
      </w:r>
      <w:bookmarkEnd w:id="162"/>
      <w:bookmarkEnd w:id="163"/>
    </w:p>
    <w:p>
      <w:pPr>
        <w:pStyle w:val="nzSubsection"/>
      </w:pPr>
      <w:r>
        <w:tab/>
      </w:r>
      <w:r>
        <w:tab/>
        <w:t xml:space="preserve">This Division amends the </w:t>
      </w:r>
      <w:r>
        <w:rPr>
          <w:i/>
        </w:rPr>
        <w:t>Home Building Contracts Act 1991</w:t>
      </w:r>
      <w:r>
        <w:t>.</w:t>
      </w:r>
    </w:p>
    <w:p>
      <w:pPr>
        <w:pStyle w:val="nzHeading5"/>
      </w:pPr>
      <w:bookmarkStart w:id="164" w:name="_Toc530473584"/>
      <w:bookmarkStart w:id="165" w:name="_Toc530474943"/>
      <w:r>
        <w:rPr>
          <w:rStyle w:val="CharSectno"/>
        </w:rPr>
        <w:t>214</w:t>
      </w:r>
      <w:r>
        <w:t>.</w:t>
      </w:r>
      <w:r>
        <w:tab/>
        <w:t>Section 3 amended</w:t>
      </w:r>
      <w:bookmarkEnd w:id="164"/>
      <w:bookmarkEnd w:id="165"/>
    </w:p>
    <w:p>
      <w:pPr>
        <w:pStyle w:val="nzSubsection"/>
      </w:pPr>
      <w:r>
        <w:tab/>
        <w:t>(1)</w:t>
      </w:r>
      <w:r>
        <w:tab/>
        <w:t xml:space="preserve">In section 3(1) delete the definition of </w:t>
      </w:r>
      <w:r>
        <w:rPr>
          <w:b/>
          <w:i/>
        </w:rPr>
        <w:t>strata</w:t>
      </w:r>
      <w:r>
        <w:rPr>
          <w:b/>
          <w:i/>
        </w:rPr>
        <w:noBreakHyphen/>
        <w:t>titled dwelling</w:t>
      </w:r>
      <w:r>
        <w:t>.</w:t>
      </w:r>
    </w:p>
    <w:p>
      <w:pPr>
        <w:pStyle w:val="nzSubsection"/>
      </w:pPr>
      <w:r>
        <w:tab/>
        <w:t>(2)</w:t>
      </w:r>
      <w:r>
        <w:tab/>
        <w:t>In section 3(1) insert in alphabetical order:</w:t>
      </w:r>
    </w:p>
    <w:p>
      <w:pPr>
        <w:pStyle w:val="BlankOpen"/>
      </w:pPr>
    </w:p>
    <w:p>
      <w:pPr>
        <w:pStyle w:val="n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nz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nzSubsection"/>
      </w:pPr>
      <w:r>
        <w:tab/>
      </w:r>
      <w:r>
        <w:tab/>
        <w:t>strata/community title dwelling</w:t>
      </w:r>
    </w:p>
    <w:p>
      <w:pPr>
        <w:pStyle w:val="BlankClose"/>
      </w:pPr>
    </w:p>
    <w:p>
      <w:pPr>
        <w:pStyle w:val="nSubsection"/>
        <w:rPr>
          <w:snapToGrid w:val="0"/>
        </w:rPr>
      </w:pPr>
      <w:r>
        <w:rPr>
          <w:vertAlign w:val="superscript"/>
        </w:rPr>
        <w:t>5</w:t>
      </w:r>
      <w:r>
        <w:tab/>
        <w:t>On the date as at which this compilation was prepared</w:t>
      </w:r>
      <w:r>
        <w:rPr>
          <w:i/>
        </w:rPr>
        <w:t xml:space="preserve"> </w:t>
      </w:r>
      <w:r>
        <w:t xml:space="preserve">the </w:t>
      </w:r>
      <w:r>
        <w:rPr>
          <w:i/>
        </w:rPr>
        <w:t xml:space="preserve">Consumer Protection Legislation Amendment Act 2019 </w:t>
      </w:r>
      <w:r>
        <w:t xml:space="preserve">Pt. 6 </w:t>
      </w:r>
      <w:r>
        <w:rPr>
          <w:snapToGrid w:val="0"/>
        </w:rPr>
        <w:t>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i/>
        </w:rPr>
        <w:t>Home Building Contracts Act 1991</w:t>
      </w:r>
      <w:r>
        <w:rPr>
          <w:rStyle w:val="CharPartText"/>
        </w:rPr>
        <w:t xml:space="preserve"> amended</w:t>
      </w:r>
    </w:p>
    <w:p>
      <w:pPr>
        <w:pStyle w:val="nzHeading5"/>
      </w:pPr>
      <w:r>
        <w:rPr>
          <w:rStyle w:val="CharSectno"/>
        </w:rPr>
        <w:t>30</w:t>
      </w:r>
      <w:r>
        <w:t>.</w:t>
      </w:r>
      <w:r>
        <w:tab/>
        <w:t>Act amended</w:t>
      </w:r>
    </w:p>
    <w:p>
      <w:pPr>
        <w:pStyle w:val="nzSubsection"/>
      </w:pPr>
      <w:r>
        <w:tab/>
      </w:r>
      <w:r>
        <w:tab/>
        <w:t xml:space="preserve">This Part amends the </w:t>
      </w:r>
      <w:r>
        <w:rPr>
          <w:i/>
        </w:rPr>
        <w:t>Home Building Contracts Act 1991</w:t>
      </w:r>
      <w:r>
        <w:t>.</w:t>
      </w:r>
    </w:p>
    <w:p>
      <w:pPr>
        <w:pStyle w:val="nzHeading5"/>
      </w:pPr>
      <w:r>
        <w:rPr>
          <w:rStyle w:val="CharSectno"/>
        </w:rPr>
        <w:t>31</w:t>
      </w:r>
      <w:r>
        <w:t>.</w:t>
      </w:r>
      <w:r>
        <w:tab/>
        <w:t>Section 25B amended</w:t>
      </w:r>
    </w:p>
    <w:p>
      <w:pPr>
        <w:pStyle w:val="nzSubsection"/>
      </w:pPr>
      <w:r>
        <w:tab/>
      </w:r>
      <w:r>
        <w:tab/>
        <w:t>After section 25B(4) insert:</w:t>
      </w:r>
    </w:p>
    <w:p>
      <w:pPr>
        <w:pStyle w:val="BlankOpen"/>
      </w:pPr>
    </w:p>
    <w:p>
      <w:pPr>
        <w:pStyle w:val="nzSubsection"/>
      </w:pPr>
      <w:r>
        <w:tab/>
        <w:t>(4A)</w:t>
      </w:r>
      <w:r>
        <w:tab/>
        <w:t xml:space="preserve">This Division does not apply to residential building work if — </w:t>
      </w:r>
    </w:p>
    <w:p>
      <w:pPr>
        <w:pStyle w:val="nzIndenta"/>
      </w:pPr>
      <w:r>
        <w:tab/>
        <w:t>(a)</w:t>
      </w:r>
      <w:r>
        <w:tab/>
        <w:t xml:space="preserve">a building permit under the </w:t>
      </w:r>
      <w:r>
        <w:rPr>
          <w:i/>
        </w:rPr>
        <w:t>Building Act 2011</w:t>
      </w:r>
      <w:r>
        <w:t xml:space="preserve"> is not required for the work; or</w:t>
      </w:r>
    </w:p>
    <w:p>
      <w:pPr>
        <w:pStyle w:val="nzIndenta"/>
      </w:pPr>
      <w:r>
        <w:tab/>
        <w:t>(b)</w:t>
      </w:r>
      <w:r>
        <w:tab/>
        <w:t xml:space="preserve">if a building permit is required for the work — the work is not, or is not part of, a prescribed building service under the </w:t>
      </w:r>
      <w:r>
        <w:rPr>
          <w:i/>
        </w:rPr>
        <w:t>Building Services (Registration) Act 2011</w:t>
      </w:r>
      <w:r>
        <w:t xml:space="preserve"> section 3.</w:t>
      </w:r>
    </w:p>
    <w:p>
      <w:pPr>
        <w:pStyle w:val="BlankClose"/>
      </w:pPr>
    </w:p>
    <w:p>
      <w:pPr>
        <w:pStyle w:val="nzHeading5"/>
      </w:pPr>
      <w:r>
        <w:rPr>
          <w:rStyle w:val="CharSectno"/>
        </w:rPr>
        <w:t>32</w:t>
      </w:r>
      <w:r>
        <w:t>.</w:t>
      </w:r>
      <w:r>
        <w:tab/>
        <w:t>Section 25D amended</w:t>
      </w:r>
    </w:p>
    <w:p>
      <w:pPr>
        <w:pStyle w:val="nzSubsection"/>
      </w:pPr>
      <w:r>
        <w:tab/>
        <w:t>(1)</w:t>
      </w:r>
      <w:r>
        <w:tab/>
        <w:t>Before section 25D(1) insert:</w:t>
      </w:r>
    </w:p>
    <w:p>
      <w:pPr>
        <w:pStyle w:val="BlankOpen"/>
      </w:pPr>
    </w:p>
    <w:p>
      <w:pPr>
        <w:pStyle w:val="nzSubsection"/>
      </w:pPr>
      <w:r>
        <w:tab/>
        <w:t>(1A)</w:t>
      </w:r>
      <w:r>
        <w:tab/>
        <w:t xml:space="preserve">In this section — </w:t>
      </w:r>
    </w:p>
    <w:p>
      <w:pPr>
        <w:pStyle w:val="nzDefstart"/>
      </w:pPr>
      <w:r>
        <w:tab/>
      </w:r>
      <w:r>
        <w:rPr>
          <w:rStyle w:val="CharDefText"/>
        </w:rPr>
        <w:t>relevant circumstance</w:t>
      </w:r>
      <w:r>
        <w:t xml:space="preserve">, in relation to a builder, means — </w:t>
      </w:r>
    </w:p>
    <w:p>
      <w:pPr>
        <w:pStyle w:val="nzDefpara"/>
      </w:pPr>
      <w:r>
        <w:tab/>
        <w:t>(a)</w:t>
      </w:r>
      <w:r>
        <w:tab/>
        <w:t xml:space="preserve">if the builder is an individual — the builder — </w:t>
      </w:r>
    </w:p>
    <w:p>
      <w:pPr>
        <w:pStyle w:val="nzDefsubpara"/>
      </w:pPr>
      <w:r>
        <w:tab/>
        <w:t>(i)</w:t>
      </w:r>
      <w:r>
        <w:tab/>
        <w:t>has died; or</w:t>
      </w:r>
    </w:p>
    <w:p>
      <w:pPr>
        <w:pStyle w:val="nzDefsubpara"/>
      </w:pPr>
      <w:r>
        <w:tab/>
        <w:t>(ii)</w:t>
      </w:r>
      <w:r>
        <w:tab/>
        <w:t>after due search and enquiry, cannot be found in Australia;</w:t>
      </w:r>
    </w:p>
    <w:p>
      <w:pPr>
        <w:pStyle w:val="nzDefpara"/>
      </w:pPr>
      <w:r>
        <w:tab/>
      </w:r>
      <w:r>
        <w:tab/>
        <w:t>or</w:t>
      </w:r>
    </w:p>
    <w:p>
      <w:pPr>
        <w:pStyle w:val="nzDefpara"/>
      </w:pPr>
      <w:r>
        <w:tab/>
        <w:t>(b)</w:t>
      </w:r>
      <w:r>
        <w:tab/>
        <w:t>if the builder is not an individual — the builder ceased to exist; or</w:t>
      </w:r>
    </w:p>
    <w:p>
      <w:pPr>
        <w:pStyle w:val="nzDefpara"/>
      </w:pPr>
      <w:r>
        <w:tab/>
        <w:t>(c)</w:t>
      </w:r>
      <w:r>
        <w:tab/>
        <w:t>the builder is insolvent; or</w:t>
      </w:r>
    </w:p>
    <w:p>
      <w:pPr>
        <w:pStyle w:val="nzDefpara"/>
      </w:pPr>
      <w:r>
        <w:tab/>
        <w:t>(d)</w:t>
      </w:r>
      <w:r>
        <w:tab/>
        <w:t xml:space="preserve">if the builder is a building service contractor under the </w:t>
      </w:r>
      <w:r>
        <w:rPr>
          <w:i/>
        </w:rPr>
        <w:t>Building Services (Registration) Act 2011</w:t>
      </w:r>
      <w:r>
        <w:t> — the builder’s registration as a building service contractor was cancelled or not renewed because the builder did not satisfy the financial requirements (if any) prescribed by the regulations under section 18(1)(b) of that Act.</w:t>
      </w:r>
    </w:p>
    <w:p>
      <w:pPr>
        <w:pStyle w:val="BlankClose"/>
      </w:pPr>
    </w:p>
    <w:p>
      <w:pPr>
        <w:pStyle w:val="nzSubsection"/>
        <w:keepNext/>
      </w:pPr>
      <w:r>
        <w:tab/>
        <w:t>(2)</w:t>
      </w:r>
      <w:r>
        <w:tab/>
        <w:t>In section 25D(1):</w:t>
      </w:r>
    </w:p>
    <w:p>
      <w:pPr>
        <w:pStyle w:val="nzIndenta"/>
        <w:keepNext/>
      </w:pPr>
      <w:r>
        <w:tab/>
        <w:t>(a)</w:t>
      </w:r>
      <w:r>
        <w:tab/>
        <w:t>delete paragraph (a) and insert:</w:t>
      </w:r>
    </w:p>
    <w:p>
      <w:pPr>
        <w:pStyle w:val="BlankOpen"/>
      </w:pPr>
    </w:p>
    <w:p>
      <w:pPr>
        <w:pStyle w:val="nzIndenta"/>
      </w:pPr>
      <w:r>
        <w:tab/>
        <w:t>(a)</w:t>
      </w:r>
      <w:r>
        <w:tab/>
        <w:t xml:space="preserve">in the case of residential building work to be performed by a builder on behalf of another person, other than a developer, under a residential building work contract, it insures that person and that person’s successors in title against the following losses occurring because a relevant circumstance exists in relation to the builder — </w:t>
      </w:r>
    </w:p>
    <w:p>
      <w:pPr>
        <w:pStyle w:val="nzIndenti"/>
      </w:pPr>
      <w:r>
        <w:tab/>
        <w:t>(i)</w:t>
      </w:r>
      <w:r>
        <w:tab/>
        <w:t>loss of an amount paid by way of deposit under the residential building work contract, up to a limit of $20 000 or another prescribed limit;</w:t>
      </w:r>
    </w:p>
    <w:p>
      <w:pPr>
        <w:pStyle w:val="nzIndenti"/>
      </w:pPr>
      <w:r>
        <w:tab/>
        <w:t>(ii)</w:t>
      </w:r>
      <w:r>
        <w:tab/>
        <w:t>loss, other than indirect, incidental or consequential loss, resulting from non</w:t>
      </w:r>
      <w:r>
        <w:noBreakHyphen/>
        <w:t>completion of the residential building work;</w:t>
      </w:r>
    </w:p>
    <w:p>
      <w:pPr>
        <w:pStyle w:val="nzIndenta"/>
      </w:pPr>
      <w:r>
        <w:tab/>
      </w:r>
      <w:r>
        <w:tab/>
        <w:t>and</w:t>
      </w:r>
    </w:p>
    <w:p>
      <w:pPr>
        <w:pStyle w:val="BlankClose"/>
      </w:pPr>
    </w:p>
    <w:p>
      <w:pPr>
        <w:pStyle w:val="nzIndenta"/>
      </w:pPr>
      <w:r>
        <w:tab/>
        <w:t>(b)</w:t>
      </w:r>
      <w:r>
        <w:tab/>
        <w:t>in paragraph (b) delete “by reason of the insolvency or death of the builder or by reason of the fact that, after due search and enquiry, the builder cannot be found; and” and insert:</w:t>
      </w:r>
    </w:p>
    <w:p>
      <w:pPr>
        <w:pStyle w:val="BlankOpen"/>
      </w:pPr>
    </w:p>
    <w:p>
      <w:pPr>
        <w:pStyle w:val="nzIndenta"/>
      </w:pPr>
      <w:r>
        <w:tab/>
      </w:r>
      <w:r>
        <w:tab/>
        <w:t>because a relevant circumstance exists in relation to the builder; and</w:t>
      </w:r>
    </w:p>
    <w:p>
      <w:pPr>
        <w:pStyle w:val="BlankClose"/>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67" w:name="_Toc530488460"/>
      <w:bookmarkStart w:id="168" w:name="_Toc530489445"/>
      <w:bookmarkStart w:id="169" w:name="_Toc530558394"/>
      <w:bookmarkStart w:id="170" w:name="_Toc22915034"/>
      <w:bookmarkStart w:id="171" w:name="_Toc22915138"/>
      <w:bookmarkStart w:id="172" w:name="_Toc22915219"/>
      <w:r>
        <w:rPr>
          <w:sz w:val="28"/>
        </w:rPr>
        <w:t>Defined terms</w:t>
      </w:r>
      <w:bookmarkEnd w:id="167"/>
      <w:bookmarkEnd w:id="168"/>
      <w:bookmarkEnd w:id="169"/>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fund</w:t>
      </w:r>
      <w:r>
        <w:tab/>
        <w:t>25A</w:t>
      </w:r>
    </w:p>
    <w:p>
      <w:pPr>
        <w:pStyle w:val="DefinedTerms"/>
      </w:pPr>
      <w:r>
        <w:t>associated work</w:t>
      </w:r>
      <w:r>
        <w:tab/>
        <w:t>3(1)</w:t>
      </w:r>
    </w:p>
    <w:p>
      <w:pPr>
        <w:pStyle w:val="DefinedTerms"/>
      </w:pPr>
      <w:r>
        <w:t>authorised person</w:t>
      </w:r>
      <w:r>
        <w:tab/>
        <w:t>26(3), 31B(1)</w:t>
      </w:r>
    </w:p>
    <w:p>
      <w:pPr>
        <w:pStyle w:val="DefinedTerms"/>
      </w:pPr>
      <w:r>
        <w:t>builder</w:t>
      </w:r>
      <w:r>
        <w:tab/>
        <w:t>3(1), 25A</w:t>
      </w:r>
    </w:p>
    <w:p>
      <w:pPr>
        <w:pStyle w:val="DefinedTerms"/>
      </w:pPr>
      <w:r>
        <w:t>Builders’ Registration Board</w:t>
      </w:r>
      <w:r>
        <w:tab/>
        <w:t>3(1)</w:t>
      </w:r>
    </w:p>
    <w:p>
      <w:pPr>
        <w:pStyle w:val="DefinedTerms"/>
      </w:pPr>
      <w:r>
        <w:t>Building Commissioner</w:t>
      </w:r>
      <w:r>
        <w:tab/>
        <w:t>3(1)</w:t>
      </w:r>
    </w:p>
    <w:p>
      <w:pPr>
        <w:pStyle w:val="DefinedTerms"/>
      </w:pPr>
      <w:r>
        <w:t>building contract</w:t>
      </w:r>
      <w:r>
        <w:tab/>
        <w:t>25A</w:t>
      </w:r>
    </w:p>
    <w:p>
      <w:pPr>
        <w:pStyle w:val="DefinedTerms"/>
      </w:pPr>
      <w:r>
        <w:t>building licence</w:t>
      </w:r>
      <w:r>
        <w:tab/>
        <w:t>3(1)</w:t>
      </w:r>
    </w:p>
    <w:p>
      <w:pPr>
        <w:pStyle w:val="DefinedTerms"/>
      </w:pPr>
      <w:r>
        <w:t>building permit</w:t>
      </w:r>
      <w:r>
        <w:tab/>
        <w:t>3(1)</w:t>
      </w:r>
    </w:p>
    <w:p>
      <w:pPr>
        <w:pStyle w:val="DefinedTerms"/>
      </w:pPr>
      <w:r>
        <w:t>building service contractor</w:t>
      </w:r>
      <w:r>
        <w:tab/>
        <w:t>25A</w:t>
      </w:r>
    </w:p>
    <w:p>
      <w:pPr>
        <w:pStyle w:val="DefinedTerms"/>
      </w:pPr>
      <w:r>
        <w:t>construct</w:t>
      </w:r>
      <w:r>
        <w:tab/>
        <w:t>3(1)</w:t>
      </w:r>
    </w:p>
    <w:p>
      <w:pPr>
        <w:pStyle w:val="DefinedTerms"/>
      </w:pPr>
      <w:r>
        <w:t>contract</w:t>
      </w:r>
      <w:r>
        <w:tab/>
        <w:t>3(1), 7(5)</w:t>
      </w:r>
    </w:p>
    <w:p>
      <w:pPr>
        <w:pStyle w:val="DefinedTerms"/>
      </w:pPr>
      <w:r>
        <w:t>corresponding cover</w:t>
      </w:r>
      <w:r>
        <w:tab/>
        <w:t>25A</w:t>
      </w:r>
    </w:p>
    <w:p>
      <w:pPr>
        <w:pStyle w:val="DefinedTerms"/>
      </w:pPr>
      <w:r>
        <w:t>cost of the building work</w:t>
      </w:r>
      <w:r>
        <w:tab/>
        <w:t>25A</w:t>
      </w:r>
    </w:p>
    <w:p>
      <w:pPr>
        <w:pStyle w:val="DefinedTerms"/>
      </w:pPr>
      <w:r>
        <w:t>cost plus contract</w:t>
      </w:r>
      <w:r>
        <w:tab/>
        <w:t>3(1)</w:t>
      </w:r>
    </w:p>
    <w:p>
      <w:pPr>
        <w:pStyle w:val="DefinedTerms"/>
      </w:pPr>
      <w:r>
        <w:t>date of the contract</w:t>
      </w:r>
      <w:r>
        <w:tab/>
        <w:t>3(1)</w:t>
      </w:r>
    </w:p>
    <w:p>
      <w:pPr>
        <w:pStyle w:val="DefinedTerms"/>
      </w:pPr>
      <w:r>
        <w:t>date of the variation</w:t>
      </w:r>
      <w:r>
        <w:tab/>
        <w:t>3(1)</w:t>
      </w:r>
    </w:p>
    <w:p>
      <w:pPr>
        <w:pStyle w:val="DefinedTerms"/>
      </w:pPr>
      <w:r>
        <w:t>defect</w:t>
      </w:r>
      <w:r>
        <w:tab/>
        <w:t>11(2)</w:t>
      </w:r>
    </w:p>
    <w:p>
      <w:pPr>
        <w:pStyle w:val="DefinedTerms"/>
      </w:pPr>
      <w:r>
        <w:t>developer</w:t>
      </w:r>
      <w:r>
        <w:tab/>
        <w:t>25A, 25L(1)</w:t>
      </w:r>
    </w:p>
    <w:p>
      <w:pPr>
        <w:pStyle w:val="DefinedTerms"/>
      </w:pPr>
      <w:r>
        <w:t>dwelling</w:t>
      </w:r>
      <w:r>
        <w:tab/>
        <w:t>3(1)</w:t>
      </w:r>
    </w:p>
    <w:p>
      <w:pPr>
        <w:pStyle w:val="DefinedTerms"/>
      </w:pPr>
      <w:r>
        <w:t>home building work</w:t>
      </w:r>
      <w:r>
        <w:tab/>
        <w:t>3(1)</w:t>
      </w:r>
    </w:p>
    <w:p>
      <w:pPr>
        <w:pStyle w:val="DefinedTerms"/>
      </w:pPr>
      <w:r>
        <w:t>home building work contract</w:t>
      </w:r>
      <w:r>
        <w:tab/>
        <w:t>3(1)</w:t>
      </w:r>
    </w:p>
    <w:p>
      <w:pPr>
        <w:pStyle w:val="DefinedTerms"/>
      </w:pPr>
      <w:r>
        <w:t>insolvency</w:t>
      </w:r>
      <w:r>
        <w:tab/>
        <w:t>25A</w:t>
      </w:r>
    </w:p>
    <w:p>
      <w:pPr>
        <w:pStyle w:val="DefinedTerms"/>
      </w:pPr>
      <w:r>
        <w:t>insurance</w:t>
      </w:r>
      <w:r>
        <w:tab/>
        <w:t>25B(5)</w:t>
      </w:r>
    </w:p>
    <w:p>
      <w:pPr>
        <w:pStyle w:val="DefinedTerms"/>
      </w:pPr>
      <w:r>
        <w:t>minimum amount</w:t>
      </w:r>
      <w:r>
        <w:tab/>
        <w:t>25A</w:t>
      </w:r>
    </w:p>
    <w:p>
      <w:pPr>
        <w:pStyle w:val="DefinedTerms"/>
      </w:pPr>
      <w:r>
        <w:t>officer</w:t>
      </w:r>
      <w:r>
        <w:tab/>
        <w:t>30(2)</w:t>
      </w:r>
    </w:p>
    <w:p>
      <w:pPr>
        <w:pStyle w:val="DefinedTerms"/>
      </w:pPr>
      <w:r>
        <w:t>owner</w:t>
      </w:r>
      <w:r>
        <w:tab/>
        <w:t>3(1)</w:t>
      </w:r>
    </w:p>
    <w:p>
      <w:pPr>
        <w:pStyle w:val="DefinedTerms"/>
      </w:pPr>
      <w:r>
        <w:t>owner-builder</w:t>
      </w:r>
      <w:r>
        <w:tab/>
        <w:t>25A</w:t>
      </w:r>
    </w:p>
    <w:p>
      <w:pPr>
        <w:pStyle w:val="DefinedTerms"/>
      </w:pPr>
      <w:r>
        <w:t>perform</w:t>
      </w:r>
      <w:r>
        <w:tab/>
        <w:t>3(1)</w:t>
      </w:r>
    </w:p>
    <w:p>
      <w:pPr>
        <w:pStyle w:val="DefinedTerms"/>
      </w:pPr>
      <w:r>
        <w:t>practical completion</w:t>
      </w:r>
      <w:r>
        <w:tab/>
        <w:t>11(2)</w:t>
      </w:r>
    </w:p>
    <w:p>
      <w:pPr>
        <w:pStyle w:val="DefinedTerms"/>
      </w:pPr>
      <w:r>
        <w:t>prescribed</w:t>
      </w:r>
      <w:r>
        <w:tab/>
        <w:t>3(1)</w:t>
      </w:r>
    </w:p>
    <w:p>
      <w:pPr>
        <w:pStyle w:val="DefinedTerms"/>
      </w:pPr>
      <w:r>
        <w:t>purchaser</w:t>
      </w:r>
      <w:r>
        <w:tab/>
        <w:t>25L(1)</w:t>
      </w:r>
    </w:p>
    <w:p>
      <w:pPr>
        <w:pStyle w:val="DefinedTerms"/>
      </w:pPr>
      <w:r>
        <w:t>repealed Act</w:t>
      </w:r>
      <w:r>
        <w:tab/>
        <w:t>3(1)</w:t>
      </w:r>
    </w:p>
    <w:p>
      <w:pPr>
        <w:pStyle w:val="DefinedTerms"/>
      </w:pPr>
      <w:r>
        <w:t>rescind</w:t>
      </w:r>
      <w:r>
        <w:tab/>
        <w:t>25A</w:t>
      </w:r>
    </w:p>
    <w:p>
      <w:pPr>
        <w:pStyle w:val="DefinedTerms"/>
      </w:pPr>
      <w:r>
        <w:t>residential building work</w:t>
      </w:r>
      <w:r>
        <w:tab/>
        <w:t>25A</w:t>
      </w:r>
    </w:p>
    <w:p>
      <w:pPr>
        <w:pStyle w:val="DefinedTerms"/>
      </w:pPr>
      <w:r>
        <w:t>residential building work contract</w:t>
      </w:r>
      <w:r>
        <w:tab/>
        <w:t>25A</w:t>
      </w:r>
    </w:p>
    <w:p>
      <w:pPr>
        <w:pStyle w:val="DefinedTerms"/>
      </w:pPr>
      <w:r>
        <w:t>rise</w:t>
      </w:r>
      <w:r>
        <w:noBreakHyphen/>
        <w:t>and</w:t>
      </w:r>
      <w:r>
        <w:noBreakHyphen/>
        <w:t>fall clause</w:t>
      </w:r>
      <w:r>
        <w:tab/>
        <w:t>13(3)</w:t>
      </w:r>
    </w:p>
    <w:p>
      <w:pPr>
        <w:pStyle w:val="DefinedTerms"/>
      </w:pPr>
      <w:r>
        <w:t>sale contract</w:t>
      </w:r>
      <w:r>
        <w:tab/>
        <w:t>25A</w:t>
      </w:r>
    </w:p>
    <w:p>
      <w:pPr>
        <w:pStyle w:val="DefinedTerms"/>
      </w:pPr>
      <w:r>
        <w:t>settlement</w:t>
      </w:r>
      <w:r>
        <w:tab/>
        <w:t>25A</w:t>
      </w:r>
    </w:p>
    <w:p>
      <w:pPr>
        <w:pStyle w:val="DefinedTerms"/>
      </w:pPr>
      <w:r>
        <w:t>specified period</w:t>
      </w:r>
      <w:r>
        <w:tab/>
        <w:t>25J(1), 25K(1)</w:t>
      </w:r>
    </w:p>
    <w:p>
      <w:pPr>
        <w:pStyle w:val="DefinedTerms"/>
      </w:pPr>
      <w:r>
        <w:t>strata</w:t>
      </w:r>
      <w:r>
        <w:noBreakHyphen/>
        <w:t>titled dwelling</w:t>
      </w:r>
      <w:r>
        <w:tab/>
        <w:t>3(1)</w:t>
      </w:r>
    </w:p>
    <w:p>
      <w:pPr>
        <w:pStyle w:val="DefinedTerms"/>
      </w:pPr>
      <w:r>
        <w:t>working days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Home Building Contracts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lvlText w:val="%1."/>
      <w:lvlJc w:val="left"/>
      <w:pPr>
        <w:tabs>
          <w:tab w:val="num" w:pos="1492"/>
        </w:tabs>
        <w:ind w:left="1492" w:hanging="360"/>
      </w:pPr>
    </w:lvl>
  </w:abstractNum>
  <w:abstractNum w:abstractNumId="1">
    <w:nsid w:val="FFFFFF7D"/>
    <w:multiLevelType w:val="singleLevel"/>
    <w:tmpl w:val="25520870"/>
    <w:lvl w:ilvl="0">
      <w:start w:val="1"/>
      <w:numFmt w:val="decimal"/>
      <w:lvlText w:val="%1."/>
      <w:lvlJc w:val="left"/>
      <w:pPr>
        <w:tabs>
          <w:tab w:val="num" w:pos="1209"/>
        </w:tabs>
        <w:ind w:left="1209" w:hanging="360"/>
      </w:pPr>
    </w:lvl>
  </w:abstractNum>
  <w:abstractNum w:abstractNumId="2">
    <w:nsid w:val="FFFFFF7E"/>
    <w:multiLevelType w:val="singleLevel"/>
    <w:tmpl w:val="C53E716E"/>
    <w:lvl w:ilvl="0">
      <w:start w:val="1"/>
      <w:numFmt w:val="decimal"/>
      <w:lvlText w:val="%1."/>
      <w:lvlJc w:val="left"/>
      <w:pPr>
        <w:tabs>
          <w:tab w:val="num" w:pos="926"/>
        </w:tabs>
        <w:ind w:left="926" w:hanging="360"/>
      </w:pPr>
    </w:lvl>
  </w:abstractNum>
  <w:abstractNum w:abstractNumId="3">
    <w:nsid w:val="FFFFFF7F"/>
    <w:multiLevelType w:val="singleLevel"/>
    <w:tmpl w:val="5EB009DE"/>
    <w:lvl w:ilvl="0">
      <w:start w:val="1"/>
      <w:numFmt w:val="decimal"/>
      <w:lvlText w:val="%1."/>
      <w:lvlJc w:val="left"/>
      <w:pPr>
        <w:tabs>
          <w:tab w:val="num" w:pos="643"/>
        </w:tabs>
        <w:ind w:left="643" w:hanging="360"/>
      </w:pPr>
    </w:lvl>
  </w:abstractNum>
  <w:abstractNum w:abstractNumId="4">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lvlText w:val="%1."/>
      <w:lvlJc w:val="left"/>
      <w:pPr>
        <w:tabs>
          <w:tab w:val="num" w:pos="360"/>
        </w:tabs>
        <w:ind w:left="360" w:hanging="360"/>
      </w:pPr>
    </w:lvl>
  </w:abstractNum>
  <w:abstractNum w:abstractNumId="9">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41344"/>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ACAAF-5629-4188-8448-5C7E52CC8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13812</Words>
  <Characters>64783</Characters>
  <Application>Microsoft Office Word</Application>
  <DocSecurity>0</DocSecurity>
  <Lines>1850</Lines>
  <Paragraphs>1062</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77533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1991 - 04-e0-00</dc:title>
  <dc:subject/>
  <dc:creator/>
  <cp:keywords/>
  <dc:description/>
  <cp:lastModifiedBy>svcMRProcess</cp:lastModifiedBy>
  <cp:revision>4</cp:revision>
  <cp:lastPrinted>2012-06-01T02:25:00Z</cp:lastPrinted>
  <dcterms:created xsi:type="dcterms:W3CDTF">2019-10-25T09:04:00Z</dcterms:created>
  <dcterms:modified xsi:type="dcterms:W3CDTF">2019-10-25T09:04:00Z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AsAtDate">
    <vt:lpwstr>24 Oct 2019</vt:lpwstr>
  </property>
  <property fmtid="{D5CDD505-2E9C-101B-9397-08002B2CF9AE}" pid="8" name="Suffix">
    <vt:lpwstr>04-e0-00</vt:lpwstr>
  </property>
  <property fmtid="{D5CDD505-2E9C-101B-9397-08002B2CF9AE}" pid="9" name="CommencementDate">
    <vt:lpwstr>20191024</vt:lpwstr>
  </property>
</Properties>
</file>