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_Toc23231360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_Toc23231361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_Toc23231362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_Toc23231363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_Toc23231364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_Toc23231372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23231360"/>
      <w:r>
        <w:rPr>
          <w:rStyle w:val="CharSectno"/>
        </w:rPr>
        <w:t>1</w:t>
      </w:r>
      <w:r>
        <w:rPr>
          <w:snapToGrid w:val="0"/>
        </w:rPr>
        <w:t>.</w:t>
      </w:r>
      <w:r>
        <w:rPr>
          <w:snapToGrid w:val="0"/>
        </w:rPr>
        <w:tab/>
        <w:t>Citation</w:t>
      </w:r>
      <w:bookmarkEnd w:id="3"/>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4" w:name="_Toc23231361"/>
      <w:r>
        <w:rPr>
          <w:rStyle w:val="CharSectno"/>
        </w:rPr>
        <w:t>2</w:t>
      </w:r>
      <w:r>
        <w:rPr>
          <w:snapToGrid w:val="0"/>
        </w:rPr>
        <w:t>.</w:t>
      </w:r>
      <w:r>
        <w:rPr>
          <w:snapToGrid w:val="0"/>
        </w:rPr>
        <w:tab/>
        <w:t>Prescribed financial entities (Act s. 4A(2)(a))</w:t>
      </w:r>
      <w:bookmarkEnd w:id="4"/>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5" w:name="_Toc23231362"/>
      <w:r>
        <w:rPr>
          <w:rStyle w:val="CharSectno"/>
        </w:rPr>
        <w:t>3</w:t>
      </w:r>
      <w:r>
        <w:rPr>
          <w:snapToGrid w:val="0"/>
        </w:rPr>
        <w:t>.</w:t>
      </w:r>
      <w:r>
        <w:rPr>
          <w:snapToGrid w:val="0"/>
        </w:rPr>
        <w:tab/>
        <w:t>Prescribed activities by financial entities (Act s. 4A(2)(b))</w:t>
      </w:r>
      <w:bookmarkEnd w:id="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6" w:name="_Toc23231363"/>
      <w:r>
        <w:rPr>
          <w:rStyle w:val="CharSectno"/>
        </w:rPr>
        <w:t>4</w:t>
      </w:r>
      <w:r>
        <w:t>.</w:t>
      </w:r>
      <w:r>
        <w:tab/>
        <w:t>Prescribed statutory corporations (Act s. 4B(2))</w:t>
      </w:r>
      <w:bookmarkEnd w:id="6"/>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7" w:name="_Toc23231364"/>
      <w:r>
        <w:rPr>
          <w:rStyle w:val="CharSectno"/>
        </w:rPr>
        <w:t>5</w:t>
      </w:r>
      <w:r>
        <w:t>.</w:t>
      </w:r>
      <w:r>
        <w:tab/>
        <w:t>Prescribed activities by statutory corporations (Act s. 4B(2))</w:t>
      </w:r>
      <w:bookmarkEnd w:id="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 w:name="_Toc15051702"/>
      <w:bookmarkStart w:id="9" w:name="_Toc17794290"/>
      <w:bookmarkStart w:id="10" w:name="_Toc23231365"/>
      <w:r>
        <w:rPr>
          <w:rStyle w:val="CharSchNo"/>
        </w:rPr>
        <w:t>Schedule 1</w:t>
      </w:r>
      <w:bookmarkEnd w:id="8"/>
      <w:bookmarkEnd w:id="9"/>
      <w:bookmarkEnd w:id="10"/>
      <w:r>
        <w:rPr>
          <w:rStyle w:val="CharSchText"/>
        </w:rPr>
        <w:t xml:space="preserve"> </w:t>
      </w:r>
    </w:p>
    <w:p>
      <w:pPr>
        <w:pStyle w:val="yFootnoteheading"/>
        <w:tabs>
          <w:tab w:val="left" w:pos="600"/>
        </w:tabs>
      </w:pPr>
      <w:r>
        <w:tab/>
        <w:t>[Heading inserted: Gazette 31 Aug 1999 p. 4261.]</w:t>
      </w:r>
    </w:p>
    <w:p>
      <w:pPr>
        <w:pStyle w:val="yHeading3"/>
      </w:pPr>
      <w:bookmarkStart w:id="11" w:name="_Toc15051703"/>
      <w:bookmarkStart w:id="12" w:name="_Toc17794291"/>
      <w:bookmarkStart w:id="13" w:name="_Toc23231366"/>
      <w:r>
        <w:rPr>
          <w:rStyle w:val="CharSDivNo"/>
        </w:rPr>
        <w:t>Part 1</w:t>
      </w:r>
      <w:r>
        <w:t xml:space="preserve"> — </w:t>
      </w:r>
      <w:r>
        <w:rPr>
          <w:rStyle w:val="CharSDivText"/>
        </w:rPr>
        <w:t>Prescribed financial entities (regulation 2)</w:t>
      </w:r>
      <w:bookmarkEnd w:id="11"/>
      <w:bookmarkEnd w:id="12"/>
      <w:bookmarkEnd w:id="13"/>
    </w:p>
    <w:p>
      <w:pPr>
        <w:pStyle w:val="yFootnoteheading"/>
        <w:tabs>
          <w:tab w:val="left" w:pos="600"/>
        </w:tabs>
      </w:pPr>
      <w:r>
        <w:tab/>
        <w:t>[Heading inserted: Gazette 31 Aug 1999 p. 4261.]</w:t>
      </w:r>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2</w:t>
      </w:r>
    </w:p>
    <w:p>
      <w:pPr>
        <w:pStyle w:val="yMiscellaneousBody"/>
        <w:spacing w:before="240"/>
      </w:pPr>
      <w:r>
        <w:t>Department of Consumer and Employment Protection </w:t>
      </w:r>
      <w:r>
        <w:rPr>
          <w:vertAlign w:val="superscript"/>
        </w:rPr>
        <w:t>3</w:t>
      </w:r>
    </w:p>
    <w:p>
      <w:pPr>
        <w:pStyle w:val="yMiscellaneousBody"/>
        <w:spacing w:before="240"/>
      </w:pPr>
      <w:r>
        <w:t>Department of Environment and Conservation</w:t>
      </w:r>
      <w:r>
        <w:rPr>
          <w:vertAlign w:val="superscript"/>
        </w:rPr>
        <w:t> 4</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r>
        <w:rPr>
          <w:vertAlign w:val="superscript"/>
        </w:rPr>
        <w:t> 5</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6 </w:t>
      </w:r>
    </w:p>
    <w:p>
      <w:pPr>
        <w:pStyle w:val="yMiscellaneousBody"/>
        <w:spacing w:before="240"/>
      </w:pPr>
      <w:r>
        <w:t>Department of Culture and the Arts</w:t>
      </w:r>
      <w:r>
        <w:rPr>
          <w:vertAlign w:val="superscript"/>
        </w:rPr>
        <w:t> 7</w:t>
      </w:r>
      <w:r>
        <w:t xml:space="preserve"> </w:t>
      </w:r>
    </w:p>
    <w:p>
      <w:pPr>
        <w:pStyle w:val="yMiscellaneousBody"/>
        <w:spacing w:before="240"/>
      </w:pPr>
      <w:r>
        <w:t xml:space="preserve">Department of Premier and Cabinet </w:t>
      </w:r>
    </w:p>
    <w:p>
      <w:pPr>
        <w:pStyle w:val="yMiscellaneousBody"/>
        <w:spacing w:before="240"/>
      </w:pPr>
      <w:r>
        <w:t>Department of the Attorney General</w:t>
      </w:r>
      <w:r>
        <w:rPr>
          <w:vertAlign w:val="superscript"/>
        </w:rPr>
        <w:t> 8</w:t>
      </w:r>
    </w:p>
    <w:p>
      <w:pPr>
        <w:pStyle w:val="yMiscellaneousBody"/>
        <w:spacing w:before="240"/>
      </w:pPr>
      <w:r>
        <w:t>Department of the State Heritage Office </w:t>
      </w:r>
      <w:r>
        <w:rPr>
          <w:vertAlign w:val="superscript"/>
        </w:rPr>
        <w:t>9</w:t>
      </w:r>
    </w:p>
    <w:p>
      <w:pPr>
        <w:pStyle w:val="yMiscellaneousBody"/>
        <w:spacing w:before="240"/>
      </w:pPr>
      <w:r>
        <w:t>Department of Transport</w:t>
      </w:r>
    </w:p>
    <w:p>
      <w:pPr>
        <w:pStyle w:val="yMiscellaneousBody"/>
        <w:spacing w:before="240"/>
      </w:pPr>
      <w:r>
        <w:rPr>
          <w:szCs w:val="22"/>
        </w:rPr>
        <w:t>Department of Water</w:t>
      </w:r>
      <w:r>
        <w:rPr>
          <w:szCs w:val="22"/>
          <w:vertAlign w:val="superscript"/>
        </w:rPr>
        <w:t> 10</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Gazette 31 Aug 1999 p. 4261;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14" w:name="_Toc15051704"/>
      <w:bookmarkStart w:id="15" w:name="_Toc17794292"/>
      <w:bookmarkStart w:id="16" w:name="_Toc23231367"/>
      <w:r>
        <w:rPr>
          <w:rStyle w:val="CharSDivNo"/>
        </w:rPr>
        <w:t>Part 2</w:t>
      </w:r>
      <w:r>
        <w:t xml:space="preserve"> — </w:t>
      </w:r>
      <w:r>
        <w:rPr>
          <w:rStyle w:val="CharSDivText"/>
        </w:rPr>
        <w:t>Prescribed activities (regulation 3)</w:t>
      </w:r>
      <w:bookmarkEnd w:id="14"/>
      <w:bookmarkEnd w:id="15"/>
      <w:bookmarkEnd w:id="16"/>
    </w:p>
    <w:p>
      <w:pPr>
        <w:pStyle w:val="yFootnoteheading"/>
        <w:tabs>
          <w:tab w:val="left" w:pos="600"/>
        </w:tabs>
      </w:pPr>
      <w:r>
        <w:tab/>
        <w:t>[Heading inserted: Gazette 31 Aug 1999 p. 4261.]</w:t>
      </w:r>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2</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t>Department of Consumer and Employment Protection </w:t>
      </w:r>
      <w:r>
        <w:rPr>
          <w:u w:val="single"/>
          <w:vertAlign w:val="superscript"/>
        </w:rPr>
        <w:t>3</w:t>
      </w:r>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 </w:t>
      </w:r>
      <w:r>
        <w:rPr>
          <w:u w:val="single"/>
          <w:vertAlign w:val="superscript"/>
        </w:rPr>
        <w:t>4</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 </w:t>
      </w:r>
      <w:r>
        <w:rPr>
          <w:u w:val="single"/>
          <w:vertAlign w:val="superscript"/>
        </w:rPr>
        <w:t>5</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6</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 </w:t>
      </w:r>
      <w:r>
        <w:rPr>
          <w:u w:val="single"/>
          <w:vertAlign w:val="superscript"/>
        </w:rPr>
        <w:t>7</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 </w:t>
      </w:r>
      <w:r>
        <w:rPr>
          <w:u w:val="single"/>
          <w:vertAlign w:val="superscript"/>
        </w:rPr>
        <w:t>8</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r>
        <w:rPr>
          <w:u w:val="single"/>
          <w:vertAlign w:val="superscript"/>
        </w:rPr>
        <w:t> 9</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 </w:t>
      </w:r>
      <w:r>
        <w:rPr>
          <w:u w:val="single"/>
          <w:vertAlign w:val="superscript"/>
        </w:rPr>
        <w:t>10</w:t>
      </w:r>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keepNext/>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4261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17" w:name="_Toc15051705"/>
      <w:bookmarkStart w:id="18" w:name="_Toc17794293"/>
      <w:bookmarkStart w:id="19" w:name="_Toc23231368"/>
      <w:r>
        <w:rPr>
          <w:rStyle w:val="CharSchNo"/>
        </w:rPr>
        <w:t>Schedule 2</w:t>
      </w:r>
      <w:bookmarkEnd w:id="17"/>
      <w:bookmarkEnd w:id="18"/>
      <w:bookmarkEnd w:id="19"/>
    </w:p>
    <w:p>
      <w:pPr>
        <w:pStyle w:val="yShoulderClause"/>
      </w:pPr>
      <w:r>
        <w:t>[r. 4, 5]</w:t>
      </w:r>
    </w:p>
    <w:p>
      <w:pPr>
        <w:pStyle w:val="yFootnoteheading"/>
        <w:tabs>
          <w:tab w:val="left" w:pos="840"/>
        </w:tabs>
      </w:pPr>
      <w:bookmarkStart w:id="20" w:name="_Toc15051706"/>
      <w:bookmarkStart w:id="21" w:name="_Toc17794294"/>
      <w:r>
        <w:tab/>
        <w:t>[Heading inserted: Gazette 18 Feb 2000 p. 917.]</w:t>
      </w:r>
    </w:p>
    <w:p>
      <w:pPr>
        <w:pStyle w:val="yHeading3"/>
      </w:pPr>
      <w:bookmarkStart w:id="22" w:name="_Toc23231369"/>
      <w:r>
        <w:rPr>
          <w:rStyle w:val="CharSDivNo"/>
        </w:rPr>
        <w:t>Part 1</w:t>
      </w:r>
      <w:r>
        <w:t xml:space="preserve"> — </w:t>
      </w:r>
      <w:r>
        <w:rPr>
          <w:rStyle w:val="CharSDivText"/>
        </w:rPr>
        <w:t>Prescribed statutory corporations (regulation 4)</w:t>
      </w:r>
      <w:bookmarkEnd w:id="20"/>
      <w:bookmarkEnd w:id="21"/>
      <w:bookmarkEnd w:id="22"/>
    </w:p>
    <w:p>
      <w:pPr>
        <w:pStyle w:val="yFootnoteheading"/>
      </w:pPr>
      <w:r>
        <w:tab/>
        <w:t>[Heading inserted: Gazette 18 Feb 2000 p. 917.]</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11</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p>
    <w:p>
      <w:pPr>
        <w:pStyle w:val="yHeading3"/>
      </w:pPr>
      <w:bookmarkStart w:id="23" w:name="_Toc15051707"/>
      <w:bookmarkStart w:id="24" w:name="_Toc17794295"/>
      <w:bookmarkStart w:id="25" w:name="_Toc23231370"/>
      <w:r>
        <w:rPr>
          <w:rStyle w:val="CharSDivNo"/>
        </w:rPr>
        <w:t>Part 2</w:t>
      </w:r>
      <w:r>
        <w:t xml:space="preserve"> — </w:t>
      </w:r>
      <w:r>
        <w:rPr>
          <w:rStyle w:val="CharSDivText"/>
        </w:rPr>
        <w:t>Prescribed activities (regulation 5)</w:t>
      </w:r>
      <w:bookmarkEnd w:id="23"/>
      <w:bookmarkEnd w:id="24"/>
      <w:bookmarkEnd w:id="25"/>
    </w:p>
    <w:p>
      <w:pPr>
        <w:pStyle w:val="yFootnoteheading"/>
        <w:keepNext/>
      </w:pPr>
      <w:r>
        <w:tab/>
        <w:t>[Heading inserted: Gazette 18 Feb 2000 p. 917.]</w:t>
      </w:r>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11</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7" w:name="_Toc15051708"/>
      <w:bookmarkStart w:id="28" w:name="_Toc17794296"/>
      <w:bookmarkStart w:id="29" w:name="_Toc23231371"/>
      <w:r>
        <w:t>Notes</w:t>
      </w:r>
      <w:bookmarkEnd w:id="27"/>
      <w:bookmarkEnd w:id="28"/>
      <w:bookmarkEnd w:id="29"/>
    </w:p>
    <w:p>
      <w:pPr>
        <w:pStyle w:val="nSubsection"/>
      </w:pPr>
      <w:r>
        <w:rPr>
          <w:vertAlign w:val="superscript"/>
        </w:rPr>
        <w:t>1</w:t>
      </w:r>
      <w:r>
        <w:tab/>
        <w:t xml:space="preserve">This is a compilation of the </w:t>
      </w:r>
      <w:r>
        <w:rPr>
          <w:i/>
          <w:noProof/>
        </w:rPr>
        <w:t>State Trading Concerns (Authorisation) Regulations 1998</w:t>
      </w:r>
      <w:r>
        <w:t xml:space="preserve"> and includes the amendments made by the other written laws referred to in the following table.  The table also contains information about any reprint.</w:t>
      </w:r>
    </w:p>
    <w:p>
      <w:pPr>
        <w:pStyle w:val="nHeading3"/>
        <w:rPr>
          <w:snapToGrid w:val="0"/>
        </w:rPr>
      </w:pPr>
      <w:bookmarkStart w:id="30" w:name="_Toc23231372"/>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8"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8"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8"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8"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8"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8"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8"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8"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8"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8"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7"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8"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8"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8"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8"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8"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8"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8"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8"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8"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8"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8"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8"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8"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8"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8"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8"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8"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8"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7"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8"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8"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8"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8"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8"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7"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8"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8"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8"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8"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8"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8"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8"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7"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8"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8" w:type="dxa"/>
          </w:tcPr>
          <w:p>
            <w:pPr>
              <w:pStyle w:val="nTable"/>
              <w:keepNext/>
              <w:spacing w:after="40"/>
              <w:rPr>
                <w:i/>
              </w:rPr>
            </w:pPr>
            <w:r>
              <w:rPr>
                <w:i/>
              </w:rPr>
              <w:t>State Trading Concerns (Authorisation) Amendment Regulations (No. 2) 2011</w:t>
            </w:r>
          </w:p>
        </w:tc>
        <w:tc>
          <w:tcPr>
            <w:tcW w:w="1276" w:type="dxa"/>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rPr>
          <w:cantSplit/>
        </w:trPr>
        <w:tc>
          <w:tcPr>
            <w:tcW w:w="3118"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8"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8"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7" w:type="dxa"/>
            <w:gridSpan w:val="3"/>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8" w:type="dxa"/>
          </w:tcPr>
          <w:p>
            <w:pPr>
              <w:pStyle w:val="nTable"/>
              <w:spacing w:after="40"/>
              <w:rPr>
                <w:i/>
              </w:rPr>
            </w:pPr>
            <w:r>
              <w:rPr>
                <w:i/>
              </w:rPr>
              <w:t>State Trading Concerns (Authorisation) Amendment Regulations 2013</w:t>
            </w:r>
          </w:p>
        </w:tc>
        <w:tc>
          <w:tcPr>
            <w:tcW w:w="1276" w:type="dxa"/>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8"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c>
          <w:tcPr>
            <w:tcW w:w="3118"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c>
          <w:tcPr>
            <w:tcW w:w="3118" w:type="dxa"/>
          </w:tcPr>
          <w:p>
            <w:pPr>
              <w:pStyle w:val="nTable"/>
              <w:spacing w:after="40"/>
              <w:rPr>
                <w:i/>
              </w:rPr>
            </w:pPr>
            <w:r>
              <w:rPr>
                <w:i/>
              </w:rPr>
              <w:t>State Trading Concerns (Authorisation) Amendment Regulations 2016</w:t>
            </w:r>
          </w:p>
        </w:tc>
        <w:tc>
          <w:tcPr>
            <w:tcW w:w="1276" w:type="dxa"/>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c>
          <w:tcPr>
            <w:tcW w:w="3118" w:type="dxa"/>
          </w:tcPr>
          <w:p>
            <w:pPr>
              <w:pStyle w:val="nTable"/>
              <w:spacing w:after="40"/>
              <w:rPr>
                <w:i/>
              </w:rPr>
            </w:pPr>
            <w:r>
              <w:rPr>
                <w:i/>
              </w:rPr>
              <w:t>State Trading Concerns (Authorisation) Amendment Regulations 2018</w:t>
            </w:r>
          </w:p>
        </w:tc>
        <w:tc>
          <w:tcPr>
            <w:tcW w:w="1276" w:type="dxa"/>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c>
          <w:tcPr>
            <w:tcW w:w="7087" w:type="dxa"/>
            <w:gridSpan w:val="3"/>
            <w:tcBorders>
              <w:bottom w:val="single" w:sz="8" w:space="0" w:color="auto"/>
            </w:tcBorders>
            <w:shd w:val="clear" w:color="auto" w:fill="auto"/>
          </w:tcPr>
          <w:p>
            <w:pPr>
              <w:pStyle w:val="nTable"/>
              <w:keepNext/>
              <w:spacing w:after="40"/>
              <w:rPr>
                <w:snapToGrid w:val="0"/>
              </w:rPr>
            </w:pPr>
            <w:r>
              <w:rPr>
                <w:b/>
                <w:snapToGrid w:val="0"/>
              </w:rPr>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p>
        </w:tc>
      </w:tr>
    </w:tbl>
    <w:p>
      <w:pPr>
        <w:pStyle w:val="nSubsection"/>
        <w:keepLines/>
        <w:spacing w:before="160"/>
      </w:pPr>
      <w:r>
        <w:rPr>
          <w:snapToGrid w:val="0"/>
          <w:vertAlign w:val="superscript"/>
        </w:rPr>
        <w:t>2</w:t>
      </w:r>
      <w:r>
        <w:rPr>
          <w:snapToGrid w:val="0"/>
        </w:rPr>
        <w:tab/>
      </w:r>
      <w:r>
        <w:t xml:space="preserve">Under the </w:t>
      </w:r>
      <w:r>
        <w:rPr>
          <w:i/>
        </w:rPr>
        <w:t>Alteration of Statutory Designations Order 2017</w:t>
      </w:r>
      <w:r>
        <w:t xml:space="preserve"> cl. 6, a reference in any law to the Department for Planning and Infrastructure is to be read and construed as a reference to the relevant successor unless the context of the reference requires otherwise.  In cl. 6 — </w:t>
      </w:r>
    </w:p>
    <w:p>
      <w:pPr>
        <w:pStyle w:val="nzDefstart"/>
      </w:pPr>
      <w:r>
        <w:rPr>
          <w:b/>
        </w:rPr>
        <w:tab/>
        <w:t>relevant successor</w:t>
      </w:r>
      <w:r>
        <w:t xml:space="preserve"> means — </w:t>
      </w:r>
    </w:p>
    <w:p>
      <w:pPr>
        <w:pStyle w:val="nzDefpara"/>
      </w:pPr>
      <w:r>
        <w:tab/>
        <w:t>(a)</w:t>
      </w:r>
      <w:r>
        <w:tab/>
        <w:t>the Department of Planning, Lands and Heritage if the reference to be read and construed relates to a function, office or other matter that on 1 July 2017 becomes a function of, office in or other matter relating to that department; or</w:t>
      </w:r>
    </w:p>
    <w:p>
      <w:pPr>
        <w:pStyle w:val="nzDefpara"/>
      </w:pPr>
      <w:r>
        <w:tab/>
        <w:t>(b)</w:t>
      </w:r>
      <w:r>
        <w:tab/>
        <w:t>the Department of Primary Industries and Regional Development if the reference to be read and construed relates to a function, office or other matter that on 1 July 2017 becomes a function of, office in or other matter relating to that department; or</w:t>
      </w:r>
    </w:p>
    <w:p>
      <w:pPr>
        <w:pStyle w:val="nzDefpara"/>
      </w:pPr>
      <w:r>
        <w:tab/>
        <w:t>(c)</w:t>
      </w:r>
      <w:r>
        <w:tab/>
        <w:t>the Department of Transport if the reference to be read and construed relates to a function, office or other matter that on 1 July 2009 became a function of, office in or other matter relating to that department.</w:t>
      </w:r>
    </w:p>
    <w:p>
      <w:pPr>
        <w:pStyle w:val="nSubsection"/>
        <w:keepLines/>
        <w:spacing w:before="120"/>
      </w:pPr>
      <w:r>
        <w:rPr>
          <w:snapToGrid w:val="0"/>
          <w:vertAlign w:val="superscript"/>
        </w:rPr>
        <w:t>3</w:t>
      </w:r>
      <w:r>
        <w:rPr>
          <w:snapToGrid w:val="0"/>
        </w:rPr>
        <w:tab/>
        <w:t xml:space="preserve">Under the </w:t>
      </w:r>
      <w:r>
        <w:rPr>
          <w:i/>
          <w:snapToGrid w:val="0"/>
        </w:rPr>
        <w:t>Public Sector Management Act 1994</w:t>
      </w:r>
      <w:r>
        <w:rPr>
          <w:snapToGrid w:val="0"/>
        </w:rPr>
        <w:t xml:space="preserve"> the </w:t>
      </w:r>
      <w:r>
        <w:t xml:space="preserve">designation of the Department of Consumer and Employment Protection was altered to the Department of Commerce (see </w:t>
      </w:r>
      <w:r>
        <w:rPr>
          <w:i/>
          <w:iCs/>
        </w:rPr>
        <w:t>Gazette</w:t>
      </w:r>
      <w:r>
        <w:t xml:space="preserve"> 2 Jan 2009 p. 8). </w:t>
      </w:r>
    </w:p>
    <w:p>
      <w:pPr>
        <w:pStyle w:val="nSubsection"/>
        <w:keepLines/>
        <w:spacing w:before="120"/>
      </w:pPr>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p>
    <w:p>
      <w:pPr>
        <w:pStyle w:val="nzDefstart"/>
      </w:pPr>
      <w:r>
        <w:tab/>
      </w:r>
      <w:r>
        <w:rPr>
          <w:b/>
        </w:rPr>
        <w:t>relevant</w:t>
      </w:r>
      <w:r>
        <w:rPr>
          <w:b/>
          <w:i/>
        </w:rPr>
        <w:t xml:space="preserve"> successor</w:t>
      </w:r>
      <w:r>
        <w:t xml:space="preserve"> means —</w:t>
      </w:r>
    </w:p>
    <w:p>
      <w:pPr>
        <w:pStyle w:val="nzDefpara"/>
      </w:pPr>
      <w:r>
        <w:tab/>
        <w:t>(a)</w:t>
      </w:r>
      <w:r>
        <w:tab/>
        <w:t>the Department of Jobs, Tourism, Science and Innovation if the reference to be read and construed relates to a function, office or other matter that on 1 July 2017 becomes a function of, office in or other matter relating to that department; or</w:t>
      </w:r>
    </w:p>
    <w:p>
      <w:pPr>
        <w:pStyle w:val="nzDefpara"/>
      </w:pPr>
      <w:r>
        <w:tab/>
        <w:t>(b)</w:t>
      </w:r>
      <w:r>
        <w:tab/>
        <w:t>the Department of Mines, Industry Regulation and Safety if the reference to be read and construed relates to a function, office or other matter that on 1 July 2017 becomes a function of, office in or other matter relating to that department.</w:t>
      </w:r>
    </w:p>
    <w:p>
      <w:pPr>
        <w:pStyle w:val="nSubsection"/>
        <w:spacing w:before="120"/>
        <w:rPr>
          <w:snapToGrid w:val="0"/>
          <w:vertAlign w:val="superscript"/>
        </w:rPr>
      </w:pPr>
      <w:r>
        <w:rPr>
          <w:snapToGrid w:val="0"/>
          <w:vertAlign w:val="superscript"/>
        </w:rPr>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p>
    <w:p>
      <w:pPr>
        <w:pStyle w:val="nSubsection"/>
        <w:spacing w:before="120"/>
        <w:rPr>
          <w:snapToGrid w:val="0"/>
          <w:vertAlign w:val="superscript"/>
        </w:rPr>
      </w:pPr>
      <w:r>
        <w:rPr>
          <w:snapToGrid w:val="0"/>
          <w:vertAlign w:val="superscript"/>
        </w:rPr>
        <w:t>5</w:t>
      </w:r>
      <w:r>
        <w:rPr>
          <w:snapToGrid w:val="0"/>
        </w:rPr>
        <w:tab/>
        <w:t xml:space="preserve">Under the </w:t>
      </w:r>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p>
    <w:p>
      <w:pPr>
        <w:pStyle w:val="nSubsection"/>
        <w:spacing w:before="120"/>
        <w:rPr>
          <w:snapToGrid w:val="0"/>
        </w:rPr>
      </w:pPr>
      <w:r>
        <w:rPr>
          <w:snapToGrid w:val="0"/>
          <w:vertAlign w:val="superscript"/>
        </w:rPr>
        <w:t>6</w:t>
      </w:r>
      <w:r>
        <w:rPr>
          <w:snapToGrid w:val="0"/>
        </w:rPr>
        <w:tab/>
        <w:t xml:space="preserve">Under the </w:t>
      </w:r>
      <w:r>
        <w:rPr>
          <w:i/>
          <w:iCs/>
        </w:rPr>
        <w:t>Alteration of Statutory Designations Order 2017</w:t>
      </w:r>
      <w:r>
        <w:t xml:space="preserve"> cl. 8, a reference in any law to the Department of Industry and Resources is to be read and construed as a reference to the Department of Mines, Industry Regulation and Safety unless the context of the reference requires otherwise.</w:t>
      </w:r>
    </w:p>
    <w:p>
      <w:pPr>
        <w:pStyle w:val="nSubsection"/>
        <w:spacing w:before="120"/>
      </w:pPr>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p>
    <w:p>
      <w:pPr>
        <w:pStyle w:val="nSubsection"/>
        <w:spacing w:before="120"/>
      </w:pPr>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p>
    <w:p>
      <w:pPr>
        <w:pStyle w:val="nSubsection"/>
        <w:spacing w:before="120"/>
        <w:rPr>
          <w:snapToGrid w:val="0"/>
        </w:rPr>
      </w:pPr>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p>
    <w:p>
      <w:pPr>
        <w:pStyle w:val="nSubsection"/>
        <w:spacing w:before="120"/>
        <w:rPr>
          <w:snapToGrid w:val="0"/>
        </w:rPr>
      </w:pPr>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p>
    <w:p>
      <w:pPr>
        <w:pStyle w:val="nSubsection"/>
        <w:keepNext/>
        <w:spacing w:before="120"/>
        <w:rPr>
          <w:snapToGrid w:val="0"/>
        </w:rPr>
      </w:pPr>
      <w:r>
        <w:rPr>
          <w:snapToGrid w:val="0"/>
          <w:vertAlign w:val="superscript"/>
        </w:rPr>
        <w:t>11</w:t>
      </w:r>
      <w:r>
        <w:rPr>
          <w:snapToGrid w:val="0"/>
        </w:rPr>
        <w:tab/>
        <w:t xml:space="preserve">The Western Australian Government Railways Commission no longer exists. Its successor is the Public Transport Authority of Western Australia. See </w:t>
      </w:r>
      <w:r>
        <w:rPr>
          <w:i/>
          <w:snapToGrid w:val="0"/>
        </w:rPr>
        <w:t>Public Transport Authority Act 2003</w:t>
      </w:r>
      <w:r>
        <w:rPr>
          <w:snapToGrid w:val="0"/>
        </w:rPr>
        <w:t xml:space="preserve"> s. 80.</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2" w:name="_Toc17794298"/>
      <w:bookmarkStart w:id="33" w:name="_Toc23231373"/>
      <w:r>
        <w:rPr>
          <w:sz w:val="28"/>
        </w:rPr>
        <w:t>Defined terms</w:t>
      </w:r>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activities (regulation 3)</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financial entities (regulation 2)</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26164014"/>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def">
    <w:name w:val="Ndef"/>
    <w:basedOn w:val="nSubsection"/>
    <w:pPr>
      <w:keepLines/>
      <w:spacing w:before="120"/>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def">
    <w:name w:val="Ndef"/>
    <w:basedOn w:val="nSubsection"/>
    <w:pPr>
      <w:keepLines/>
      <w:spacing w:before="120"/>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119F8-2760-4D28-9D64-A3CE3ADFC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4891</Words>
  <Characters>25629</Characters>
  <Application>Microsoft Office Word</Application>
  <DocSecurity>0</DocSecurity>
  <Lines>854</Lines>
  <Paragraphs>484</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30036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1998 - 06-a0-02</dc:title>
  <dc:subject/>
  <dc:creator/>
  <cp:keywords/>
  <dc:description/>
  <cp:lastModifiedBy>svcMRProcess</cp:lastModifiedBy>
  <cp:revision>4</cp:revision>
  <cp:lastPrinted>2019-10-23T02:51:00Z</cp:lastPrinted>
  <dcterms:created xsi:type="dcterms:W3CDTF">2020-02-05T08:54:00Z</dcterms:created>
  <dcterms:modified xsi:type="dcterms:W3CDTF">2020-02-05T08:54:00Z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edAsAt">
    <vt:filetime>2019-10-17T16:00:00Z</vt:filetime>
  </property>
  <property fmtid="{D5CDD505-2E9C-101B-9397-08002B2CF9AE}" pid="6" name="ReprintNo">
    <vt:lpwstr>6</vt:lpwstr>
  </property>
  <property fmtid="{D5CDD505-2E9C-101B-9397-08002B2CF9AE}" pid="7" name="AsAtDate">
    <vt:lpwstr>18 Oct 2019</vt:lpwstr>
  </property>
  <property fmtid="{D5CDD505-2E9C-101B-9397-08002B2CF9AE}" pid="8" name="Suffix">
    <vt:lpwstr>06-a0-02</vt:lpwstr>
  </property>
  <property fmtid="{D5CDD505-2E9C-101B-9397-08002B2CF9AE}" pid="9" name="CommencementDate">
    <vt:lpwstr>20191018</vt:lpwstr>
  </property>
</Properties>
</file>