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noProof/>
        </w:rPr>
        <w:t>Supreme Court Act 1935</w:t>
      </w:r>
    </w:p>
    <w:p>
      <w:pPr>
        <w:pStyle w:val="NameofActRegPage1"/>
        <w:spacing w:before="1200" w:after="4200"/>
        <w:ind w:left="567" w:right="576"/>
        <w:outlineLvl w:val="0"/>
        <w:rPr>
          <w:sz w:val="48"/>
        </w:rPr>
      </w:pPr>
      <w:r>
        <w:rPr>
          <w:noProof/>
          <w:sz w:val="48"/>
        </w:rPr>
        <w:t>Supreme Court (Fees) Regulations 2002</w:t>
      </w:r>
    </w:p>
    <w:p>
      <w:pPr>
        <w:pStyle w:val="ReprintNo"/>
      </w:pPr>
      <w:r>
        <w:t>Reprint 4:  The regulations as at 9 November 2019</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8"/>
        </w:numPr>
        <w:tabs>
          <w:tab w:val="num" w:pos="1197"/>
        </w:tabs>
        <w:ind w:left="1208" w:hanging="357"/>
        <w:rPr>
          <w:sz w:val="20"/>
        </w:rPr>
      </w:pPr>
      <w:r>
        <w:rPr>
          <w:sz w:val="20"/>
        </w:rPr>
        <w:t>removed (because it was repealed or deleted from the law); or</w:t>
      </w:r>
    </w:p>
    <w:p>
      <w:pPr>
        <w:numPr>
          <w:ilvl w:val="0"/>
          <w:numId w:val="18"/>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pPr>
              <w:jc w:val="center"/>
            </w:p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9 November 2019</w:t>
            </w:r>
          </w:p>
        </w:tc>
      </w:tr>
    </w:tbl>
    <w:p>
      <w:pPr>
        <w:pStyle w:val="WA"/>
        <w:spacing w:before="12"/>
      </w:pPr>
      <w:r>
        <w:t>Western Australia</w:t>
      </w:r>
    </w:p>
    <w:p>
      <w:pPr>
        <w:pStyle w:val="NameofActRegPage1"/>
      </w:pPr>
      <w:r>
        <w:rPr>
          <w:noProof/>
        </w:rPr>
        <w:t>Supreme Court (Fees) Regulations 2002</w:t>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_Toc25656875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_Toc25656876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_Toc25656877 \h </w:instrText>
      </w:r>
      <w:r>
        <w:fldChar w:fldCharType="separate"/>
      </w:r>
      <w:r>
        <w:t>1</w:t>
      </w:r>
      <w:r>
        <w:fldChar w:fldCharType="end"/>
      </w:r>
    </w:p>
    <w:p>
      <w:pPr>
        <w:pStyle w:val="TOC8"/>
        <w:rPr>
          <w:rFonts w:asciiTheme="minorHAnsi" w:eastAsiaTheme="minorEastAsia" w:hAnsiTheme="minorHAnsi" w:cstheme="minorBidi"/>
          <w:szCs w:val="22"/>
        </w:rPr>
      </w:pPr>
      <w:r>
        <w:t>4.</w:t>
      </w:r>
      <w:r>
        <w:tab/>
        <w:t>General fees</w:t>
      </w:r>
      <w:r>
        <w:tab/>
      </w:r>
      <w:r>
        <w:fldChar w:fldCharType="begin"/>
      </w:r>
      <w:r>
        <w:instrText xml:space="preserve"> PAGEREF _Toc25656878 \h </w:instrText>
      </w:r>
      <w:r>
        <w:fldChar w:fldCharType="separate"/>
      </w:r>
      <w:r>
        <w:t>3</w:t>
      </w:r>
      <w:r>
        <w:fldChar w:fldCharType="end"/>
      </w:r>
    </w:p>
    <w:p>
      <w:pPr>
        <w:pStyle w:val="TOC8"/>
        <w:rPr>
          <w:rFonts w:asciiTheme="minorHAnsi" w:eastAsiaTheme="minorEastAsia" w:hAnsiTheme="minorHAnsi" w:cstheme="minorBidi"/>
          <w:szCs w:val="22"/>
        </w:rPr>
      </w:pPr>
      <w:r>
        <w:t>4A.</w:t>
      </w:r>
      <w:r>
        <w:tab/>
        <w:t>Fees for small businesses and non</w:t>
      </w:r>
      <w:r>
        <w:noBreakHyphen/>
        <w:t>profit associations</w:t>
      </w:r>
      <w:r>
        <w:tab/>
      </w:r>
      <w:r>
        <w:fldChar w:fldCharType="begin"/>
      </w:r>
      <w:r>
        <w:instrText xml:space="preserve"> PAGEREF _Toc25656879 \h </w:instrText>
      </w:r>
      <w:r>
        <w:fldChar w:fldCharType="separate"/>
      </w:r>
      <w:r>
        <w:t>4</w:t>
      </w:r>
      <w:r>
        <w:fldChar w:fldCharType="end"/>
      </w:r>
    </w:p>
    <w:p>
      <w:pPr>
        <w:pStyle w:val="TOC8"/>
        <w:rPr>
          <w:rFonts w:asciiTheme="minorHAnsi" w:eastAsiaTheme="minorEastAsia" w:hAnsiTheme="minorHAnsi" w:cstheme="minorBidi"/>
          <w:szCs w:val="22"/>
        </w:rPr>
      </w:pPr>
      <w:r>
        <w:t>5.</w:t>
      </w:r>
      <w:r>
        <w:tab/>
      </w:r>
      <w:r>
        <w:rPr>
          <w:snapToGrid w:val="0"/>
        </w:rPr>
        <w:t>Exemptions</w:t>
      </w:r>
      <w:r>
        <w:tab/>
      </w:r>
      <w:r>
        <w:fldChar w:fldCharType="begin"/>
      </w:r>
      <w:r>
        <w:instrText xml:space="preserve"> PAGEREF _Toc25656880 \h </w:instrText>
      </w:r>
      <w:r>
        <w:fldChar w:fldCharType="separate"/>
      </w:r>
      <w:r>
        <w:t>5</w:t>
      </w:r>
      <w:r>
        <w:fldChar w:fldCharType="end"/>
      </w:r>
    </w:p>
    <w:p>
      <w:pPr>
        <w:pStyle w:val="TOC8"/>
        <w:rPr>
          <w:rFonts w:asciiTheme="minorHAnsi" w:eastAsiaTheme="minorEastAsia" w:hAnsiTheme="minorHAnsi" w:cstheme="minorBidi"/>
          <w:szCs w:val="22"/>
        </w:rPr>
      </w:pPr>
      <w:r>
        <w:t>5A.</w:t>
      </w:r>
      <w:r>
        <w:tab/>
        <w:t>Disputes regarding fees</w:t>
      </w:r>
      <w:r>
        <w:tab/>
      </w:r>
      <w:r>
        <w:fldChar w:fldCharType="begin"/>
      </w:r>
      <w:r>
        <w:instrText xml:space="preserve"> PAGEREF _Toc25656881 \h </w:instrText>
      </w:r>
      <w:r>
        <w:fldChar w:fldCharType="separate"/>
      </w:r>
      <w:r>
        <w:t>6</w:t>
      </w:r>
      <w:r>
        <w:fldChar w:fldCharType="end"/>
      </w:r>
    </w:p>
    <w:p>
      <w:pPr>
        <w:pStyle w:val="TOC8"/>
        <w:rPr>
          <w:rFonts w:asciiTheme="minorHAnsi" w:eastAsiaTheme="minorEastAsia" w:hAnsiTheme="minorHAnsi" w:cstheme="minorBidi"/>
          <w:szCs w:val="22"/>
        </w:rPr>
      </w:pPr>
      <w:r>
        <w:t>6.</w:t>
      </w:r>
      <w:r>
        <w:tab/>
      </w:r>
      <w:r>
        <w:rPr>
          <w:snapToGrid w:val="0"/>
        </w:rPr>
        <w:t>Fees to be paid before documents filed or other things done</w:t>
      </w:r>
      <w:r>
        <w:tab/>
      </w:r>
      <w:r>
        <w:fldChar w:fldCharType="begin"/>
      </w:r>
      <w:r>
        <w:instrText xml:space="preserve"> PAGEREF _Toc25656882 \h </w:instrText>
      </w:r>
      <w:r>
        <w:fldChar w:fldCharType="separate"/>
      </w:r>
      <w:r>
        <w:t>7</w:t>
      </w:r>
      <w:r>
        <w:fldChar w:fldCharType="end"/>
      </w:r>
    </w:p>
    <w:p>
      <w:pPr>
        <w:pStyle w:val="TOC8"/>
        <w:rPr>
          <w:rFonts w:asciiTheme="minorHAnsi" w:eastAsiaTheme="minorEastAsia" w:hAnsiTheme="minorHAnsi" w:cstheme="minorBidi"/>
          <w:szCs w:val="22"/>
        </w:rPr>
      </w:pPr>
      <w:r>
        <w:t>7.</w:t>
      </w:r>
      <w:r>
        <w:tab/>
        <w:t>Who is an eligible individual or eligible entity</w:t>
      </w:r>
      <w:r>
        <w:tab/>
      </w:r>
      <w:r>
        <w:fldChar w:fldCharType="begin"/>
      </w:r>
      <w:r>
        <w:instrText xml:space="preserve"> PAGEREF _Toc25656883 \h </w:instrText>
      </w:r>
      <w:r>
        <w:fldChar w:fldCharType="separate"/>
      </w:r>
      <w:r>
        <w:t>7</w:t>
      </w:r>
      <w:r>
        <w:fldChar w:fldCharType="end"/>
      </w:r>
    </w:p>
    <w:p>
      <w:pPr>
        <w:pStyle w:val="TOC8"/>
        <w:rPr>
          <w:rFonts w:asciiTheme="minorHAnsi" w:eastAsiaTheme="minorEastAsia" w:hAnsiTheme="minorHAnsi" w:cstheme="minorBidi"/>
          <w:szCs w:val="22"/>
        </w:rPr>
      </w:pPr>
      <w:r>
        <w:t>8.</w:t>
      </w:r>
      <w:r>
        <w:tab/>
        <w:t>Application to be recognised as eligible individual or eligible entity</w:t>
      </w:r>
      <w:r>
        <w:tab/>
      </w:r>
      <w:r>
        <w:fldChar w:fldCharType="begin"/>
      </w:r>
      <w:r>
        <w:instrText xml:space="preserve"> PAGEREF _Toc25656884 \h </w:instrText>
      </w:r>
      <w:r>
        <w:fldChar w:fldCharType="separate"/>
      </w:r>
      <w:r>
        <w:t>8</w:t>
      </w:r>
      <w:r>
        <w:fldChar w:fldCharType="end"/>
      </w:r>
    </w:p>
    <w:p>
      <w:pPr>
        <w:pStyle w:val="TOC8"/>
        <w:rPr>
          <w:rFonts w:asciiTheme="minorHAnsi" w:eastAsiaTheme="minorEastAsia" w:hAnsiTheme="minorHAnsi" w:cstheme="minorBidi"/>
          <w:szCs w:val="22"/>
        </w:rPr>
      </w:pPr>
      <w:r>
        <w:t>8A.</w:t>
      </w:r>
      <w:r>
        <w:tab/>
        <w:t>Recognition as eligible individual or eligible entity</w:t>
      </w:r>
      <w:r>
        <w:tab/>
      </w:r>
      <w:r>
        <w:fldChar w:fldCharType="begin"/>
      </w:r>
      <w:r>
        <w:instrText xml:space="preserve"> PAGEREF _Toc25656885 \h </w:instrText>
      </w:r>
      <w:r>
        <w:fldChar w:fldCharType="separate"/>
      </w:r>
      <w:r>
        <w:t>9</w:t>
      </w:r>
      <w:r>
        <w:fldChar w:fldCharType="end"/>
      </w:r>
    </w:p>
    <w:p>
      <w:pPr>
        <w:pStyle w:val="TOC8"/>
        <w:rPr>
          <w:rFonts w:asciiTheme="minorHAnsi" w:eastAsiaTheme="minorEastAsia" w:hAnsiTheme="minorHAnsi" w:cstheme="minorBidi"/>
          <w:szCs w:val="22"/>
        </w:rPr>
      </w:pPr>
      <w:r>
        <w:t>8B.</w:t>
      </w:r>
      <w:r>
        <w:tab/>
        <w:t>False or misleading statements</w:t>
      </w:r>
      <w:r>
        <w:tab/>
      </w:r>
      <w:r>
        <w:fldChar w:fldCharType="begin"/>
      </w:r>
      <w:r>
        <w:instrText xml:space="preserve"> PAGEREF _Toc25656886 \h </w:instrText>
      </w:r>
      <w:r>
        <w:fldChar w:fldCharType="separate"/>
      </w:r>
      <w:r>
        <w:t>10</w:t>
      </w:r>
      <w:r>
        <w:fldChar w:fldCharType="end"/>
      </w:r>
    </w:p>
    <w:p>
      <w:pPr>
        <w:pStyle w:val="TOC8"/>
        <w:rPr>
          <w:rFonts w:asciiTheme="minorHAnsi" w:eastAsiaTheme="minorEastAsia" w:hAnsiTheme="minorHAnsi" w:cstheme="minorBidi"/>
          <w:szCs w:val="22"/>
        </w:rPr>
      </w:pPr>
      <w:r>
        <w:t>8C.</w:t>
      </w:r>
      <w:r>
        <w:tab/>
        <w:t>Refunds</w:t>
      </w:r>
      <w:r>
        <w:tab/>
      </w:r>
      <w:r>
        <w:fldChar w:fldCharType="begin"/>
      </w:r>
      <w:r>
        <w:instrText xml:space="preserve"> PAGEREF _Toc25656887 \h </w:instrText>
      </w:r>
      <w:r>
        <w:fldChar w:fldCharType="separate"/>
      </w:r>
      <w:r>
        <w:t>11</w:t>
      </w:r>
      <w:r>
        <w:fldChar w:fldCharType="end"/>
      </w:r>
    </w:p>
    <w:p>
      <w:pPr>
        <w:pStyle w:val="TOC8"/>
        <w:rPr>
          <w:rFonts w:asciiTheme="minorHAnsi" w:eastAsiaTheme="minorEastAsia" w:hAnsiTheme="minorHAnsi" w:cstheme="minorBidi"/>
          <w:szCs w:val="22"/>
        </w:rPr>
      </w:pPr>
      <w:r>
        <w:t>8D.</w:t>
      </w:r>
      <w:r>
        <w:tab/>
        <w:t>Waiving fee for copy of document or transcript</w:t>
      </w:r>
      <w:r>
        <w:tab/>
      </w:r>
      <w:r>
        <w:fldChar w:fldCharType="begin"/>
      </w:r>
      <w:r>
        <w:instrText xml:space="preserve"> PAGEREF _Toc25656888 \h </w:instrText>
      </w:r>
      <w:r>
        <w:fldChar w:fldCharType="separate"/>
      </w:r>
      <w:r>
        <w:t>11</w:t>
      </w:r>
      <w:r>
        <w:fldChar w:fldCharType="end"/>
      </w:r>
    </w:p>
    <w:p>
      <w:pPr>
        <w:pStyle w:val="TOC8"/>
        <w:rPr>
          <w:rFonts w:asciiTheme="minorHAnsi" w:eastAsiaTheme="minorEastAsia" w:hAnsiTheme="minorHAnsi" w:cstheme="minorBidi"/>
          <w:szCs w:val="22"/>
        </w:rPr>
      </w:pPr>
      <w:r>
        <w:t>9.</w:t>
      </w:r>
      <w:r>
        <w:tab/>
        <w:t>Allocation of hearing date — Schedule 1 Division 1 item 5</w:t>
      </w:r>
      <w:r>
        <w:tab/>
      </w:r>
      <w:r>
        <w:fldChar w:fldCharType="begin"/>
      </w:r>
      <w:r>
        <w:instrText xml:space="preserve"> PAGEREF _Toc25656889 \h </w:instrText>
      </w:r>
      <w:r>
        <w:fldChar w:fldCharType="separate"/>
      </w:r>
      <w:r>
        <w:t>12</w:t>
      </w:r>
      <w:r>
        <w:fldChar w:fldCharType="end"/>
      </w:r>
    </w:p>
    <w:p>
      <w:pPr>
        <w:pStyle w:val="TOC8"/>
        <w:rPr>
          <w:rFonts w:asciiTheme="minorHAnsi" w:eastAsiaTheme="minorEastAsia" w:hAnsiTheme="minorHAnsi" w:cstheme="minorBidi"/>
          <w:szCs w:val="22"/>
        </w:rPr>
      </w:pPr>
      <w:r>
        <w:t>9A.</w:t>
      </w:r>
      <w:r>
        <w:tab/>
        <w:t>Court of Appeal allocation of hearing date — Schedule 1 Division 2 item 6</w:t>
      </w:r>
      <w:r>
        <w:tab/>
      </w:r>
      <w:r>
        <w:fldChar w:fldCharType="begin"/>
      </w:r>
      <w:r>
        <w:instrText xml:space="preserve"> PAGEREF _Toc25656890 \h </w:instrText>
      </w:r>
      <w:r>
        <w:fldChar w:fldCharType="separate"/>
      </w:r>
      <w:r>
        <w:t>13</w:t>
      </w:r>
      <w:r>
        <w:fldChar w:fldCharType="end"/>
      </w:r>
    </w:p>
    <w:p>
      <w:pPr>
        <w:pStyle w:val="TOC8"/>
        <w:rPr>
          <w:rFonts w:asciiTheme="minorHAnsi" w:eastAsiaTheme="minorEastAsia" w:hAnsiTheme="minorHAnsi" w:cstheme="minorBidi"/>
          <w:szCs w:val="22"/>
        </w:rPr>
      </w:pPr>
      <w:r>
        <w:t>10.</w:t>
      </w:r>
      <w:r>
        <w:tab/>
        <w:t>Schedule 1 Division 1 item 6 or Division 2 item 7 fee</w:t>
      </w:r>
      <w:r>
        <w:tab/>
      </w:r>
      <w:r>
        <w:fldChar w:fldCharType="begin"/>
      </w:r>
      <w:r>
        <w:instrText xml:space="preserve"> PAGEREF _Toc25656891 \h </w:instrText>
      </w:r>
      <w:r>
        <w:fldChar w:fldCharType="separate"/>
      </w:r>
      <w:r>
        <w:t>15</w:t>
      </w:r>
      <w:r>
        <w:fldChar w:fldCharType="end"/>
      </w:r>
    </w:p>
    <w:p>
      <w:pPr>
        <w:pStyle w:val="TOC8"/>
        <w:rPr>
          <w:rFonts w:asciiTheme="minorHAnsi" w:eastAsiaTheme="minorEastAsia" w:hAnsiTheme="minorHAnsi" w:cstheme="minorBidi"/>
          <w:szCs w:val="22"/>
        </w:rPr>
      </w:pPr>
      <w:r>
        <w:t>11.</w:t>
      </w:r>
      <w:r>
        <w:tab/>
        <w:t>Recovery of unpaid fees</w:t>
      </w:r>
      <w:r>
        <w:tab/>
      </w:r>
      <w:r>
        <w:fldChar w:fldCharType="begin"/>
      </w:r>
      <w:r>
        <w:instrText xml:space="preserve"> PAGEREF _Toc25656892 \h </w:instrText>
      </w:r>
      <w:r>
        <w:fldChar w:fldCharType="separate"/>
      </w:r>
      <w:r>
        <w:t>15</w:t>
      </w:r>
      <w:r>
        <w:fldChar w:fldCharType="end"/>
      </w:r>
    </w:p>
    <w:p>
      <w:pPr>
        <w:pStyle w:val="TOC2"/>
        <w:tabs>
          <w:tab w:val="right" w:pos="7077"/>
        </w:tabs>
        <w:rPr>
          <w:rFonts w:asciiTheme="minorHAnsi" w:eastAsiaTheme="minorEastAsia" w:hAnsiTheme="minorHAnsi" w:cstheme="minorBidi"/>
          <w:b w:val="0"/>
          <w:sz w:val="22"/>
          <w:szCs w:val="22"/>
        </w:rPr>
      </w:pPr>
      <w:r>
        <w:t>Schedule 1 — Fees</w:t>
      </w:r>
    </w:p>
    <w:p>
      <w:pPr>
        <w:pStyle w:val="TOC4"/>
        <w:tabs>
          <w:tab w:val="right" w:pos="7077"/>
        </w:tabs>
        <w:rPr>
          <w:rFonts w:asciiTheme="minorHAnsi" w:eastAsiaTheme="minorEastAsia" w:hAnsiTheme="minorHAnsi" w:cstheme="minorBidi"/>
          <w:b w:val="0"/>
          <w:szCs w:val="22"/>
        </w:rPr>
      </w:pPr>
      <w:r>
        <w:t>Division 1</w:t>
      </w:r>
      <w:r>
        <w:rPr>
          <w:b w:val="0"/>
        </w:rPr>
        <w:t> — </w:t>
      </w:r>
      <w:r>
        <w:t>General Division fees</w:t>
      </w:r>
    </w:p>
    <w:p>
      <w:pPr>
        <w:pStyle w:val="TOC4"/>
        <w:tabs>
          <w:tab w:val="right" w:pos="7077"/>
        </w:tabs>
        <w:rPr>
          <w:rFonts w:asciiTheme="minorHAnsi" w:eastAsiaTheme="minorEastAsia" w:hAnsiTheme="minorHAnsi" w:cstheme="minorBidi"/>
          <w:b w:val="0"/>
          <w:szCs w:val="22"/>
        </w:rPr>
      </w:pPr>
      <w:r>
        <w:t>Division 2</w:t>
      </w:r>
      <w:r>
        <w:rPr>
          <w:b w:val="0"/>
        </w:rPr>
        <w:t> — </w:t>
      </w:r>
      <w:r>
        <w:t>Court of Appeal fees</w:t>
      </w:r>
    </w:p>
    <w:p>
      <w:pPr>
        <w:pStyle w:val="TOC2"/>
        <w:tabs>
          <w:tab w:val="right" w:pos="7077"/>
        </w:tabs>
        <w:rPr>
          <w:rFonts w:asciiTheme="minorHAnsi" w:eastAsiaTheme="minorEastAsia" w:hAnsiTheme="minorHAnsi" w:cstheme="minorBidi"/>
          <w:b w:val="0"/>
          <w:sz w:val="22"/>
          <w:szCs w:val="22"/>
        </w:rPr>
      </w:pPr>
      <w:r>
        <w:t>Schedule 2 — Sheriff’s fees</w:t>
      </w:r>
    </w:p>
    <w:p>
      <w:pPr>
        <w:pStyle w:val="TOC2"/>
        <w:tabs>
          <w:tab w:val="right" w:pos="7077"/>
        </w:tabs>
        <w:rPr>
          <w:rFonts w:asciiTheme="minorHAnsi" w:eastAsiaTheme="minorEastAsia" w:hAnsiTheme="minorHAnsi" w:cstheme="minorBidi"/>
          <w:b w:val="0"/>
          <w:sz w:val="22"/>
          <w:szCs w:val="22"/>
        </w:rPr>
      </w:pPr>
      <w:r>
        <w:t>Schedule 3 — Probate fees</w:t>
      </w:r>
    </w:p>
    <w:p>
      <w:pPr>
        <w:pStyle w:val="TOC2"/>
        <w:tabs>
          <w:tab w:val="right" w:pos="7077"/>
        </w:tabs>
        <w:rPr>
          <w:rFonts w:asciiTheme="minorHAnsi" w:eastAsiaTheme="minorEastAsia" w:hAnsiTheme="minorHAnsi" w:cstheme="minorBidi"/>
          <w:b w:val="0"/>
          <w:sz w:val="22"/>
          <w:szCs w:val="22"/>
        </w:rPr>
      </w:pPr>
      <w:r>
        <w:t>Schedule 4 — Forms</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_Toc25656900 \h </w:instrText>
      </w:r>
      <w:r>
        <w:fldChar w:fldCharType="separate"/>
      </w:r>
      <w:r>
        <w:t>46</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pPr>
    </w:p>
    <w:p>
      <w:p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9 November 2019</w:t>
            </w:r>
          </w:p>
        </w:tc>
      </w:tr>
    </w:tbl>
    <w:p>
      <w:pPr>
        <w:pStyle w:val="WA"/>
        <w:spacing w:before="12"/>
      </w:pPr>
      <w:r>
        <w:t>Western Australia</w:t>
      </w:r>
    </w:p>
    <w:p>
      <w:pPr>
        <w:pStyle w:val="PrincipalActReg"/>
        <w:spacing w:before="120" w:after="720"/>
      </w:pPr>
      <w:r>
        <w:t>Supreme Court Act 1935</w:t>
      </w:r>
    </w:p>
    <w:p>
      <w:pPr>
        <w:pStyle w:val="NameofActReg"/>
        <w:spacing w:before="400" w:after="840"/>
      </w:pPr>
      <w:r>
        <w:t>Supreme Court (Fees) Regulations 2002</w:t>
      </w:r>
    </w:p>
    <w:p>
      <w:pPr>
        <w:pStyle w:val="Heading5"/>
      </w:pPr>
      <w:bookmarkStart w:id="3" w:name="_Toc19787835"/>
      <w:bookmarkStart w:id="4" w:name="_Toc25656875"/>
      <w:r>
        <w:rPr>
          <w:rStyle w:val="CharSectno"/>
        </w:rPr>
        <w:t>1</w:t>
      </w:r>
      <w:r>
        <w:t>.</w:t>
      </w:r>
      <w:r>
        <w:tab/>
        <w:t>Citation</w:t>
      </w:r>
      <w:bookmarkEnd w:id="3"/>
      <w:bookmarkEnd w:id="4"/>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5" w:name="_Toc19787836"/>
      <w:bookmarkStart w:id="6" w:name="_Toc25656876"/>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These regulations come into operation on 1 January 2002</w:t>
      </w:r>
      <w:r>
        <w:t>.</w:t>
      </w:r>
    </w:p>
    <w:p>
      <w:pPr>
        <w:pStyle w:val="Heading5"/>
      </w:pPr>
      <w:bookmarkStart w:id="7" w:name="_Toc19787837"/>
      <w:bookmarkStart w:id="8" w:name="_Toc25656877"/>
      <w:r>
        <w:rPr>
          <w:rStyle w:val="CharSectno"/>
        </w:rPr>
        <w:t>3</w:t>
      </w:r>
      <w:r>
        <w:t>.</w:t>
      </w:r>
      <w:r>
        <w:tab/>
        <w:t>Terms used</w:t>
      </w:r>
      <w:bookmarkEnd w:id="7"/>
      <w:bookmarkEnd w:id="8"/>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tab/>
      </w:r>
      <w:r>
        <w:rPr>
          <w:rStyle w:val="CharDefText"/>
        </w:rPr>
        <w:t>eligible entity</w:t>
      </w:r>
      <w:r>
        <w:t xml:space="preserve"> means an entity referred to in regulation 7(3);</w:t>
      </w:r>
    </w:p>
    <w:p>
      <w:pPr>
        <w:pStyle w:val="Defstart"/>
      </w:pPr>
      <w:r>
        <w:tab/>
      </w:r>
      <w:r>
        <w:rPr>
          <w:rStyle w:val="CharDefText"/>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7(2);</w:t>
      </w:r>
    </w:p>
    <w:p>
      <w:pPr>
        <w:pStyle w:val="Defstart"/>
      </w:pPr>
      <w:r>
        <w:tab/>
      </w:r>
      <w:r>
        <w:rPr>
          <w:rStyle w:val="CharDefText"/>
        </w:rPr>
        <w:t>eligible individual fee</w:t>
      </w:r>
      <w:r>
        <w:t>, in relation to a matter specified in an item in Schedule 1, means the fee, if any,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rStyle w:val="CharDefText"/>
        </w:rPr>
        <w:t>person</w:t>
      </w:r>
      <w:r>
        <w:t xml:space="preserve"> means an individual or an entity;</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rPr>
          <w:iCs/>
        </w:rPr>
      </w:pPr>
      <w:r>
        <w:rPr>
          <w:iCs/>
        </w:rPr>
        <w:tab/>
        <w:t>[(a)</w:t>
      </w:r>
      <w:r>
        <w:rPr>
          <w:iCs/>
        </w:rPr>
        <w:tab/>
        <w:t>deleted]</w:t>
      </w:r>
    </w:p>
    <w:p>
      <w:pPr>
        <w:pStyle w:val="Defpara"/>
        <w:rPr>
          <w:iCs/>
        </w:rPr>
      </w:pPr>
      <w:r>
        <w:tab/>
        <w:t>(b)</w:t>
      </w:r>
      <w:r>
        <w:tab/>
        <w:t>a business undertaking that is wholly owned and operated by an individual or individuals in partnership and has less than 20 full</w:t>
      </w:r>
      <w:r>
        <w:noBreakHyphen/>
        <w:t>time equivalent employees or partners; or</w:t>
      </w:r>
    </w:p>
    <w:p>
      <w:pPr>
        <w:pStyle w:val="Defpara"/>
      </w:pPr>
      <w:r>
        <w:tab/>
        <w:t>(c)</w:t>
      </w:r>
      <w:r>
        <w:tab/>
        <w:t>a corporation that has less than 20 full-time equivalent employees and that is not a subsidiary of a corporation that has 20 or more full-time equivalent employees; or</w:t>
      </w:r>
    </w:p>
    <w:p>
      <w:pPr>
        <w:pStyle w:val="Indenta"/>
      </w:pPr>
      <w:r>
        <w:tab/>
        <w:t>(d)</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 or</w:t>
      </w:r>
    </w:p>
    <w:p>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Gazette 30 Dec 2003 p. 5693; 23 Jun 2006 p. 2184; 14 Jun 2016 p. 1952</w:t>
      </w:r>
      <w:r>
        <w:noBreakHyphen/>
        <w:t>3.]</w:t>
      </w:r>
    </w:p>
    <w:p>
      <w:pPr>
        <w:pStyle w:val="Heading5"/>
        <w:spacing w:before="180"/>
        <w:rPr>
          <w:snapToGrid w:val="0"/>
        </w:rPr>
      </w:pPr>
      <w:bookmarkStart w:id="9" w:name="_Toc19787838"/>
      <w:bookmarkStart w:id="10" w:name="_Toc25656878"/>
      <w:r>
        <w:rPr>
          <w:rStyle w:val="CharSectno"/>
        </w:rPr>
        <w:t>4</w:t>
      </w:r>
      <w:r>
        <w:t>.</w:t>
      </w:r>
      <w:r>
        <w:tab/>
        <w:t>General fees</w:t>
      </w:r>
      <w:bookmarkEnd w:id="9"/>
      <w:bookmarkEnd w:id="10"/>
    </w:p>
    <w:p>
      <w:pPr>
        <w:pStyle w:val="Subsection"/>
        <w:spacing w:before="120"/>
        <w:rPr>
          <w:snapToGrid w:val="0"/>
        </w:rPr>
      </w:pPr>
      <w:r>
        <w:rPr>
          <w:snapToGrid w:val="0"/>
        </w:rPr>
        <w:tab/>
        <w:t>(1)</w:t>
      </w:r>
      <w:r>
        <w:rPr>
          <w:snapToGrid w:val="0"/>
        </w:rPr>
        <w:tab/>
        <w:t>Subject to the provisions of these regulations, the fees specified in Schedules 1, 2, and 3 are to be charged in respect of the matters referred to in section 171(1) of the Act in relation to which they are specified.</w:t>
      </w:r>
    </w:p>
    <w:p>
      <w:pPr>
        <w:pStyle w:val="Subsection"/>
      </w:pPr>
      <w:r>
        <w:tab/>
        <w:t>(2)</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for that item; or</w:t>
      </w:r>
    </w:p>
    <w:p>
      <w:pPr>
        <w:pStyle w:val="Indenta"/>
        <w:rPr>
          <w:snapToGrid w:val="0"/>
        </w:rPr>
      </w:pPr>
      <w:r>
        <w:tab/>
        <w:t>(d)</w:t>
      </w:r>
      <w:r>
        <w:tab/>
        <w:t>the fee payable by an eligible entity is the eligible entity fee for that item.</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Footnotesection"/>
      </w:pPr>
      <w:r>
        <w:tab/>
        <w:t>[Regulation 4 amended: Gazette 30 Dec 2003 p. 5693-4; 28 Apr 2005 p. 1758; 4 Sep 2009 p. 3461; 14 Jun 2016 p. 1953.]</w:t>
      </w:r>
    </w:p>
    <w:p>
      <w:pPr>
        <w:pStyle w:val="Heading5"/>
      </w:pPr>
      <w:bookmarkStart w:id="11" w:name="_Toc19787839"/>
      <w:bookmarkStart w:id="12" w:name="_Toc25656879"/>
      <w:r>
        <w:rPr>
          <w:rStyle w:val="CharSectno"/>
        </w:rPr>
        <w:t>4A</w:t>
      </w:r>
      <w:r>
        <w:t>.</w:t>
      </w:r>
      <w:r>
        <w:tab/>
        <w:t>Fees for small businesses and non</w:t>
      </w:r>
      <w:r>
        <w:noBreakHyphen/>
        <w:t>profit associations</w:t>
      </w:r>
      <w:bookmarkEnd w:id="11"/>
      <w:bookmarkEnd w:id="12"/>
    </w:p>
    <w:p>
      <w:pPr>
        <w:pStyle w:val="Subsection"/>
      </w:pPr>
      <w:r>
        <w:tab/>
        <w:t>(1)</w:t>
      </w:r>
      <w:r>
        <w:tab/>
        <w:t>An entity that is a small business or a non</w:t>
      </w:r>
      <w:r>
        <w:noBreakHyphen/>
        <w:t>profit association may lodge a declaration in the form of Schedule 4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amount of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4A inserted: Gazette 14 Jun 2016 p. 1954</w:t>
      </w:r>
      <w:r>
        <w:noBreakHyphen/>
        <w:t>5.]</w:t>
      </w:r>
    </w:p>
    <w:p>
      <w:pPr>
        <w:pStyle w:val="Heading5"/>
        <w:rPr>
          <w:snapToGrid w:val="0"/>
        </w:rPr>
      </w:pPr>
      <w:bookmarkStart w:id="13" w:name="_Toc19787840"/>
      <w:bookmarkStart w:id="14" w:name="_Toc25656880"/>
      <w:r>
        <w:rPr>
          <w:rStyle w:val="CharSectno"/>
        </w:rPr>
        <w:t>5</w:t>
      </w:r>
      <w:r>
        <w:t>.</w:t>
      </w:r>
      <w:r>
        <w:tab/>
      </w:r>
      <w:r>
        <w:rPr>
          <w:snapToGrid w:val="0"/>
        </w:rPr>
        <w:t>Exemptions</w:t>
      </w:r>
      <w:bookmarkEnd w:id="13"/>
      <w:bookmarkEnd w:id="14"/>
      <w:r>
        <w:rPr>
          <w:snapToGrid w:val="0"/>
        </w:rPr>
        <w:t xml:space="preserve"> </w:t>
      </w:r>
    </w:p>
    <w:p>
      <w:pPr>
        <w:pStyle w:val="Subsection"/>
      </w:pPr>
      <w:r>
        <w:tab/>
        <w:t>(1)</w:t>
      </w:r>
      <w:r>
        <w:tab/>
        <w:t xml:space="preserve">In this regulation — </w:t>
      </w:r>
    </w:p>
    <w:p>
      <w:pPr>
        <w:pStyle w:val="Defstart"/>
      </w:pPr>
      <w:r>
        <w:tab/>
      </w:r>
      <w:r>
        <w:rPr>
          <w:rStyle w:val="CharDefText"/>
        </w:rPr>
        <w:t>bilateral convention</w:t>
      </w:r>
      <w:r>
        <w:t xml:space="preserve"> means a convention — </w:t>
      </w:r>
    </w:p>
    <w:p>
      <w:pPr>
        <w:pStyle w:val="Defpara"/>
      </w:pPr>
      <w:r>
        <w:tab/>
        <w:t>(a)</w:t>
      </w:r>
      <w:r>
        <w:tab/>
        <w:t>entered into between Australia and another country; or</w:t>
      </w:r>
    </w:p>
    <w:p>
      <w:pPr>
        <w:pStyle w:val="Defpara"/>
      </w:pPr>
      <w:r>
        <w:tab/>
        <w:t>(b)</w:t>
      </w:r>
      <w:r>
        <w:tab/>
        <w:t>entered into between the United Kingdom and another country that is extended by way of notification to Australia;</w:t>
      </w:r>
    </w:p>
    <w:p>
      <w:pPr>
        <w:pStyle w:val="Defstart"/>
      </w:pPr>
      <w:r>
        <w:tab/>
      </w:r>
      <w:r>
        <w:rPr>
          <w:rStyle w:val="CharDefText"/>
        </w:rPr>
        <w:t>evidence convention</w:t>
      </w:r>
      <w:r>
        <w:t xml:space="preserve"> means the following conventions — </w:t>
      </w:r>
    </w:p>
    <w:p>
      <w:pPr>
        <w:pStyle w:val="Defpara"/>
      </w:pPr>
      <w:r>
        <w:tab/>
        <w:t>(a)</w:t>
      </w:r>
      <w:r>
        <w:tab/>
        <w:t>the Hague Convention on the Taking of Evidence Abroad in Civil and Commercial Matters;</w:t>
      </w:r>
    </w:p>
    <w:p>
      <w:pPr>
        <w:pStyle w:val="Defpara"/>
      </w:pPr>
      <w:r>
        <w:tab/>
        <w:t>(b)</w:t>
      </w:r>
      <w:r>
        <w:tab/>
        <w:t>a bilateral convention that provides for evidence to be obtained in Australia on a request issued by a court or tribunal in a country that is a party to the convention.</w:t>
      </w:r>
    </w:p>
    <w:p>
      <w:pPr>
        <w:pStyle w:val="Subsection"/>
        <w:rPr>
          <w:snapToGrid w:val="0"/>
        </w:rPr>
      </w:pPr>
      <w:r>
        <w:tab/>
        <w:t>(2)</w:t>
      </w:r>
      <w:r>
        <w:tab/>
        <w:t>The</w:t>
      </w:r>
      <w:r>
        <w:rPr>
          <w:snapToGrid w:val="0"/>
        </w:rPr>
        <w:t xml:space="preserv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pPr>
        <w:pStyle w:val="Indenta"/>
        <w:rPr>
          <w:snapToGrid w:val="0"/>
        </w:rPr>
      </w:pPr>
      <w:r>
        <w:tab/>
        <w:t>(h)</w:t>
      </w:r>
      <w:r>
        <w:tab/>
        <w:t xml:space="preserve">proceedings under the </w:t>
      </w:r>
      <w:r>
        <w:rPr>
          <w:i/>
        </w:rPr>
        <w:t>Civil Judgments Enforcement Act 2004</w:t>
      </w:r>
      <w:r>
        <w:t>; or</w:t>
      </w:r>
    </w:p>
    <w:p>
      <w:pPr>
        <w:pStyle w:val="Indenta"/>
      </w:pPr>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Subsection"/>
      </w:pPr>
      <w:r>
        <w:tab/>
        <w:t>(3)</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 xml:space="preserve">the matter is an application under the </w:t>
      </w:r>
      <w:r>
        <w:rPr>
          <w:i/>
        </w:rPr>
        <w:t>Evidence Act 1906</w:t>
      </w:r>
      <w:r>
        <w:t xml:space="preserve"> section 116 in respect of a request issued by or on behalf of a court or tribunal exercising jurisdiction in a country that is a party to an evidence convention if the evidence convention provides that the request is to be executed without a fee being charged; or</w:t>
      </w:r>
    </w:p>
    <w:p>
      <w:pPr>
        <w:pStyle w:val="Indenta"/>
      </w:pPr>
      <w:r>
        <w:tab/>
        <w:t>(c)</w:t>
      </w:r>
      <w:r>
        <w:tab/>
        <w:t>the person has not reached 18 years of age on the day the fee would otherwise be payable.</w:t>
      </w:r>
    </w:p>
    <w:p>
      <w:pPr>
        <w:pStyle w:val="Footnotesection"/>
      </w:pPr>
      <w:r>
        <w:tab/>
        <w:t>[Regulation 5 amended: Gazette 28 Apr 2005 p. 1758; 23 Jun 2005 p. 2693; 27 Jun 2008 p. 3060; 4 Sep 2009 p. 3461; 27 Mar 2012 p. 1508; 14 Jun 2016 p. 1955</w:t>
      </w:r>
      <w:r>
        <w:noBreakHyphen/>
        <w:t>6.]</w:t>
      </w:r>
    </w:p>
    <w:p>
      <w:pPr>
        <w:pStyle w:val="Heading5"/>
      </w:pPr>
      <w:bookmarkStart w:id="15" w:name="_Toc19787841"/>
      <w:bookmarkStart w:id="16" w:name="_Toc25656881"/>
      <w:r>
        <w:rPr>
          <w:rStyle w:val="CharSectno"/>
        </w:rPr>
        <w:t>5A</w:t>
      </w:r>
      <w:r>
        <w:t>.</w:t>
      </w:r>
      <w:r>
        <w:tab/>
        <w:t>Disputes regarding fees</w:t>
      </w:r>
      <w:bookmarkEnd w:id="15"/>
      <w:bookmarkEnd w:id="16"/>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Gazette 28 Apr 2005 p. 1759.]</w:t>
      </w:r>
    </w:p>
    <w:p>
      <w:pPr>
        <w:pStyle w:val="Heading5"/>
        <w:rPr>
          <w:snapToGrid w:val="0"/>
        </w:rPr>
      </w:pPr>
      <w:bookmarkStart w:id="17" w:name="_Toc19787842"/>
      <w:bookmarkStart w:id="18" w:name="_Toc25656882"/>
      <w:r>
        <w:rPr>
          <w:rStyle w:val="CharSectno"/>
        </w:rPr>
        <w:t>6</w:t>
      </w:r>
      <w:r>
        <w:t>.</w:t>
      </w:r>
      <w:r>
        <w:tab/>
      </w:r>
      <w:r>
        <w:rPr>
          <w:snapToGrid w:val="0"/>
        </w:rPr>
        <w:t>Fees to be paid before documents filed or other things done</w:t>
      </w:r>
      <w:bookmarkEnd w:id="17"/>
      <w:bookmarkEnd w:id="18"/>
      <w:r>
        <w:rPr>
          <w:snapToGrid w:val="0"/>
        </w:rPr>
        <w:t xml:space="preserve"> </w:t>
      </w:r>
    </w:p>
    <w:p>
      <w:pPr>
        <w:pStyle w:val="Subsection"/>
        <w:rPr>
          <w:snapToGrid w:val="0"/>
        </w:rPr>
      </w:pPr>
      <w:r>
        <w:tab/>
        <w:t>(1)</w:t>
      </w:r>
      <w:r>
        <w:tab/>
        <w:t>Subject</w:t>
      </w:r>
      <w:r>
        <w:rPr>
          <w:snapToGrid w:val="0"/>
        </w:rPr>
        <w:t xml:space="preserve">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Subsection"/>
      </w:pPr>
      <w:r>
        <w:tab/>
        <w:t>(2)</w:t>
      </w:r>
      <w:r>
        <w:tab/>
        <w:t xml:space="preserve">The Court or a registrar may direct that the payment of the whole or a part or a fee or fees in respect of a claim for personal injuries be deferred — </w:t>
      </w:r>
    </w:p>
    <w:p>
      <w:pPr>
        <w:pStyle w:val="Indenta"/>
      </w:pPr>
      <w:r>
        <w:tab/>
        <w:t>(a)</w:t>
      </w:r>
      <w:r>
        <w:tab/>
        <w:t>to a time specified by the Court or registrar; and</w:t>
      </w:r>
    </w:p>
    <w:p>
      <w:pPr>
        <w:pStyle w:val="Indenta"/>
      </w:pPr>
      <w:r>
        <w:tab/>
        <w:t>(b)</w:t>
      </w:r>
      <w:r>
        <w:tab/>
        <w:t>on any conditions specified by the Court or registrar.</w:t>
      </w:r>
    </w:p>
    <w:p>
      <w:pPr>
        <w:pStyle w:val="Footnotesection"/>
      </w:pPr>
      <w:r>
        <w:tab/>
        <w:t>[Regulation 6 amended: Gazette 14 Jun 2016 p. 1956.]</w:t>
      </w:r>
    </w:p>
    <w:p>
      <w:pPr>
        <w:pStyle w:val="Heading5"/>
      </w:pPr>
      <w:bookmarkStart w:id="19" w:name="_Toc19787843"/>
      <w:bookmarkStart w:id="20" w:name="_Toc25656883"/>
      <w:r>
        <w:rPr>
          <w:rStyle w:val="CharSectno"/>
        </w:rPr>
        <w:t>7</w:t>
      </w:r>
      <w:r>
        <w:t>.</w:t>
      </w:r>
      <w:r>
        <w:tab/>
        <w:t>Who is an eligible individual or eligible entity</w:t>
      </w:r>
      <w:bookmarkEnd w:id="19"/>
      <w:bookmarkEnd w:id="20"/>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8A(1).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8A(2).</w:t>
      </w:r>
    </w:p>
    <w:p>
      <w:pPr>
        <w:pStyle w:val="Footnotesection"/>
      </w:pPr>
      <w:r>
        <w:tab/>
        <w:t>[Regulation 7 inserted: Gazette 14 Jun 2016 p. 1957</w:t>
      </w:r>
      <w:r>
        <w:noBreakHyphen/>
        <w:t>8; amended: Gazette 20 Jul 2018 p. 2629.]</w:t>
      </w:r>
    </w:p>
    <w:p>
      <w:pPr>
        <w:pStyle w:val="Heading5"/>
      </w:pPr>
      <w:bookmarkStart w:id="21" w:name="_Toc19787844"/>
      <w:bookmarkStart w:id="22" w:name="_Toc25656884"/>
      <w:r>
        <w:rPr>
          <w:rStyle w:val="CharSectno"/>
        </w:rPr>
        <w:t>8</w:t>
      </w:r>
      <w:r>
        <w:t>.</w:t>
      </w:r>
      <w:r>
        <w:tab/>
        <w:t>Application to be recognised as eligible individual or eligible entity</w:t>
      </w:r>
      <w:bookmarkEnd w:id="21"/>
      <w:bookmarkEnd w:id="22"/>
    </w:p>
    <w:p>
      <w:pPr>
        <w:pStyle w:val="Subsection"/>
      </w:pPr>
      <w:r>
        <w:tab/>
        <w:t>(1)</w:t>
      </w:r>
      <w:r>
        <w:tab/>
        <w:t xml:space="preserve">A person may apply for — </w:t>
      </w:r>
    </w:p>
    <w:p>
      <w:pPr>
        <w:pStyle w:val="Indenta"/>
      </w:pPr>
      <w:r>
        <w:tab/>
        <w:t>(a)</w:t>
      </w:r>
      <w:r>
        <w:tab/>
        <w:t>a direction under regulation 8A(1) that, in respect of a matter specified in Schedule 1, the person is an eligible individual described in regulation 7(2)(f); or</w:t>
      </w:r>
    </w:p>
    <w:p>
      <w:pPr>
        <w:pStyle w:val="Indenta"/>
      </w:pPr>
      <w:r>
        <w:tab/>
        <w:t>(b)</w:t>
      </w:r>
      <w:r>
        <w:tab/>
        <w:t>a direction under regulation 8A(2) that, in respect of a matter specified in Schedule 1, the person is an eligible entity described in regulation 7(3)(b).</w:t>
      </w:r>
    </w:p>
    <w:p>
      <w:pPr>
        <w:pStyle w:val="Subsection"/>
      </w:pPr>
      <w:r>
        <w:tab/>
        <w:t>(2)</w:t>
      </w:r>
      <w:r>
        <w:tab/>
        <w:t xml:space="preserve">An application is to be in the form of Schedule 4 Form 2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8 inserted: Gazette 14 Jun 2016 p. 1958</w:t>
      </w:r>
      <w:r>
        <w:noBreakHyphen/>
        <w:t>9; amended: Gazette 20 Jul 2018 p. 2629.]</w:t>
      </w:r>
    </w:p>
    <w:p>
      <w:pPr>
        <w:pStyle w:val="Heading5"/>
      </w:pPr>
      <w:bookmarkStart w:id="23" w:name="_Toc19787845"/>
      <w:bookmarkStart w:id="24" w:name="_Toc25656885"/>
      <w:r>
        <w:rPr>
          <w:rStyle w:val="CharSectno"/>
        </w:rPr>
        <w:t>8A</w:t>
      </w:r>
      <w:r>
        <w:t>.</w:t>
      </w:r>
      <w:r>
        <w:tab/>
        <w:t>Recognition as eligible individual or eligible entity</w:t>
      </w:r>
      <w:bookmarkEnd w:id="23"/>
      <w:bookmarkEnd w:id="24"/>
    </w:p>
    <w:p>
      <w:pPr>
        <w:pStyle w:val="Subsection"/>
      </w:pPr>
      <w:r>
        <w:tab/>
        <w:t>(1)</w:t>
      </w:r>
      <w:r>
        <w:tab/>
        <w:t xml:space="preserve">On an application under regulation 8(1)(a) the Court or a registrar may direct that a person is an eligible individual described in regulation 7(2)(f)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8(1)(b) the Court or a registrar may direct that a person is an eligible entity described in regulation 7(3)(b)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A judge or a registrar may, before an application is determined, direct the applicant to provide to the judge,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pPr>
      <w:r>
        <w:tab/>
        <w:t>[Regulation 8A inserted: Gazette 14 Jun 2016 p. 1959</w:t>
      </w:r>
      <w:r>
        <w:noBreakHyphen/>
        <w:t>60; amended: Gazette 20 Jul 2018 p. 2630.]</w:t>
      </w:r>
    </w:p>
    <w:p>
      <w:pPr>
        <w:pStyle w:val="Heading5"/>
      </w:pPr>
      <w:bookmarkStart w:id="25" w:name="_Toc19787846"/>
      <w:bookmarkStart w:id="26" w:name="_Toc25656886"/>
      <w:r>
        <w:rPr>
          <w:rStyle w:val="CharSectno"/>
        </w:rPr>
        <w:t>8B</w:t>
      </w:r>
      <w:r>
        <w:t>.</w:t>
      </w:r>
      <w:r>
        <w:tab/>
        <w:t>False or misleading statements</w:t>
      </w:r>
      <w:bookmarkEnd w:id="25"/>
      <w:bookmarkEnd w:id="26"/>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4A(1)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8A(1)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by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pPr>
      <w:r>
        <w:tab/>
        <w:t>[Regulation 8B inserted: Gazette 14 Jun 2016 p. 1960</w:t>
      </w:r>
      <w:r>
        <w:noBreakHyphen/>
        <w:t>1.]</w:t>
      </w:r>
    </w:p>
    <w:p>
      <w:pPr>
        <w:pStyle w:val="Heading5"/>
      </w:pPr>
      <w:bookmarkStart w:id="27" w:name="_Toc19787847"/>
      <w:bookmarkStart w:id="28" w:name="_Toc25656887"/>
      <w:r>
        <w:rPr>
          <w:rStyle w:val="CharSectno"/>
        </w:rPr>
        <w:t>8C</w:t>
      </w:r>
      <w:r>
        <w:t>.</w:t>
      </w:r>
      <w:r>
        <w:tab/>
        <w:t>Refunds</w:t>
      </w:r>
      <w:bookmarkEnd w:id="27"/>
      <w:bookmarkEnd w:id="28"/>
    </w:p>
    <w:p>
      <w:pPr>
        <w:pStyle w:val="Subsection"/>
      </w:pPr>
      <w:r>
        <w:tab/>
        <w:t>(1)</w:t>
      </w:r>
      <w:r>
        <w:tab/>
        <w:t>A judicial officer or legally qualified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Principal Registrar may refund to a person the amount of a fee, or part of a fee, paid by the person if the amount was paid in error.</w:t>
      </w:r>
    </w:p>
    <w:p>
      <w:pPr>
        <w:pStyle w:val="Footnotesection"/>
      </w:pPr>
      <w:r>
        <w:tab/>
        <w:t>[Regulation 8C inserted: Gazette 14 Jun 2016 p. 1961.]</w:t>
      </w:r>
    </w:p>
    <w:p>
      <w:pPr>
        <w:pStyle w:val="Heading5"/>
      </w:pPr>
      <w:bookmarkStart w:id="29" w:name="_Toc19787848"/>
      <w:bookmarkStart w:id="30" w:name="_Toc25656888"/>
      <w:r>
        <w:rPr>
          <w:rStyle w:val="CharSectno"/>
        </w:rPr>
        <w:t>8D</w:t>
      </w:r>
      <w:r>
        <w:t>.</w:t>
      </w:r>
      <w:r>
        <w:tab/>
        <w:t>Waiving fee for copy of document or transcript</w:t>
      </w:r>
      <w:bookmarkEnd w:id="29"/>
      <w:bookmarkEnd w:id="30"/>
      <w:r>
        <w:t xml:space="preserve"> </w:t>
      </w:r>
    </w:p>
    <w:p>
      <w:pPr>
        <w:pStyle w:val="Subsection"/>
      </w:pPr>
      <w:r>
        <w:tab/>
      </w:r>
      <w:r>
        <w:tab/>
        <w:t>The Court or a registrar may waive a fee referred to in a provision listed in the Table if the Court or registrar is satisfied that the waiving of the fee would assist in the efficient operation of the Court.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536"/>
      </w:tblGrid>
      <w:tr>
        <w:trPr>
          <w:tblHeader/>
        </w:trPr>
        <w:tc>
          <w:tcPr>
            <w:tcW w:w="992" w:type="dxa"/>
          </w:tcPr>
          <w:p>
            <w:pPr>
              <w:pStyle w:val="TableNAm"/>
              <w:jc w:val="center"/>
            </w:pPr>
            <w:r>
              <w:rPr>
                <w:b/>
                <w:bCs/>
              </w:rPr>
              <w:t>Item</w:t>
            </w:r>
          </w:p>
        </w:tc>
        <w:tc>
          <w:tcPr>
            <w:tcW w:w="4536" w:type="dxa"/>
          </w:tcPr>
          <w:p>
            <w:pPr>
              <w:pStyle w:val="TableNAm"/>
              <w:jc w:val="center"/>
            </w:pPr>
            <w:r>
              <w:rPr>
                <w:b/>
                <w:bCs/>
              </w:rPr>
              <w:t>Provision</w:t>
            </w:r>
          </w:p>
        </w:tc>
      </w:tr>
      <w:tr>
        <w:tc>
          <w:tcPr>
            <w:tcW w:w="992" w:type="dxa"/>
          </w:tcPr>
          <w:p>
            <w:pPr>
              <w:pStyle w:val="TableNAm"/>
            </w:pPr>
            <w:r>
              <w:t>1.</w:t>
            </w:r>
          </w:p>
        </w:tc>
        <w:tc>
          <w:tcPr>
            <w:tcW w:w="4536" w:type="dxa"/>
          </w:tcPr>
          <w:p>
            <w:pPr>
              <w:pStyle w:val="TableNAm"/>
            </w:pPr>
            <w:r>
              <w:t>Schedule 1 Division 1 item 12(a)</w:t>
            </w:r>
          </w:p>
        </w:tc>
      </w:tr>
      <w:tr>
        <w:tc>
          <w:tcPr>
            <w:tcW w:w="992" w:type="dxa"/>
          </w:tcPr>
          <w:p>
            <w:pPr>
              <w:pStyle w:val="TableNAm"/>
            </w:pPr>
            <w:r>
              <w:t>2.</w:t>
            </w:r>
          </w:p>
        </w:tc>
        <w:tc>
          <w:tcPr>
            <w:tcW w:w="4536" w:type="dxa"/>
          </w:tcPr>
          <w:p>
            <w:pPr>
              <w:pStyle w:val="TableNAm"/>
            </w:pPr>
            <w:r>
              <w:t>Schedule 1 Division 1 item 13</w:t>
            </w:r>
          </w:p>
        </w:tc>
      </w:tr>
      <w:tr>
        <w:tc>
          <w:tcPr>
            <w:tcW w:w="992" w:type="dxa"/>
          </w:tcPr>
          <w:p>
            <w:pPr>
              <w:pStyle w:val="TableNAm"/>
            </w:pPr>
            <w:r>
              <w:t>3.</w:t>
            </w:r>
          </w:p>
        </w:tc>
        <w:tc>
          <w:tcPr>
            <w:tcW w:w="4536" w:type="dxa"/>
          </w:tcPr>
          <w:p>
            <w:pPr>
              <w:pStyle w:val="TableNAm"/>
            </w:pPr>
            <w:r>
              <w:t>Schedule 1 Division 2 item 9(a)</w:t>
            </w:r>
          </w:p>
        </w:tc>
      </w:tr>
      <w:tr>
        <w:tc>
          <w:tcPr>
            <w:tcW w:w="992" w:type="dxa"/>
          </w:tcPr>
          <w:p>
            <w:pPr>
              <w:pStyle w:val="TableNAm"/>
            </w:pPr>
            <w:r>
              <w:t>4.</w:t>
            </w:r>
          </w:p>
        </w:tc>
        <w:tc>
          <w:tcPr>
            <w:tcW w:w="4536" w:type="dxa"/>
          </w:tcPr>
          <w:p>
            <w:pPr>
              <w:pStyle w:val="TableNAm"/>
            </w:pPr>
            <w:r>
              <w:t>Schedule 1 Division 2 item 10</w:t>
            </w:r>
          </w:p>
        </w:tc>
      </w:tr>
    </w:tbl>
    <w:p>
      <w:pPr>
        <w:pStyle w:val="Footnotesection"/>
      </w:pPr>
      <w:r>
        <w:tab/>
        <w:t>[Regulation 8D inserted: Gazette 14 Jun 2016 p. 1961</w:t>
      </w:r>
      <w:r>
        <w:noBreakHyphen/>
        <w:t>2.]</w:t>
      </w:r>
    </w:p>
    <w:p>
      <w:pPr>
        <w:pStyle w:val="Heading5"/>
      </w:pPr>
      <w:bookmarkStart w:id="31" w:name="_Toc19787849"/>
      <w:bookmarkStart w:id="32" w:name="_Toc25656889"/>
      <w:r>
        <w:rPr>
          <w:rStyle w:val="CharSectno"/>
        </w:rPr>
        <w:t>9</w:t>
      </w:r>
      <w:r>
        <w:t>.</w:t>
      </w:r>
      <w:r>
        <w:tab/>
        <w:t>Allocation of hearing date — Schedule 1 Division 1 item 5</w:t>
      </w:r>
      <w:bookmarkEnd w:id="31"/>
      <w:bookmarkEnd w:id="32"/>
    </w:p>
    <w:p>
      <w:pPr>
        <w:pStyle w:val="Subsection"/>
      </w:pPr>
      <w:r>
        <w:tab/>
        <w:t>(1)</w:t>
      </w:r>
      <w:r>
        <w:tab/>
        <w:t xml:space="preserve">In this regulation — </w:t>
      </w:r>
    </w:p>
    <w:p>
      <w:pPr>
        <w:pStyle w:val="Defstart"/>
      </w:pPr>
      <w:r>
        <w:tab/>
      </w:r>
      <w:r>
        <w:rPr>
          <w:rStyle w:val="CharDefText"/>
        </w:rPr>
        <w:t>entry fee</w:t>
      </w:r>
      <w:r>
        <w:t xml:space="preserve"> means the fee referred to in Schedule 1 Division 1 item 4;</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If a fee is payable for each day allocated, the number of days for which the fee is payable is — </w:t>
      </w:r>
    </w:p>
    <w:p>
      <w:pPr>
        <w:pStyle w:val="Indenta"/>
      </w:pPr>
      <w:r>
        <w:tab/>
        <w:t>(a)</w:t>
      </w:r>
      <w:r>
        <w:tab/>
        <w:t xml:space="preserve">the number of days estimated for the hearing in the entry for trial and notice of trial referred to in the Rules Order 33 rule 4;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 must be paid when the entry fee is paid — </w:t>
      </w:r>
    </w:p>
    <w:p>
      <w:pPr>
        <w:pStyle w:val="Indenta"/>
      </w:pPr>
      <w:r>
        <w:tab/>
        <w:t>(a)</w:t>
      </w:r>
      <w:r>
        <w:tab/>
        <w:t>for an eligible individual — the eligible individual fee;</w:t>
      </w:r>
    </w:p>
    <w:p>
      <w:pPr>
        <w:pStyle w:val="Indenta"/>
      </w:pPr>
      <w:r>
        <w:tab/>
        <w:t>(b)</w:t>
      </w:r>
      <w:r>
        <w:tab/>
        <w:t>otherwise — a fee calculated on the basis of the number of days estimated for the hearing in the entry for trial and notice of trial referred to in the Rules Order 33 rule 4.</w:t>
      </w:r>
    </w:p>
    <w:p>
      <w:pPr>
        <w:pStyle w:val="Subsection"/>
      </w:pPr>
      <w:r>
        <w:tab/>
        <w:t>(6)</w:t>
      </w:r>
      <w:r>
        <w:tab/>
        <w:t>The fee for any additional days allocated for a hearing at a directions hearing is to be paid within the period of 7 days starting on the day after the directions hearing.</w:t>
      </w:r>
    </w:p>
    <w:p>
      <w:pPr>
        <w:pStyle w:val="Subsection"/>
      </w:pPr>
      <w:r>
        <w:tab/>
        <w:t>(7)</w:t>
      </w:r>
      <w:r>
        <w:tab/>
        <w:t>The fee paid is not refundable except as provided in subregulations (8), (9) and (10).</w:t>
      </w:r>
    </w:p>
    <w:p>
      <w:pPr>
        <w:pStyle w:val="Subsection"/>
        <w:keepNext/>
      </w:pPr>
      <w:r>
        <w:tab/>
        <w:t>(8)</w:t>
      </w:r>
      <w:r>
        <w:tab/>
        <w:t xml:space="preserve">If the cause or matter is settled and the Court receives written notice of the settlement the following percentage of the fee paid is to be refunded — </w:t>
      </w:r>
    </w:p>
    <w:p>
      <w:pPr>
        <w:pStyle w:val="Indenta"/>
        <w:keepNext/>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 Gazette 28 Apr 2005 p. 1760-1; amended: Gazette 23 Jun 2005 p. 2693; 4 Sep 2009 p. 3461</w:t>
      </w:r>
      <w:r>
        <w:noBreakHyphen/>
        <w:t>2; 14 Jun 2016 p. 1962; 19 Sep 2017 p. 4886.]</w:t>
      </w:r>
    </w:p>
    <w:p>
      <w:pPr>
        <w:pStyle w:val="Heading5"/>
      </w:pPr>
      <w:bookmarkStart w:id="33" w:name="_Toc19787850"/>
      <w:bookmarkStart w:id="34" w:name="_Toc25656890"/>
      <w:r>
        <w:rPr>
          <w:rStyle w:val="CharSectno"/>
        </w:rPr>
        <w:t>9A</w:t>
      </w:r>
      <w:r>
        <w:t>.</w:t>
      </w:r>
      <w:r>
        <w:tab/>
        <w:t>Court of Appeal allocation of hearing date — Schedule 1 Division 2 item 6</w:t>
      </w:r>
      <w:bookmarkEnd w:id="33"/>
      <w:bookmarkEnd w:id="34"/>
      <w:r>
        <w:t xml:space="preserve"> </w:t>
      </w:r>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2 item 6.</w:t>
      </w:r>
    </w:p>
    <w:p>
      <w:pPr>
        <w:pStyle w:val="Subsection"/>
      </w:pPr>
      <w:r>
        <w:tab/>
        <w:t>(2)</w:t>
      </w:r>
      <w:r>
        <w:tab/>
        <w:t>The fee is not payable in relation to an application for an interim order or to amend or cancel an interim order.</w:t>
      </w:r>
    </w:p>
    <w:p>
      <w:pPr>
        <w:pStyle w:val="Subsection"/>
      </w:pPr>
      <w:r>
        <w:tab/>
        <w:t>(3)</w:t>
      </w:r>
      <w:r>
        <w:tab/>
        <w:t xml:space="preserve">If a fee is payable for each day allocated, 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fees must be paid within 7 days of the </w:t>
      </w:r>
      <w:r>
        <w:rPr>
          <w:i/>
        </w:rPr>
        <w:t>Supreme Court (Court of Appeal) Rules 2005</w:t>
      </w:r>
      <w:r>
        <w:t xml:space="preserve"> Form 15 being sent to the parties — </w:t>
      </w:r>
    </w:p>
    <w:p>
      <w:pPr>
        <w:pStyle w:val="Indenta"/>
      </w:pPr>
      <w:r>
        <w:tab/>
        <w:t>(a)</w:t>
      </w:r>
      <w:r>
        <w:tab/>
        <w:t>if the fee is an eligible individual fee — the eligible individual fee;</w:t>
      </w:r>
    </w:p>
    <w:p>
      <w:pPr>
        <w:pStyle w:val="Indenta"/>
      </w:pPr>
      <w:r>
        <w:tab/>
        <w:t>(b)</w:t>
      </w:r>
      <w:r>
        <w:tab/>
        <w:t>otherwise — a fee calculated on the basis of the number of days estimated under subregulation (3)(a).</w:t>
      </w:r>
    </w:p>
    <w:p>
      <w:pPr>
        <w:pStyle w:val="Subsection"/>
      </w:pPr>
      <w:r>
        <w:tab/>
        <w:t>(6A)</w:t>
      </w:r>
      <w:r>
        <w:tab/>
        <w:t>The fee for any additional days allocated for a hearing at a directions hearing is to be paid within 7 days of the directions hearing.</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pPr>
      <w:r>
        <w:tab/>
        <w:t>(a)</w:t>
      </w:r>
      <w:r>
        <w:tab/>
        <w:t>if the Court or Court of Appeal Registrar is satisfied that the reason for the adjournment is beyond the control of the parties, 100%;</w:t>
      </w:r>
    </w:p>
    <w:p>
      <w:pPr>
        <w:pStyle w:val="Indenta"/>
      </w:pPr>
      <w:r>
        <w:tab/>
        <w:t>(b)</w:t>
      </w:r>
      <w:r>
        <w:tab/>
        <w:t xml:space="preserve">otherwise, if the adjournment occurs — </w:t>
      </w:r>
    </w:p>
    <w:p>
      <w:pPr>
        <w:pStyle w:val="Indenti"/>
      </w:pPr>
      <w:r>
        <w:tab/>
        <w:t>(i)</w:t>
      </w:r>
      <w:r>
        <w:tab/>
        <w:t>42 days or more before the first date allocated for the hearing, 75%; or</w:t>
      </w:r>
    </w:p>
    <w:p>
      <w:pPr>
        <w:pStyle w:val="Indenti"/>
      </w:pPr>
      <w:r>
        <w:tab/>
        <w:t>(ii)</w:t>
      </w:r>
      <w:r>
        <w:tab/>
        <w:t>28 days or more before that date, 50%.</w:t>
      </w:r>
    </w:p>
    <w:p>
      <w:pPr>
        <w:pStyle w:val="Subsection"/>
        <w:spacing w:before="120"/>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Gazette 23 Jun 2005 p. 2693-5; amended: Gazette 4 Sep 2009 p. 3462; 14 Jun 2016 p. 1962</w:t>
      </w:r>
      <w:r>
        <w:noBreakHyphen/>
        <w:t>3.]</w:t>
      </w:r>
    </w:p>
    <w:p>
      <w:pPr>
        <w:pStyle w:val="Heading5"/>
        <w:spacing w:before="180"/>
      </w:pPr>
      <w:bookmarkStart w:id="35" w:name="_Toc19787851"/>
      <w:bookmarkStart w:id="36" w:name="_Toc25656891"/>
      <w:r>
        <w:rPr>
          <w:rStyle w:val="CharSectno"/>
        </w:rPr>
        <w:t>10</w:t>
      </w:r>
      <w:r>
        <w:t>.</w:t>
      </w:r>
      <w:r>
        <w:tab/>
        <w:t>Schedule 1 Division 1 item 6 or Division 2 item 7 fee</w:t>
      </w:r>
      <w:bookmarkEnd w:id="35"/>
      <w:bookmarkEnd w:id="36"/>
    </w:p>
    <w:p>
      <w:pPr>
        <w:pStyle w:val="Subsection"/>
        <w:spacing w:before="120"/>
      </w:pPr>
      <w:r>
        <w:tab/>
      </w:r>
      <w:r>
        <w:tab/>
        <w:t>If a fee is to be paid under Schedule 1 Division 1 item 6 or Division 2 item 7, the hearing is not to be reconvened until that fee or so much of it as has not been reduced under these regulations has been paid.</w:t>
      </w:r>
    </w:p>
    <w:p>
      <w:pPr>
        <w:pStyle w:val="Footnotesection"/>
        <w:spacing w:before="80"/>
        <w:ind w:left="890" w:hanging="890"/>
      </w:pPr>
      <w:r>
        <w:tab/>
        <w:t>[Regulation 10 amended: Gazette 23 Jun 2005 p. 2695; 4 Sep 2009 p. 3462; 14 Jun 2016 p. 1963</w:t>
      </w:r>
      <w:r>
        <w:noBreakHyphen/>
        <w:t>4.]</w:t>
      </w:r>
    </w:p>
    <w:p>
      <w:pPr>
        <w:pStyle w:val="Heading5"/>
      </w:pPr>
      <w:bookmarkStart w:id="37" w:name="_Toc19787852"/>
      <w:bookmarkStart w:id="38" w:name="_Toc25656892"/>
      <w:r>
        <w:rPr>
          <w:rStyle w:val="CharSectno"/>
        </w:rPr>
        <w:t>11</w:t>
      </w:r>
      <w:r>
        <w:t>.</w:t>
      </w:r>
      <w:r>
        <w:tab/>
        <w:t>Recovery of unpaid fees</w:t>
      </w:r>
      <w:bookmarkEnd w:id="37"/>
      <w:bookmarkEnd w:id="38"/>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Gazette 28 Apr 2005 p. 1761.]</w:t>
      </w:r>
    </w:p>
    <w:p>
      <w:pPr>
        <w:pStyle w:val="Ednotesection"/>
      </w:pPr>
      <w:r>
        <w:t>[</w:t>
      </w:r>
      <w:r>
        <w:rPr>
          <w:b/>
          <w:bCs/>
        </w:rPr>
        <w:t>12.</w:t>
      </w:r>
      <w:r>
        <w:tab/>
        <w:t>Deleted: Gazette 4 Sep 2009 p. 3462.]</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39" w:name="_Toc15561484"/>
      <w:bookmarkStart w:id="40" w:name="_Toc15561511"/>
      <w:bookmarkStart w:id="41" w:name="_Toc15562158"/>
      <w:bookmarkStart w:id="42" w:name="_Toc15562513"/>
      <w:bookmarkStart w:id="43" w:name="_Toc15562878"/>
      <w:bookmarkStart w:id="44" w:name="_Toc19787853"/>
      <w:bookmarkStart w:id="45" w:name="_Toc25656893"/>
      <w:r>
        <w:rPr>
          <w:rStyle w:val="CharSchNo"/>
        </w:rPr>
        <w:t>Schedule 1</w:t>
      </w:r>
      <w:r>
        <w:t> — </w:t>
      </w:r>
      <w:r>
        <w:rPr>
          <w:rStyle w:val="CharSchText"/>
        </w:rPr>
        <w:t>Fees</w:t>
      </w:r>
      <w:bookmarkEnd w:id="39"/>
      <w:bookmarkEnd w:id="40"/>
      <w:bookmarkEnd w:id="41"/>
      <w:bookmarkEnd w:id="42"/>
      <w:bookmarkEnd w:id="43"/>
      <w:bookmarkEnd w:id="44"/>
      <w:bookmarkEnd w:id="45"/>
    </w:p>
    <w:p>
      <w:pPr>
        <w:pStyle w:val="yShoulderClause"/>
      </w:pPr>
      <w:r>
        <w:t>[r. 4 and 4A]</w:t>
      </w:r>
    </w:p>
    <w:p>
      <w:pPr>
        <w:pStyle w:val="yFootnoteheading"/>
        <w:spacing w:after="60"/>
      </w:pPr>
      <w:r>
        <w:tab/>
        <w:t>[Heading inserted: Gazette 28 Jun 2019 p. 2621.]</w:t>
      </w:r>
    </w:p>
    <w:p>
      <w:pPr>
        <w:pStyle w:val="yHeading3"/>
      </w:pPr>
      <w:bookmarkStart w:id="46" w:name="_Toc15561485"/>
      <w:bookmarkStart w:id="47" w:name="_Toc15561512"/>
      <w:bookmarkStart w:id="48" w:name="_Toc15562159"/>
      <w:bookmarkStart w:id="49" w:name="_Toc15562514"/>
      <w:bookmarkStart w:id="50" w:name="_Toc15562879"/>
      <w:bookmarkStart w:id="51" w:name="_Toc19787854"/>
      <w:bookmarkStart w:id="52" w:name="_Toc25656894"/>
      <w:r>
        <w:rPr>
          <w:rStyle w:val="CharSDivNo"/>
        </w:rPr>
        <w:t>Division 1</w:t>
      </w:r>
      <w:r>
        <w:rPr>
          <w:b w:val="0"/>
        </w:rPr>
        <w:t> — </w:t>
      </w:r>
      <w:r>
        <w:rPr>
          <w:rStyle w:val="CharSDivText"/>
        </w:rPr>
        <w:t>General Division fees</w:t>
      </w:r>
      <w:bookmarkEnd w:id="46"/>
      <w:bookmarkEnd w:id="47"/>
      <w:bookmarkEnd w:id="48"/>
      <w:bookmarkEnd w:id="49"/>
      <w:bookmarkEnd w:id="50"/>
      <w:bookmarkEnd w:id="51"/>
      <w:bookmarkEnd w:id="52"/>
    </w:p>
    <w:p>
      <w:pPr>
        <w:pStyle w:val="yFootnoteheading"/>
        <w:spacing w:after="60"/>
      </w:pPr>
      <w:r>
        <w:tab/>
        <w:t>[Heading inserted: Gazette 28 Jun 2019 p. 2621.]</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0"/>
        <w:gridCol w:w="2562"/>
        <w:gridCol w:w="1260"/>
        <w:gridCol w:w="1206"/>
        <w:gridCol w:w="1229"/>
      </w:tblGrid>
      <w:tr>
        <w:trPr>
          <w:cantSplit/>
          <w:tblHeader/>
        </w:trPr>
        <w:tc>
          <w:tcPr>
            <w:tcW w:w="700" w:type="dxa"/>
            <w:tcBorders>
              <w:left w:val="nil"/>
              <w:bottom w:val="single" w:sz="4" w:space="0" w:color="auto"/>
              <w:right w:val="nil"/>
            </w:tcBorders>
          </w:tcPr>
          <w:p>
            <w:pPr>
              <w:pStyle w:val="yTableNAm"/>
              <w:jc w:val="center"/>
              <w:rPr>
                <w:b/>
              </w:rPr>
            </w:pPr>
            <w:r>
              <w:rPr>
                <w:b/>
              </w:rPr>
              <w:t>Item</w:t>
            </w:r>
          </w:p>
        </w:tc>
        <w:tc>
          <w:tcPr>
            <w:tcW w:w="2562" w:type="dxa"/>
            <w:tcBorders>
              <w:left w:val="nil"/>
              <w:bottom w:val="single" w:sz="4" w:space="0" w:color="auto"/>
              <w:right w:val="nil"/>
            </w:tcBorders>
          </w:tcPr>
          <w:p>
            <w:pPr>
              <w:pStyle w:val="yTableNAm"/>
              <w:jc w:val="center"/>
              <w:rPr>
                <w:b/>
              </w:rPr>
            </w:pPr>
            <w:r>
              <w:rPr>
                <w:b/>
              </w:rPr>
              <w:t>Matter</w:t>
            </w:r>
          </w:p>
        </w:tc>
        <w:tc>
          <w:tcPr>
            <w:tcW w:w="1260" w:type="dxa"/>
            <w:tcBorders>
              <w:left w:val="nil"/>
              <w:bottom w:val="single" w:sz="4" w:space="0" w:color="auto"/>
              <w:right w:val="nil"/>
            </w:tcBorders>
          </w:tcPr>
          <w:p>
            <w:pPr>
              <w:pStyle w:val="yTableNAm"/>
              <w:jc w:val="center"/>
              <w:rPr>
                <w:b/>
              </w:rPr>
            </w:pPr>
            <w:r>
              <w:rPr>
                <w:b/>
              </w:rPr>
              <w:t>Column A</w:t>
            </w:r>
          </w:p>
          <w:p>
            <w:pPr>
              <w:pStyle w:val="yTableNAm"/>
              <w:jc w:val="center"/>
            </w:pPr>
            <w:r>
              <w:t>Fee for individual or eligible entity</w:t>
            </w:r>
            <w:r>
              <w:br/>
              <w:t>$</w:t>
            </w:r>
          </w:p>
        </w:tc>
        <w:tc>
          <w:tcPr>
            <w:tcW w:w="1206" w:type="dxa"/>
            <w:tcBorders>
              <w:left w:val="nil"/>
              <w:bottom w:val="single" w:sz="4" w:space="0" w:color="auto"/>
              <w:right w:val="nil"/>
            </w:tcBorders>
          </w:tcPr>
          <w:p>
            <w:pPr>
              <w:pStyle w:val="yTableNAm"/>
              <w:jc w:val="center"/>
              <w:rPr>
                <w:b/>
              </w:rPr>
            </w:pPr>
            <w:r>
              <w:rPr>
                <w:b/>
              </w:rPr>
              <w:t>Column B</w:t>
            </w:r>
          </w:p>
          <w:p>
            <w:pPr>
              <w:pStyle w:val="yTableNAm"/>
              <w:jc w:val="center"/>
            </w:pPr>
            <w:r>
              <w:t xml:space="preserve">Fee for </w:t>
            </w:r>
            <w:r>
              <w:br/>
              <w:t>entity</w:t>
            </w:r>
            <w:r>
              <w:br/>
            </w:r>
            <w:r>
              <w:br/>
            </w:r>
            <w:r>
              <w:br/>
              <w:t>$</w:t>
            </w:r>
          </w:p>
        </w:tc>
        <w:tc>
          <w:tcPr>
            <w:tcW w:w="1229" w:type="dxa"/>
            <w:tcBorders>
              <w:left w:val="nil"/>
              <w:bottom w:val="single" w:sz="4" w:space="0" w:color="auto"/>
              <w:right w:val="nil"/>
            </w:tcBorders>
          </w:tcPr>
          <w:p>
            <w:pPr>
              <w:pStyle w:val="yTableNAm"/>
              <w:jc w:val="center"/>
              <w:rPr>
                <w:b/>
              </w:rPr>
            </w:pPr>
            <w:r>
              <w:rPr>
                <w:b/>
              </w:rPr>
              <w:t>Column C</w:t>
            </w:r>
          </w:p>
          <w:p>
            <w:pPr>
              <w:pStyle w:val="yTableNAm"/>
              <w:jc w:val="center"/>
            </w:pPr>
            <w:r>
              <w:t>Fee for eligible individual</w:t>
            </w:r>
            <w:r>
              <w:br/>
            </w:r>
            <w:r>
              <w:br/>
              <w:t>$</w:t>
            </w:r>
          </w:p>
        </w:tc>
      </w:tr>
      <w:tr>
        <w:trPr>
          <w:cantSplit/>
        </w:trPr>
        <w:tc>
          <w:tcPr>
            <w:tcW w:w="700" w:type="dxa"/>
            <w:tcBorders>
              <w:top w:val="single" w:sz="4" w:space="0" w:color="auto"/>
              <w:left w:val="nil"/>
              <w:bottom w:val="nil"/>
              <w:right w:val="nil"/>
            </w:tcBorders>
          </w:tcPr>
          <w:p>
            <w:pPr>
              <w:pStyle w:val="yTableNAm"/>
            </w:pPr>
            <w:r>
              <w:t>1.</w:t>
            </w:r>
          </w:p>
        </w:tc>
        <w:tc>
          <w:tcPr>
            <w:tcW w:w="2562" w:type="dxa"/>
            <w:tcBorders>
              <w:top w:val="single" w:sz="4" w:space="0" w:color="auto"/>
              <w:left w:val="nil"/>
              <w:bottom w:val="nil"/>
              <w:right w:val="nil"/>
            </w:tcBorders>
          </w:tcPr>
          <w:p>
            <w:pPr>
              <w:pStyle w:val="yTableNAm"/>
            </w:pPr>
            <w:r>
              <w:t>On filing —</w:t>
            </w:r>
          </w:p>
          <w:p>
            <w:pPr>
              <w:pStyle w:val="yTableNAm"/>
              <w:tabs>
                <w:tab w:val="clear" w:pos="567"/>
                <w:tab w:val="left" w:pos="438"/>
              </w:tabs>
              <w:ind w:left="438" w:hanging="438"/>
            </w:pPr>
            <w:r>
              <w:t>(a)</w:t>
            </w:r>
            <w:r>
              <w:tab/>
              <w:t>any originating process by which a cause, matter or other proceeding in the Court is commenced, other than proceedings of the kind referred to in item 2, 3 or 7</w:t>
            </w:r>
          </w:p>
        </w:tc>
        <w:tc>
          <w:tcPr>
            <w:tcW w:w="1260" w:type="dxa"/>
            <w:tcBorders>
              <w:top w:val="single" w:sz="4" w:space="0" w:color="auto"/>
              <w:left w:val="nil"/>
              <w:bottom w:val="nil"/>
              <w:right w:val="nil"/>
            </w:tcBorders>
            <w:vAlign w:val="bottom"/>
          </w:tcPr>
          <w:p>
            <w:pPr>
              <w:pStyle w:val="yTableNAm"/>
            </w:pPr>
            <w:r>
              <w:t>1 450.00</w:t>
            </w:r>
          </w:p>
        </w:tc>
        <w:tc>
          <w:tcPr>
            <w:tcW w:w="1206" w:type="dxa"/>
            <w:tcBorders>
              <w:top w:val="single" w:sz="4" w:space="0" w:color="auto"/>
              <w:left w:val="nil"/>
              <w:bottom w:val="nil"/>
              <w:right w:val="nil"/>
            </w:tcBorders>
            <w:vAlign w:val="bottom"/>
          </w:tcPr>
          <w:p>
            <w:pPr>
              <w:pStyle w:val="yTableNAm"/>
            </w:pPr>
            <w:r>
              <w:t>2 825.00</w:t>
            </w:r>
          </w:p>
        </w:tc>
        <w:tc>
          <w:tcPr>
            <w:tcW w:w="1229" w:type="dxa"/>
            <w:tcBorders>
              <w:top w:val="single" w:sz="4" w:space="0" w:color="auto"/>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(b)</w:t>
            </w:r>
            <w:r>
              <w:tab/>
              <w:t xml:space="preserve">a notice of appeal (whether in draft form or not) </w:t>
            </w:r>
          </w:p>
        </w:tc>
        <w:tc>
          <w:tcPr>
            <w:tcW w:w="1260" w:type="dxa"/>
            <w:tcBorders>
              <w:top w:val="nil"/>
              <w:left w:val="nil"/>
              <w:bottom w:val="nil"/>
              <w:right w:val="nil"/>
            </w:tcBorders>
            <w:vAlign w:val="bottom"/>
          </w:tcPr>
          <w:p>
            <w:pPr>
              <w:pStyle w:val="yTableNAm"/>
            </w:pPr>
            <w:r>
              <w:t>1 450.00</w:t>
            </w:r>
          </w:p>
        </w:tc>
        <w:tc>
          <w:tcPr>
            <w:tcW w:w="1206" w:type="dxa"/>
            <w:tcBorders>
              <w:top w:val="nil"/>
              <w:left w:val="nil"/>
              <w:bottom w:val="nil"/>
              <w:right w:val="nil"/>
            </w:tcBorders>
            <w:vAlign w:val="bottom"/>
          </w:tcPr>
          <w:p>
            <w:pPr>
              <w:pStyle w:val="yTableNAm"/>
            </w:pPr>
            <w:r>
              <w:t>2 825.00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r>
              <w:t>2.</w:t>
            </w:r>
          </w:p>
        </w:tc>
        <w:tc>
          <w:tcPr>
            <w:tcW w:w="2562" w:type="dxa"/>
            <w:tcBorders>
              <w:top w:val="nil"/>
              <w:left w:val="nil"/>
              <w:bottom w:val="nil"/>
              <w:right w:val="nil"/>
            </w:tcBorders>
          </w:tcPr>
          <w:p>
            <w:pPr>
              <w:pStyle w:val="yTableNAm"/>
            </w:pPr>
            <w:r>
              <w:t>On filing —</w:t>
            </w:r>
          </w:p>
          <w:p>
            <w:pPr>
              <w:pStyle w:val="yTableNAm"/>
              <w:tabs>
                <w:tab w:val="clear" w:pos="567"/>
                <w:tab w:val="left" w:pos="438"/>
              </w:tabs>
              <w:ind w:left="438" w:hanging="438"/>
            </w:pPr>
            <w:r>
              <w:t>(a)</w:t>
            </w:r>
            <w:r>
              <w:tab/>
              <w:t xml:space="preserve">a counterclaim </w:t>
            </w:r>
          </w:p>
        </w:tc>
        <w:tc>
          <w:tcPr>
            <w:tcW w:w="1260" w:type="dxa"/>
            <w:tcBorders>
              <w:top w:val="nil"/>
              <w:left w:val="nil"/>
              <w:bottom w:val="nil"/>
              <w:right w:val="nil"/>
            </w:tcBorders>
            <w:vAlign w:val="bottom"/>
          </w:tcPr>
          <w:p>
            <w:pPr>
              <w:pStyle w:val="yTableNAm"/>
            </w:pPr>
            <w:r>
              <w:t>1 450.00</w:t>
            </w:r>
          </w:p>
        </w:tc>
        <w:tc>
          <w:tcPr>
            <w:tcW w:w="1206" w:type="dxa"/>
            <w:tcBorders>
              <w:top w:val="nil"/>
              <w:left w:val="nil"/>
              <w:bottom w:val="nil"/>
              <w:right w:val="nil"/>
            </w:tcBorders>
            <w:vAlign w:val="bottom"/>
          </w:tcPr>
          <w:p>
            <w:pPr>
              <w:pStyle w:val="yTableNAm"/>
            </w:pPr>
            <w:r>
              <w:t>2 825.00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(b)</w:t>
            </w:r>
            <w:r>
              <w:tab/>
              <w:t xml:space="preserve">a third party notice or a notice under the Rules O. 19 r. 8 </w:t>
            </w:r>
          </w:p>
        </w:tc>
        <w:tc>
          <w:tcPr>
            <w:tcW w:w="1260" w:type="dxa"/>
            <w:tcBorders>
              <w:top w:val="nil"/>
              <w:left w:val="nil"/>
              <w:bottom w:val="nil"/>
              <w:right w:val="nil"/>
            </w:tcBorders>
            <w:vAlign w:val="bottom"/>
          </w:tcPr>
          <w:p>
            <w:pPr>
              <w:pStyle w:val="yTableNAm"/>
            </w:pPr>
            <w:r>
              <w:t>1 450.00</w:t>
            </w:r>
          </w:p>
        </w:tc>
        <w:tc>
          <w:tcPr>
            <w:tcW w:w="1206" w:type="dxa"/>
            <w:tcBorders>
              <w:top w:val="nil"/>
              <w:left w:val="nil"/>
              <w:bottom w:val="nil"/>
              <w:right w:val="nil"/>
            </w:tcBorders>
            <w:vAlign w:val="bottom"/>
          </w:tcPr>
          <w:p>
            <w:pPr>
              <w:pStyle w:val="yTableNAm"/>
            </w:pPr>
            <w:r>
              <w:t>2 825.00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(c)</w:t>
            </w:r>
            <w:r>
              <w:tab/>
              <w:t xml:space="preserve">an application — </w:t>
            </w:r>
          </w:p>
          <w:p>
            <w:pPr>
              <w:pStyle w:val="yTableNAm"/>
              <w:tabs>
                <w:tab w:val="clear" w:pos="567"/>
                <w:tab w:val="left" w:pos="466"/>
                <w:tab w:val="left" w:pos="875"/>
              </w:tabs>
              <w:ind w:left="872" w:hanging="872"/>
            </w:pPr>
            <w:r>
              <w:tab/>
              <w:t>(i)</w:t>
            </w:r>
            <w:r>
              <w:tab/>
              <w:t>to extend a period of time fixed by law, including an application to extend time before proceedings are commenced</w:t>
            </w:r>
          </w:p>
        </w:tc>
        <w:tc>
          <w:tcPr>
            <w:tcW w:w="1260" w:type="dxa"/>
            <w:tcBorders>
              <w:top w:val="nil"/>
              <w:left w:val="nil"/>
              <w:bottom w:val="nil"/>
              <w:right w:val="nil"/>
            </w:tcBorders>
            <w:vAlign w:val="bottom"/>
          </w:tcPr>
          <w:p>
            <w:pPr>
              <w:pStyle w:val="yTableNAm"/>
            </w:pPr>
            <w:r>
              <w:t>484.00</w:t>
            </w:r>
          </w:p>
        </w:tc>
        <w:tc>
          <w:tcPr>
            <w:tcW w:w="1206" w:type="dxa"/>
            <w:tcBorders>
              <w:top w:val="nil"/>
              <w:left w:val="nil"/>
              <w:bottom w:val="nil"/>
              <w:right w:val="nil"/>
            </w:tcBorders>
            <w:vAlign w:val="bottom"/>
          </w:tcPr>
          <w:p>
            <w:pPr>
              <w:pStyle w:val="yTableNAm"/>
            </w:pPr>
            <w:r>
              <w:t>947.00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(ii)</w:t>
            </w:r>
            <w:r>
              <w:tab/>
              <w:t>to limit a period of time within which proceedings may be taken</w:t>
            </w:r>
          </w:p>
        </w:tc>
        <w:tc>
          <w:tcPr>
            <w:tcW w:w="1260" w:type="dxa"/>
            <w:tcBorders>
              <w:top w:val="nil"/>
              <w:left w:val="nil"/>
              <w:bottom w:val="nil"/>
              <w:right w:val="nil"/>
            </w:tcBorders>
            <w:vAlign w:val="bottom"/>
          </w:tcPr>
          <w:p>
            <w:pPr>
              <w:pStyle w:val="yTableNAm"/>
            </w:pPr>
            <w:r>
              <w:t>484.00</w:t>
            </w:r>
          </w:p>
        </w:tc>
        <w:tc>
          <w:tcPr>
            <w:tcW w:w="1206" w:type="dxa"/>
            <w:tcBorders>
              <w:top w:val="nil"/>
              <w:left w:val="nil"/>
              <w:bottom w:val="nil"/>
              <w:right w:val="nil"/>
            </w:tcBorders>
            <w:vAlign w:val="bottom"/>
          </w:tcPr>
          <w:p>
            <w:pPr>
              <w:pStyle w:val="yTableNAm"/>
            </w:pPr>
            <w:r>
              <w:t>947.00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(iii)</w:t>
            </w:r>
            <w:r>
              <w:tab/>
              <w:t>for leave to serve a writ or notice of a writ out of jurisdiction</w:t>
            </w:r>
          </w:p>
        </w:tc>
        <w:tc>
          <w:tcPr>
            <w:tcW w:w="1260" w:type="dxa"/>
            <w:tcBorders>
              <w:top w:val="nil"/>
              <w:left w:val="nil"/>
              <w:bottom w:val="nil"/>
              <w:right w:val="nil"/>
            </w:tcBorders>
            <w:vAlign w:val="bottom"/>
          </w:tcPr>
          <w:p>
            <w:pPr>
              <w:pStyle w:val="yTableNAm"/>
            </w:pPr>
            <w:r>
              <w:t>484.00</w:t>
            </w:r>
          </w:p>
        </w:tc>
        <w:tc>
          <w:tcPr>
            <w:tcW w:w="1206" w:type="dxa"/>
            <w:tcBorders>
              <w:top w:val="nil"/>
              <w:left w:val="nil"/>
              <w:bottom w:val="nil"/>
              <w:right w:val="nil"/>
            </w:tcBorders>
            <w:vAlign w:val="bottom"/>
          </w:tcPr>
          <w:p>
            <w:pPr>
              <w:pStyle w:val="yTableNAm"/>
            </w:pPr>
            <w:r>
              <w:t>947.00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(iv)</w:t>
            </w:r>
            <w:r>
              <w:tab/>
              <w:t>to swear to the death of a person</w:t>
            </w:r>
          </w:p>
        </w:tc>
        <w:tc>
          <w:tcPr>
            <w:tcW w:w="1260" w:type="dxa"/>
            <w:tcBorders>
              <w:top w:val="nil"/>
              <w:left w:val="nil"/>
              <w:bottom w:val="nil"/>
              <w:right w:val="nil"/>
            </w:tcBorders>
            <w:vAlign w:val="bottom"/>
          </w:tcPr>
          <w:p>
            <w:pPr>
              <w:pStyle w:val="yTableNAm"/>
            </w:pPr>
            <w:r>
              <w:t>484.00</w:t>
            </w:r>
          </w:p>
        </w:tc>
        <w:tc>
          <w:tcPr>
            <w:tcW w:w="1206" w:type="dxa"/>
            <w:tcBorders>
              <w:top w:val="nil"/>
              <w:left w:val="nil"/>
              <w:bottom w:val="nil"/>
              <w:right w:val="nil"/>
            </w:tcBorders>
            <w:vAlign w:val="bottom"/>
          </w:tcPr>
          <w:p>
            <w:pPr>
              <w:pStyle w:val="yTableNAm"/>
            </w:pPr>
            <w:r>
              <w:t>947.00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(v)</w:t>
            </w:r>
            <w:r>
              <w:tab/>
              <w:t>for leave to appeal</w:t>
            </w:r>
          </w:p>
        </w:tc>
        <w:tc>
          <w:tcPr>
            <w:tcW w:w="1260" w:type="dxa"/>
            <w:tcBorders>
              <w:top w:val="nil"/>
              <w:left w:val="nil"/>
              <w:bottom w:val="nil"/>
              <w:right w:val="nil"/>
            </w:tcBorders>
            <w:vAlign w:val="bottom"/>
          </w:tcPr>
          <w:p>
            <w:pPr>
              <w:pStyle w:val="yTableNAm"/>
            </w:pPr>
            <w:r>
              <w:t>484.00</w:t>
            </w:r>
          </w:p>
        </w:tc>
        <w:tc>
          <w:tcPr>
            <w:tcW w:w="1206" w:type="dxa"/>
            <w:tcBorders>
              <w:top w:val="nil"/>
              <w:left w:val="nil"/>
              <w:bottom w:val="nil"/>
              <w:right w:val="nil"/>
            </w:tcBorders>
            <w:vAlign w:val="bottom"/>
          </w:tcPr>
          <w:p>
            <w:pPr>
              <w:pStyle w:val="yTableNAm"/>
            </w:pPr>
            <w:r>
              <w:t>947.00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(vi)</w:t>
            </w:r>
            <w:r>
              <w:tab/>
              <w:t xml:space="preserve">for leave to issue a subpoena under the </w:t>
            </w:r>
            <w:r>
              <w:rPr>
                <w:i/>
              </w:rPr>
              <w:t>Commercial Arbitration Act 2012</w:t>
            </w:r>
          </w:p>
        </w:tc>
        <w:tc>
          <w:tcPr>
            <w:tcW w:w="1260" w:type="dxa"/>
            <w:tcBorders>
              <w:top w:val="nil"/>
              <w:left w:val="nil"/>
              <w:bottom w:val="nil"/>
              <w:right w:val="nil"/>
            </w:tcBorders>
            <w:vAlign w:val="bottom"/>
          </w:tcPr>
          <w:p>
            <w:pPr>
              <w:pStyle w:val="yTableNAm"/>
            </w:pPr>
            <w:r>
              <w:t>484.00</w:t>
            </w:r>
          </w:p>
        </w:tc>
        <w:tc>
          <w:tcPr>
            <w:tcW w:w="1206" w:type="dxa"/>
            <w:tcBorders>
              <w:top w:val="nil"/>
              <w:left w:val="nil"/>
              <w:bottom w:val="nil"/>
              <w:right w:val="nil"/>
            </w:tcBorders>
            <w:vAlign w:val="bottom"/>
          </w:tcPr>
          <w:p>
            <w:pPr>
              <w:pStyle w:val="yTableNAm"/>
            </w:pPr>
            <w:r>
              <w:t>947.00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(vii)</w:t>
            </w:r>
            <w:r>
              <w:tab/>
              <w:t xml:space="preserve">in a pending cause or matter in admiralty whether by summons or motion, other than an application by the Marshal </w:t>
            </w:r>
          </w:p>
        </w:tc>
        <w:tc>
          <w:tcPr>
            <w:tcW w:w="1260" w:type="dxa"/>
            <w:tcBorders>
              <w:top w:val="nil"/>
              <w:left w:val="nil"/>
              <w:bottom w:val="nil"/>
              <w:right w:val="nil"/>
            </w:tcBorders>
            <w:vAlign w:val="bottom"/>
          </w:tcPr>
          <w:p>
            <w:pPr>
              <w:pStyle w:val="yTableNAm"/>
            </w:pPr>
            <w:r>
              <w:t>484.00</w:t>
            </w:r>
          </w:p>
        </w:tc>
        <w:tc>
          <w:tcPr>
            <w:tcW w:w="1206" w:type="dxa"/>
            <w:tcBorders>
              <w:top w:val="nil"/>
              <w:left w:val="nil"/>
              <w:bottom w:val="nil"/>
              <w:right w:val="nil"/>
            </w:tcBorders>
            <w:vAlign w:val="bottom"/>
          </w:tcPr>
          <w:p>
            <w:pPr>
              <w:pStyle w:val="yTableNAm"/>
            </w:pPr>
            <w:r>
              <w:t>947.00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(d)</w:t>
            </w:r>
            <w:r>
              <w:tab/>
              <w:t xml:space="preserve">any other application for which no fee has been provided in this Division </w:t>
            </w:r>
          </w:p>
        </w:tc>
        <w:tc>
          <w:tcPr>
            <w:tcW w:w="1260" w:type="dxa"/>
            <w:tcBorders>
              <w:top w:val="nil"/>
              <w:left w:val="nil"/>
              <w:bottom w:val="nil"/>
              <w:right w:val="nil"/>
            </w:tcBorders>
            <w:vAlign w:val="bottom"/>
          </w:tcPr>
          <w:p>
            <w:pPr>
              <w:pStyle w:val="yTableNAm"/>
            </w:pPr>
            <w:r>
              <w:t>484.00</w:t>
            </w:r>
          </w:p>
        </w:tc>
        <w:tc>
          <w:tcPr>
            <w:tcW w:w="1206" w:type="dxa"/>
            <w:tcBorders>
              <w:top w:val="nil"/>
              <w:left w:val="nil"/>
              <w:bottom w:val="nil"/>
              <w:right w:val="nil"/>
            </w:tcBorders>
            <w:vAlign w:val="bottom"/>
          </w:tcPr>
          <w:p>
            <w:pPr>
              <w:pStyle w:val="yTableNAm"/>
            </w:pPr>
            <w:r>
              <w:t>947.00</w:t>
            </w:r>
          </w:p>
        </w:tc>
        <w:tc>
          <w:tcPr>
            <w:tcW w:w="1229" w:type="dxa"/>
            <w:tcBorders>
              <w:top w:val="nil"/>
              <w:left w:val="nil"/>
              <w:bottom w:val="nil"/>
              <w:right w:val="nil"/>
            </w:tcBorders>
            <w:vAlign w:val="bottom"/>
          </w:tcPr>
          <w:p>
            <w:pPr>
              <w:pStyle w:val="yTableNAm"/>
            </w:pPr>
            <w:r>
              <w:t>100.00</w:t>
            </w:r>
          </w:p>
        </w:tc>
      </w:tr>
      <w:tr>
        <w:trPr>
          <w:cantSplit/>
          <w:trHeight w:val="624"/>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The fee in paragraph (c)(vi) is payable only once on the first application in an arbitration.</w:t>
            </w:r>
          </w:p>
        </w:tc>
      </w:tr>
      <w:tr>
        <w:trPr>
          <w:cantSplit/>
        </w:trPr>
        <w:tc>
          <w:tcPr>
            <w:tcW w:w="700" w:type="dxa"/>
            <w:tcBorders>
              <w:top w:val="nil"/>
              <w:left w:val="nil"/>
              <w:bottom w:val="nil"/>
              <w:right w:val="nil"/>
            </w:tcBorders>
          </w:tcPr>
          <w:p>
            <w:pPr>
              <w:pStyle w:val="yTableNAm"/>
            </w:pPr>
            <w:r>
              <w:t>3.</w:t>
            </w:r>
          </w:p>
        </w:tc>
        <w:tc>
          <w:tcPr>
            <w:tcW w:w="2562" w:type="dxa"/>
            <w:tcBorders>
              <w:top w:val="nil"/>
              <w:left w:val="nil"/>
              <w:bottom w:val="nil"/>
              <w:right w:val="nil"/>
            </w:tcBorders>
          </w:tcPr>
          <w:p>
            <w:pPr>
              <w:pStyle w:val="yTableNAm"/>
            </w:pPr>
            <w:r>
              <w:t xml:space="preserve">Commencing an appeal to which the Rules O. 60A r. 4 applies </w:t>
            </w:r>
          </w:p>
        </w:tc>
        <w:tc>
          <w:tcPr>
            <w:tcW w:w="1260" w:type="dxa"/>
            <w:tcBorders>
              <w:top w:val="nil"/>
              <w:left w:val="nil"/>
              <w:bottom w:val="nil"/>
              <w:right w:val="nil"/>
            </w:tcBorders>
            <w:vAlign w:val="bottom"/>
          </w:tcPr>
          <w:p>
            <w:pPr>
              <w:pStyle w:val="yTableNAm"/>
            </w:pPr>
            <w:r>
              <w:t>966.00</w:t>
            </w:r>
          </w:p>
        </w:tc>
        <w:tc>
          <w:tcPr>
            <w:tcW w:w="1206" w:type="dxa"/>
            <w:tcBorders>
              <w:top w:val="nil"/>
              <w:left w:val="nil"/>
              <w:bottom w:val="nil"/>
              <w:right w:val="nil"/>
            </w:tcBorders>
            <w:vAlign w:val="bottom"/>
          </w:tcPr>
          <w:p>
            <w:pPr>
              <w:pStyle w:val="yTableNAm"/>
            </w:pPr>
            <w:r>
              <w:t>1 892.00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r>
              <w:t>4.</w:t>
            </w:r>
          </w:p>
        </w:tc>
        <w:tc>
          <w:tcPr>
            <w:tcW w:w="2562" w:type="dxa"/>
            <w:tcBorders>
              <w:top w:val="nil"/>
              <w:left w:val="nil"/>
              <w:bottom w:val="nil"/>
              <w:right w:val="nil"/>
            </w:tcBorders>
          </w:tcPr>
          <w:p>
            <w:pPr>
              <w:pStyle w:val="yTableNAm"/>
            </w:pPr>
            <w:r>
              <w:t xml:space="preserve">Entry for hearing a cause or matter or notice of an appointment to hear an originating summons </w:t>
            </w:r>
          </w:p>
        </w:tc>
        <w:tc>
          <w:tcPr>
            <w:tcW w:w="1260" w:type="dxa"/>
            <w:tcBorders>
              <w:top w:val="nil"/>
              <w:left w:val="nil"/>
              <w:bottom w:val="nil"/>
              <w:right w:val="nil"/>
            </w:tcBorders>
            <w:vAlign w:val="bottom"/>
          </w:tcPr>
          <w:p>
            <w:pPr>
              <w:pStyle w:val="yTableNAm"/>
            </w:pPr>
            <w:r>
              <w:t>1 450.00</w:t>
            </w:r>
          </w:p>
        </w:tc>
        <w:tc>
          <w:tcPr>
            <w:tcW w:w="1206" w:type="dxa"/>
            <w:tcBorders>
              <w:top w:val="nil"/>
              <w:left w:val="nil"/>
              <w:bottom w:val="nil"/>
              <w:right w:val="nil"/>
            </w:tcBorders>
            <w:vAlign w:val="bottom"/>
          </w:tcPr>
          <w:p>
            <w:pPr>
              <w:pStyle w:val="yTableNAm"/>
            </w:pPr>
            <w:r>
              <w:t>2 825.00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r>
              <w:t>5.</w:t>
            </w:r>
          </w:p>
        </w:tc>
        <w:tc>
          <w:tcPr>
            <w:tcW w:w="2562" w:type="dxa"/>
            <w:tcBorders>
              <w:top w:val="nil"/>
              <w:left w:val="nil"/>
              <w:bottom w:val="nil"/>
              <w:right w:val="nil"/>
            </w:tcBorders>
          </w:tcPr>
          <w:p>
            <w:pPr>
              <w:pStyle w:val="yTableNAm"/>
            </w:pPr>
            <w:r>
              <w:t xml:space="preserve">Allocation of hearing date </w:t>
            </w:r>
          </w:p>
        </w:tc>
        <w:tc>
          <w:tcPr>
            <w:tcW w:w="1260" w:type="dxa"/>
            <w:tcBorders>
              <w:top w:val="nil"/>
              <w:left w:val="nil"/>
              <w:bottom w:val="nil"/>
              <w:right w:val="nil"/>
            </w:tcBorders>
          </w:tcPr>
          <w:p>
            <w:pPr>
              <w:pStyle w:val="yTableNAm"/>
            </w:pPr>
            <w:r>
              <w:t>971.00 for each day allocated</w:t>
            </w:r>
          </w:p>
        </w:tc>
        <w:tc>
          <w:tcPr>
            <w:tcW w:w="1206" w:type="dxa"/>
            <w:tcBorders>
              <w:top w:val="nil"/>
              <w:left w:val="nil"/>
              <w:bottom w:val="nil"/>
              <w:right w:val="nil"/>
            </w:tcBorders>
          </w:tcPr>
          <w:p>
            <w:pPr>
              <w:pStyle w:val="yTableNAm"/>
            </w:pPr>
            <w:r>
              <w:t>2 520.00 for each day allocated</w:t>
            </w:r>
          </w:p>
        </w:tc>
        <w:tc>
          <w:tcPr>
            <w:tcW w:w="1229" w:type="dxa"/>
            <w:tcBorders>
              <w:top w:val="nil"/>
              <w:left w:val="nil"/>
              <w:bottom w:val="nil"/>
              <w:right w:val="nil"/>
            </w:tcBorders>
          </w:tcPr>
          <w:p>
            <w:pPr>
              <w:pStyle w:val="yTableNAm"/>
            </w:pPr>
            <w:r>
              <w:t>100.00</w:t>
            </w:r>
          </w:p>
        </w:tc>
      </w:tr>
      <w:tr>
        <w:trPr>
          <w:cantSplit/>
          <w:trHeight w:val="397"/>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See regulation 9.</w:t>
            </w:r>
          </w:p>
        </w:tc>
      </w:tr>
      <w:tr>
        <w:trPr>
          <w:cantSplit/>
        </w:trPr>
        <w:tc>
          <w:tcPr>
            <w:tcW w:w="700" w:type="dxa"/>
            <w:tcBorders>
              <w:top w:val="nil"/>
              <w:left w:val="nil"/>
              <w:bottom w:val="nil"/>
              <w:right w:val="nil"/>
            </w:tcBorders>
          </w:tcPr>
          <w:p>
            <w:pPr>
              <w:pStyle w:val="yTableNAm"/>
            </w:pPr>
            <w:r>
              <w:t>6.</w:t>
            </w:r>
          </w:p>
        </w:tc>
        <w:tc>
          <w:tcPr>
            <w:tcW w:w="2562" w:type="dxa"/>
            <w:tcBorders>
              <w:top w:val="nil"/>
              <w:left w:val="nil"/>
              <w:bottom w:val="nil"/>
              <w:right w:val="nil"/>
            </w:tcBorders>
          </w:tcPr>
          <w:p>
            <w:pPr>
              <w:pStyle w:val="yTableNAm"/>
            </w:pPr>
            <w:r>
              <w:t xml:space="preserve">Daily hearing fee before a Court constituted by a master or 1 or more judges </w:t>
            </w:r>
          </w:p>
        </w:tc>
        <w:tc>
          <w:tcPr>
            <w:tcW w:w="1260" w:type="dxa"/>
            <w:tcBorders>
              <w:top w:val="nil"/>
              <w:left w:val="nil"/>
              <w:bottom w:val="nil"/>
              <w:right w:val="nil"/>
            </w:tcBorders>
            <w:vAlign w:val="bottom"/>
          </w:tcPr>
          <w:p>
            <w:pPr>
              <w:pStyle w:val="yTableNAm"/>
            </w:pPr>
            <w:r>
              <w:t>971.00</w:t>
            </w:r>
          </w:p>
        </w:tc>
        <w:tc>
          <w:tcPr>
            <w:tcW w:w="1206" w:type="dxa"/>
            <w:tcBorders>
              <w:top w:val="nil"/>
              <w:left w:val="nil"/>
              <w:bottom w:val="nil"/>
              <w:right w:val="nil"/>
            </w:tcBorders>
            <w:vAlign w:val="bottom"/>
          </w:tcPr>
          <w:p>
            <w:pPr>
              <w:pStyle w:val="yTableNAm"/>
            </w:pPr>
            <w:r>
              <w:t>2 520.00</w:t>
            </w:r>
          </w:p>
        </w:tc>
        <w:tc>
          <w:tcPr>
            <w:tcW w:w="1229" w:type="dxa"/>
            <w:tcBorders>
              <w:top w:val="nil"/>
              <w:left w:val="nil"/>
              <w:bottom w:val="nil"/>
              <w:right w:val="nil"/>
            </w:tcBorders>
            <w:vAlign w:val="bottom"/>
          </w:tcPr>
          <w:p>
            <w:pPr>
              <w:pStyle w:val="yTableNAm"/>
            </w:pPr>
            <w:r>
              <w:t>0.00</w:t>
            </w:r>
          </w:p>
        </w:tc>
      </w:tr>
      <w:tr>
        <w:trPr>
          <w:cantSplit/>
          <w:trHeight w:val="567"/>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 w:val="left" w:pos="396"/>
              </w:tabs>
              <w:ind w:left="396" w:hanging="396"/>
              <w:rPr>
                <w:rFonts w:ascii="Arial" w:hAnsi="Arial" w:cs="Arial"/>
                <w:sz w:val="18"/>
                <w:szCs w:val="18"/>
              </w:rPr>
            </w:pPr>
            <w:r>
              <w:rPr>
                <w:rFonts w:ascii="Arial" w:hAnsi="Arial" w:cs="Arial"/>
                <w:sz w:val="18"/>
                <w:szCs w:val="18"/>
              </w:rPr>
              <w:t>1.</w:t>
            </w:r>
            <w:r>
              <w:rPr>
                <w:rFonts w:ascii="Arial" w:hAnsi="Arial" w:cs="Arial"/>
                <w:sz w:val="18"/>
                <w:szCs w:val="18"/>
              </w:rPr>
              <w:tab/>
              <w:t>No fee is payable if the proceedings are of an interlocutory nature.</w:t>
            </w:r>
          </w:p>
        </w:tc>
      </w:tr>
      <w:tr>
        <w:trPr>
          <w:cantSplit/>
          <w:trHeight w:val="624"/>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 w:val="left" w:pos="396"/>
              </w:tabs>
              <w:ind w:left="396" w:hanging="396"/>
              <w:rPr>
                <w:rFonts w:ascii="Arial" w:hAnsi="Arial" w:cs="Arial"/>
                <w:sz w:val="18"/>
                <w:szCs w:val="18"/>
              </w:rPr>
            </w:pPr>
            <w:r>
              <w:rPr>
                <w:rFonts w:ascii="Arial" w:hAnsi="Arial" w:cs="Arial"/>
                <w:sz w:val="18"/>
                <w:szCs w:val="18"/>
              </w:rPr>
              <w:t>2.</w:t>
            </w:r>
            <w:r>
              <w:rPr>
                <w:rFonts w:ascii="Arial" w:hAnsi="Arial" w:cs="Arial"/>
                <w:sz w:val="18"/>
                <w:szCs w:val="18"/>
              </w:rPr>
              <w:tab/>
              <w:t>The fee is to be paid in respect of any number of hearing days (or part days) greater than the number of hearing days for which a fee has been paid under item 5.</w:t>
            </w:r>
          </w:p>
        </w:tc>
      </w:tr>
      <w:tr>
        <w:trPr>
          <w:cantSplit/>
          <w:trHeight w:val="567"/>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 w:val="left" w:pos="396"/>
              </w:tabs>
              <w:ind w:left="396" w:hanging="396"/>
              <w:rPr>
                <w:rFonts w:ascii="Arial" w:hAnsi="Arial" w:cs="Arial"/>
                <w:sz w:val="18"/>
                <w:szCs w:val="18"/>
              </w:rPr>
            </w:pPr>
            <w:r>
              <w:rPr>
                <w:rFonts w:ascii="Arial" w:hAnsi="Arial" w:cs="Arial"/>
                <w:sz w:val="18"/>
                <w:szCs w:val="18"/>
              </w:rPr>
              <w:t>3.</w:t>
            </w:r>
            <w:r>
              <w:rPr>
                <w:rFonts w:ascii="Arial" w:hAnsi="Arial" w:cs="Arial"/>
                <w:sz w:val="18"/>
                <w:szCs w:val="18"/>
              </w:rPr>
              <w:tab/>
              <w:t>If the Court allocates a half</w:t>
            </w:r>
            <w:r>
              <w:rPr>
                <w:rFonts w:ascii="Arial" w:hAnsi="Arial" w:cs="Arial"/>
                <w:sz w:val="18"/>
                <w:szCs w:val="18"/>
              </w:rPr>
              <w:noBreakHyphen/>
              <w:t>day or less for the continuation of the hearing, a fee equal to half the prescribed amount is payable for that period.</w:t>
            </w:r>
          </w:p>
        </w:tc>
      </w:tr>
      <w:tr>
        <w:trPr>
          <w:cantSplit/>
          <w:trHeight w:val="567"/>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 w:val="left" w:pos="396"/>
              </w:tabs>
              <w:ind w:left="396" w:hanging="396"/>
              <w:rPr>
                <w:rFonts w:ascii="Arial" w:hAnsi="Arial" w:cs="Arial"/>
                <w:sz w:val="18"/>
                <w:szCs w:val="18"/>
              </w:rPr>
            </w:pPr>
            <w:r>
              <w:rPr>
                <w:rFonts w:ascii="Arial" w:hAnsi="Arial" w:cs="Arial"/>
                <w:sz w:val="18"/>
                <w:szCs w:val="18"/>
              </w:rPr>
              <w:t>4.</w:t>
            </w:r>
            <w:r>
              <w:rPr>
                <w:rFonts w:ascii="Arial" w:hAnsi="Arial" w:cs="Arial"/>
                <w:sz w:val="18"/>
                <w:szCs w:val="18"/>
              </w:rPr>
              <w:tab/>
              <w:t>The daily fee becomes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Pr>
        <w:tc>
          <w:tcPr>
            <w:tcW w:w="700" w:type="dxa"/>
            <w:tcBorders>
              <w:top w:val="nil"/>
              <w:left w:val="nil"/>
              <w:bottom w:val="nil"/>
              <w:right w:val="nil"/>
            </w:tcBorders>
          </w:tcPr>
          <w:p>
            <w:pPr>
              <w:pStyle w:val="yTableNAm"/>
            </w:pPr>
            <w:r>
              <w:t>7.</w:t>
            </w:r>
          </w:p>
        </w:tc>
        <w:tc>
          <w:tcPr>
            <w:tcW w:w="2562" w:type="dxa"/>
            <w:tcBorders>
              <w:top w:val="nil"/>
              <w:left w:val="nil"/>
              <w:bottom w:val="nil"/>
              <w:right w:val="nil"/>
            </w:tcBorders>
          </w:tcPr>
          <w:p>
            <w:pPr>
              <w:pStyle w:val="yTableNAm"/>
              <w:tabs>
                <w:tab w:val="clear" w:pos="567"/>
                <w:tab w:val="left" w:pos="438"/>
              </w:tabs>
              <w:ind w:left="438" w:hanging="438"/>
            </w:pPr>
            <w:r>
              <w:t>(a)</w:t>
            </w:r>
            <w:r>
              <w:tab/>
              <w:t xml:space="preserve">On filing before a judge, master or registrar in chambers — </w:t>
            </w:r>
          </w:p>
          <w:p>
            <w:pPr>
              <w:pStyle w:val="yTableNAm"/>
              <w:tabs>
                <w:tab w:val="clear" w:pos="567"/>
                <w:tab w:val="left" w:pos="466"/>
                <w:tab w:val="left" w:pos="875"/>
              </w:tabs>
              <w:ind w:left="872" w:hanging="872"/>
            </w:pPr>
            <w:r>
              <w:tab/>
              <w:t>(i)</w:t>
            </w:r>
            <w:r>
              <w:tab/>
              <w:t>an interlocutory application or summons returnable</w:t>
            </w:r>
          </w:p>
        </w:tc>
        <w:tc>
          <w:tcPr>
            <w:tcW w:w="1260" w:type="dxa"/>
            <w:tcBorders>
              <w:top w:val="nil"/>
              <w:left w:val="nil"/>
              <w:bottom w:val="nil"/>
              <w:right w:val="nil"/>
            </w:tcBorders>
            <w:vAlign w:val="bottom"/>
          </w:tcPr>
          <w:p>
            <w:pPr>
              <w:pStyle w:val="yTableNAm"/>
            </w:pPr>
            <w:r>
              <w:t>341.00</w:t>
            </w:r>
          </w:p>
        </w:tc>
        <w:tc>
          <w:tcPr>
            <w:tcW w:w="1206" w:type="dxa"/>
            <w:tcBorders>
              <w:top w:val="nil"/>
              <w:left w:val="nil"/>
              <w:bottom w:val="nil"/>
              <w:right w:val="nil"/>
            </w:tcBorders>
            <w:vAlign w:val="bottom"/>
          </w:tcPr>
          <w:p>
            <w:pPr>
              <w:pStyle w:val="yTableNAm"/>
            </w:pPr>
            <w:r>
              <w:t>662.00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(ii)</w:t>
            </w:r>
            <w:r>
              <w:tab/>
              <w:t>an application for assessment of damages</w:t>
            </w:r>
          </w:p>
        </w:tc>
        <w:tc>
          <w:tcPr>
            <w:tcW w:w="1260" w:type="dxa"/>
            <w:tcBorders>
              <w:top w:val="nil"/>
              <w:left w:val="nil"/>
              <w:bottom w:val="nil"/>
              <w:right w:val="nil"/>
            </w:tcBorders>
            <w:vAlign w:val="bottom"/>
          </w:tcPr>
          <w:p>
            <w:pPr>
              <w:pStyle w:val="yTableNAm"/>
            </w:pPr>
            <w:r>
              <w:t>341.00</w:t>
            </w:r>
          </w:p>
        </w:tc>
        <w:tc>
          <w:tcPr>
            <w:tcW w:w="1206" w:type="dxa"/>
            <w:tcBorders>
              <w:top w:val="nil"/>
              <w:left w:val="nil"/>
              <w:bottom w:val="nil"/>
              <w:right w:val="nil"/>
            </w:tcBorders>
            <w:vAlign w:val="bottom"/>
          </w:tcPr>
          <w:p>
            <w:pPr>
              <w:pStyle w:val="yTableNAm"/>
            </w:pPr>
            <w:r>
              <w:t>662.00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(iii)</w:t>
            </w:r>
            <w:r>
              <w:tab/>
              <w:t>an application for summary judgment</w:t>
            </w:r>
          </w:p>
        </w:tc>
        <w:tc>
          <w:tcPr>
            <w:tcW w:w="1260" w:type="dxa"/>
            <w:tcBorders>
              <w:top w:val="nil"/>
              <w:left w:val="nil"/>
              <w:bottom w:val="nil"/>
              <w:right w:val="nil"/>
            </w:tcBorders>
            <w:vAlign w:val="bottom"/>
          </w:tcPr>
          <w:p>
            <w:pPr>
              <w:pStyle w:val="yTableNAm"/>
            </w:pPr>
            <w:r>
              <w:t>341.00</w:t>
            </w:r>
          </w:p>
        </w:tc>
        <w:tc>
          <w:tcPr>
            <w:tcW w:w="1206" w:type="dxa"/>
            <w:tcBorders>
              <w:top w:val="nil"/>
              <w:left w:val="nil"/>
              <w:bottom w:val="nil"/>
              <w:right w:val="nil"/>
            </w:tcBorders>
            <w:vAlign w:val="bottom"/>
          </w:tcPr>
          <w:p>
            <w:pPr>
              <w:pStyle w:val="yTableNAm"/>
            </w:pPr>
            <w:r>
              <w:t>662.00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(b)</w:t>
            </w:r>
            <w:r>
              <w:tab/>
              <w:t xml:space="preserve">On an appointment before a judge, master or registrar — </w:t>
            </w:r>
          </w:p>
        </w:tc>
        <w:tc>
          <w:tcPr>
            <w:tcW w:w="1260" w:type="dxa"/>
            <w:tcBorders>
              <w:top w:val="nil"/>
              <w:left w:val="nil"/>
              <w:bottom w:val="nil"/>
              <w:right w:val="nil"/>
            </w:tcBorders>
          </w:tcPr>
          <w:p>
            <w:pPr>
              <w:pStyle w:val="yTableNAm"/>
            </w:pPr>
          </w:p>
        </w:tc>
        <w:tc>
          <w:tcPr>
            <w:tcW w:w="1206" w:type="dxa"/>
            <w:tcBorders>
              <w:top w:val="nil"/>
              <w:left w:val="nil"/>
              <w:bottom w:val="nil"/>
              <w:right w:val="nil"/>
            </w:tcBorders>
          </w:tcPr>
          <w:p>
            <w:pPr>
              <w:pStyle w:val="yTableNAm"/>
            </w:pPr>
          </w:p>
        </w:tc>
        <w:tc>
          <w:tcPr>
            <w:tcW w:w="1229"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w:t>
            </w:r>
            <w:r>
              <w:tab/>
              <w:t>on a reference for inquiry and report</w:t>
            </w:r>
          </w:p>
        </w:tc>
        <w:tc>
          <w:tcPr>
            <w:tcW w:w="1260" w:type="dxa"/>
            <w:tcBorders>
              <w:top w:val="nil"/>
              <w:left w:val="nil"/>
              <w:bottom w:val="nil"/>
              <w:right w:val="nil"/>
            </w:tcBorders>
            <w:vAlign w:val="bottom"/>
          </w:tcPr>
          <w:p>
            <w:pPr>
              <w:pStyle w:val="yTableNAm"/>
            </w:pPr>
            <w:r>
              <w:t>341.00</w:t>
            </w:r>
          </w:p>
        </w:tc>
        <w:tc>
          <w:tcPr>
            <w:tcW w:w="1206" w:type="dxa"/>
            <w:tcBorders>
              <w:top w:val="nil"/>
              <w:left w:val="nil"/>
              <w:bottom w:val="nil"/>
              <w:right w:val="nil"/>
            </w:tcBorders>
            <w:vAlign w:val="bottom"/>
          </w:tcPr>
          <w:p>
            <w:pPr>
              <w:pStyle w:val="yTableNAm"/>
            </w:pPr>
            <w:r>
              <w:t>662.00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(ii)</w:t>
            </w:r>
            <w:r>
              <w:tab/>
              <w:t>to pass accounts</w:t>
            </w:r>
          </w:p>
        </w:tc>
        <w:tc>
          <w:tcPr>
            <w:tcW w:w="1260" w:type="dxa"/>
            <w:tcBorders>
              <w:top w:val="nil"/>
              <w:left w:val="nil"/>
              <w:bottom w:val="nil"/>
              <w:right w:val="nil"/>
            </w:tcBorders>
            <w:vAlign w:val="bottom"/>
          </w:tcPr>
          <w:p>
            <w:pPr>
              <w:pStyle w:val="yTableNAm"/>
            </w:pPr>
            <w:r>
              <w:t>341.00</w:t>
            </w:r>
          </w:p>
        </w:tc>
        <w:tc>
          <w:tcPr>
            <w:tcW w:w="1206" w:type="dxa"/>
            <w:tcBorders>
              <w:top w:val="nil"/>
              <w:left w:val="nil"/>
              <w:bottom w:val="nil"/>
              <w:right w:val="nil"/>
            </w:tcBorders>
            <w:vAlign w:val="bottom"/>
          </w:tcPr>
          <w:p>
            <w:pPr>
              <w:pStyle w:val="yTableNAm"/>
            </w:pPr>
            <w:r>
              <w:t>662.00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(iii)</w:t>
            </w:r>
            <w:r>
              <w:tab/>
              <w:t>to settle the index of a transcript for use upon the hearing of an appeal</w:t>
            </w:r>
          </w:p>
        </w:tc>
        <w:tc>
          <w:tcPr>
            <w:tcW w:w="1260" w:type="dxa"/>
            <w:tcBorders>
              <w:top w:val="nil"/>
              <w:left w:val="nil"/>
              <w:bottom w:val="nil"/>
              <w:right w:val="nil"/>
            </w:tcBorders>
            <w:vAlign w:val="bottom"/>
          </w:tcPr>
          <w:p>
            <w:pPr>
              <w:pStyle w:val="yTableNAm"/>
            </w:pPr>
            <w:r>
              <w:t>341.00</w:t>
            </w:r>
          </w:p>
        </w:tc>
        <w:tc>
          <w:tcPr>
            <w:tcW w:w="1206" w:type="dxa"/>
            <w:tcBorders>
              <w:top w:val="nil"/>
              <w:left w:val="nil"/>
              <w:bottom w:val="nil"/>
              <w:right w:val="nil"/>
            </w:tcBorders>
            <w:vAlign w:val="bottom"/>
          </w:tcPr>
          <w:p>
            <w:pPr>
              <w:pStyle w:val="yTableNAm"/>
            </w:pPr>
            <w:r>
              <w:t>662.00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(iv)</w:t>
            </w:r>
            <w:r>
              <w:tab/>
              <w:t>on a reference to a registrar in admiralty proceedings</w:t>
            </w:r>
          </w:p>
        </w:tc>
        <w:tc>
          <w:tcPr>
            <w:tcW w:w="1260" w:type="dxa"/>
            <w:tcBorders>
              <w:top w:val="nil"/>
              <w:left w:val="nil"/>
              <w:bottom w:val="nil"/>
              <w:right w:val="nil"/>
            </w:tcBorders>
            <w:vAlign w:val="bottom"/>
          </w:tcPr>
          <w:p>
            <w:pPr>
              <w:pStyle w:val="yTableNAm"/>
            </w:pPr>
            <w:r>
              <w:t>341.00</w:t>
            </w:r>
          </w:p>
        </w:tc>
        <w:tc>
          <w:tcPr>
            <w:tcW w:w="1206" w:type="dxa"/>
            <w:tcBorders>
              <w:top w:val="nil"/>
              <w:left w:val="nil"/>
              <w:bottom w:val="nil"/>
              <w:right w:val="nil"/>
            </w:tcBorders>
            <w:vAlign w:val="bottom"/>
          </w:tcPr>
          <w:p>
            <w:pPr>
              <w:pStyle w:val="yTableNAm"/>
            </w:pPr>
            <w:r>
              <w:t>662.00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(c)</w:t>
            </w:r>
            <w:r>
              <w:tab/>
              <w:t xml:space="preserve">On an appointment before a judge, master or registrar for mediation </w:t>
            </w:r>
          </w:p>
        </w:tc>
        <w:tc>
          <w:tcPr>
            <w:tcW w:w="1260" w:type="dxa"/>
            <w:tcBorders>
              <w:top w:val="nil"/>
              <w:left w:val="nil"/>
              <w:bottom w:val="nil"/>
              <w:right w:val="nil"/>
            </w:tcBorders>
            <w:vAlign w:val="bottom"/>
          </w:tcPr>
          <w:p>
            <w:pPr>
              <w:pStyle w:val="yTableNAm"/>
            </w:pPr>
            <w:r>
              <w:t>341.00</w:t>
            </w:r>
          </w:p>
        </w:tc>
        <w:tc>
          <w:tcPr>
            <w:tcW w:w="1206" w:type="dxa"/>
            <w:tcBorders>
              <w:top w:val="nil"/>
              <w:left w:val="nil"/>
              <w:bottom w:val="nil"/>
              <w:right w:val="nil"/>
            </w:tcBorders>
            <w:vAlign w:val="bottom"/>
          </w:tcPr>
          <w:p>
            <w:pPr>
              <w:pStyle w:val="yTableNAm"/>
            </w:pPr>
            <w:r>
              <w:t>662.00</w:t>
            </w:r>
          </w:p>
        </w:tc>
        <w:tc>
          <w:tcPr>
            <w:tcW w:w="1229" w:type="dxa"/>
            <w:tcBorders>
              <w:top w:val="nil"/>
              <w:left w:val="nil"/>
              <w:bottom w:val="nil"/>
              <w:right w:val="nil"/>
            </w:tcBorders>
            <w:vAlign w:val="bottom"/>
          </w:tcPr>
          <w:p>
            <w:pPr>
              <w:pStyle w:val="yTableNAm"/>
            </w:pPr>
            <w:r>
              <w:t>0.00</w:t>
            </w:r>
          </w:p>
        </w:tc>
      </w:tr>
      <w:tr>
        <w:trPr>
          <w:cantSplit/>
          <w:trHeight w:val="802"/>
        </w:trPr>
        <w:tc>
          <w:tcPr>
            <w:tcW w:w="700" w:type="dxa"/>
            <w:tcBorders>
              <w:top w:val="nil"/>
              <w:left w:val="nil"/>
              <w:bottom w:val="nil"/>
              <w:right w:val="nil"/>
            </w:tcBorders>
          </w:tcPr>
          <w:p>
            <w:pPr>
              <w:pStyle w:val="yTableNAm"/>
              <w:rPr>
                <w:rFonts w:ascii="Arial" w:hAnsi="Arial" w:cs="Arial"/>
                <w:sz w:val="18"/>
                <w:szCs w:val="18"/>
              </w:rPr>
            </w:pPr>
            <w:r>
              <w:rPr>
                <w:rFonts w:ascii="Arial" w:hAnsi="Arial" w:cs="Arial"/>
                <w:sz w:val="18"/>
                <w:szCs w:val="18"/>
              </w:rPr>
              <w:br w:type="page"/>
            </w: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 w:val="left" w:pos="438"/>
              </w:tabs>
              <w:ind w:left="438" w:hanging="438"/>
              <w:rPr>
                <w:rFonts w:ascii="Arial" w:hAnsi="Arial" w:cs="Arial"/>
                <w:sz w:val="18"/>
                <w:szCs w:val="18"/>
              </w:rPr>
            </w:pPr>
            <w:r>
              <w:rPr>
                <w:rFonts w:ascii="Arial" w:hAnsi="Arial" w:cs="Arial"/>
                <w:sz w:val="18"/>
                <w:szCs w:val="18"/>
              </w:rPr>
              <w:t>1.</w:t>
            </w:r>
            <w:r>
              <w:rPr>
                <w:rFonts w:ascii="Arial" w:hAnsi="Arial" w:cs="Arial"/>
                <w:sz w:val="18"/>
                <w:szCs w:val="18"/>
              </w:rPr>
              <w:tab/>
              <w:t>If the registrar is assisted by 1 or more assessors, the daily fee is payable for each assessor if the registrar considers that to be reasonable.</w:t>
            </w:r>
          </w:p>
        </w:tc>
      </w:tr>
      <w:tr>
        <w:trPr>
          <w:cantSplit/>
          <w:trHeight w:val="743"/>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 w:val="left" w:pos="438"/>
              </w:tabs>
              <w:ind w:left="438" w:hanging="438"/>
              <w:rPr>
                <w:rFonts w:ascii="Arial" w:hAnsi="Arial" w:cs="Arial"/>
                <w:sz w:val="18"/>
                <w:szCs w:val="18"/>
              </w:rPr>
            </w:pPr>
            <w:r>
              <w:rPr>
                <w:rFonts w:ascii="Arial" w:hAnsi="Arial" w:cs="Arial"/>
                <w:sz w:val="18"/>
                <w:szCs w:val="18"/>
              </w:rPr>
              <w:t>2.</w:t>
            </w:r>
            <w:r>
              <w:rPr>
                <w:rFonts w:ascii="Arial" w:hAnsi="Arial" w:cs="Arial"/>
                <w:sz w:val="18"/>
                <w:szCs w:val="18"/>
              </w:rPr>
              <w:tab/>
              <w:t>The fee payable to an assessor becomes payable on a day</w:t>
            </w:r>
            <w:r>
              <w:rPr>
                <w:rFonts w:ascii="Arial" w:hAnsi="Arial" w:cs="Arial"/>
                <w:sz w:val="18"/>
                <w:szCs w:val="18"/>
              </w:rPr>
              <w:noBreakHyphen/>
              <w:t>to</w:t>
            </w:r>
            <w:r>
              <w:rPr>
                <w:rFonts w:ascii="Arial" w:hAnsi="Arial" w:cs="Arial"/>
                <w:sz w:val="18"/>
                <w:szCs w:val="18"/>
              </w:rPr>
              <w:noBreakHyphen/>
              <w:t>day basis as the reference proceeds and is payable in the first instance by the claimant.</w:t>
            </w:r>
          </w:p>
        </w:tc>
      </w:tr>
      <w:tr>
        <w:trPr>
          <w:cantSplit/>
          <w:trHeight w:val="567"/>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 w:val="left" w:pos="438"/>
              </w:tabs>
              <w:ind w:left="438" w:hanging="438"/>
              <w:rPr>
                <w:rFonts w:ascii="Arial" w:hAnsi="Arial" w:cs="Arial"/>
                <w:sz w:val="18"/>
                <w:szCs w:val="18"/>
              </w:rPr>
            </w:pPr>
            <w:r>
              <w:rPr>
                <w:rFonts w:ascii="Arial" w:hAnsi="Arial" w:cs="Arial"/>
                <w:sz w:val="18"/>
                <w:szCs w:val="18"/>
              </w:rPr>
              <w:t>3.</w:t>
            </w:r>
            <w:r>
              <w:rPr>
                <w:rFonts w:ascii="Arial" w:hAnsi="Arial" w:cs="Arial"/>
                <w:sz w:val="18"/>
                <w:szCs w:val="18"/>
              </w:rPr>
              <w:tab/>
              <w:t>The fee includes the first day of the hearing of the application or summons and includes any adjournment of the hearing.</w:t>
            </w:r>
          </w:p>
        </w:tc>
      </w:tr>
      <w:tr>
        <w:trPr>
          <w:cantSplit/>
          <w:trHeight w:val="567"/>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 w:val="left" w:pos="438"/>
              </w:tabs>
              <w:ind w:left="438" w:hanging="438"/>
              <w:rPr>
                <w:rFonts w:ascii="Arial" w:hAnsi="Arial" w:cs="Arial"/>
                <w:sz w:val="18"/>
                <w:szCs w:val="18"/>
              </w:rPr>
            </w:pPr>
            <w:r>
              <w:rPr>
                <w:rFonts w:ascii="Arial" w:hAnsi="Arial" w:cs="Arial"/>
                <w:sz w:val="18"/>
                <w:szCs w:val="18"/>
              </w:rPr>
              <w:t>4.</w:t>
            </w:r>
            <w:r>
              <w:rPr>
                <w:rFonts w:ascii="Arial" w:hAnsi="Arial" w:cs="Arial"/>
                <w:sz w:val="18"/>
                <w:szCs w:val="18"/>
              </w:rPr>
              <w:tab/>
              <w:t>The fee is payable in respect of an application for liberty to apply to relist.</w:t>
            </w:r>
          </w:p>
        </w:tc>
      </w:tr>
      <w:tr>
        <w:trPr>
          <w:cantSplit/>
        </w:trPr>
        <w:tc>
          <w:tcPr>
            <w:tcW w:w="700" w:type="dxa"/>
            <w:tcBorders>
              <w:top w:val="nil"/>
              <w:left w:val="nil"/>
              <w:bottom w:val="nil"/>
              <w:right w:val="nil"/>
            </w:tcBorders>
          </w:tcPr>
          <w:p>
            <w:pPr>
              <w:pStyle w:val="yTableNAm"/>
            </w:pPr>
            <w:r>
              <w:t>8.</w:t>
            </w:r>
          </w:p>
        </w:tc>
        <w:tc>
          <w:tcPr>
            <w:tcW w:w="2562" w:type="dxa"/>
            <w:tcBorders>
              <w:top w:val="nil"/>
              <w:left w:val="nil"/>
              <w:bottom w:val="nil"/>
              <w:right w:val="nil"/>
            </w:tcBorders>
          </w:tcPr>
          <w:p>
            <w:pPr>
              <w:pStyle w:val="yTableNAm"/>
            </w:pPr>
            <w:r>
              <w:t>If the hearing of a matter to which item 7 applies is listed for more than 1 day and proceeds for more than the number of days listed, the fee prescribed in item 7 is payable for each additional day or part of a day of a hearing.</w:t>
            </w:r>
          </w:p>
        </w:tc>
        <w:tc>
          <w:tcPr>
            <w:tcW w:w="1260" w:type="dxa"/>
            <w:tcBorders>
              <w:top w:val="nil"/>
              <w:left w:val="nil"/>
              <w:bottom w:val="nil"/>
              <w:right w:val="nil"/>
            </w:tcBorders>
          </w:tcPr>
          <w:p>
            <w:pPr>
              <w:pStyle w:val="yTableNAm"/>
            </w:pPr>
          </w:p>
        </w:tc>
        <w:tc>
          <w:tcPr>
            <w:tcW w:w="1206" w:type="dxa"/>
            <w:tcBorders>
              <w:top w:val="nil"/>
              <w:left w:val="nil"/>
              <w:bottom w:val="nil"/>
              <w:right w:val="nil"/>
            </w:tcBorders>
          </w:tcPr>
          <w:p>
            <w:pPr>
              <w:pStyle w:val="yTableNAm"/>
            </w:pPr>
          </w:p>
        </w:tc>
        <w:tc>
          <w:tcPr>
            <w:tcW w:w="1229"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The daily fee becomes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Pr>
        <w:tc>
          <w:tcPr>
            <w:tcW w:w="700" w:type="dxa"/>
            <w:tcBorders>
              <w:top w:val="nil"/>
              <w:left w:val="nil"/>
              <w:bottom w:val="nil"/>
              <w:right w:val="nil"/>
            </w:tcBorders>
          </w:tcPr>
          <w:p>
            <w:pPr>
              <w:pStyle w:val="yTableNAm"/>
            </w:pPr>
            <w:r>
              <w:t>9.</w:t>
            </w:r>
          </w:p>
        </w:tc>
        <w:tc>
          <w:tcPr>
            <w:tcW w:w="2562" w:type="dxa"/>
            <w:tcBorders>
              <w:top w:val="nil"/>
              <w:left w:val="nil"/>
              <w:bottom w:val="nil"/>
              <w:right w:val="nil"/>
            </w:tcBorders>
          </w:tcPr>
          <w:p>
            <w:pPr>
              <w:pStyle w:val="yTableNAm"/>
            </w:pPr>
            <w:r>
              <w:t>On filing a bill of costs for taxation in a cause or matter or under the</w:t>
            </w:r>
            <w:r>
              <w:rPr>
                <w:i/>
              </w:rPr>
              <w:t xml:space="preserve"> Commercial Arbitration Act 2012</w:t>
            </w:r>
            <w:r>
              <w:t>, or on filing an application for an assessment of a bill of costs under the</w:t>
            </w:r>
            <w:r>
              <w:rPr>
                <w:i/>
              </w:rPr>
              <w:t xml:space="preserve"> Legal Profession Act 2008</w:t>
            </w:r>
            <w:r>
              <w:t> —</w:t>
            </w:r>
          </w:p>
        </w:tc>
        <w:tc>
          <w:tcPr>
            <w:tcW w:w="1260" w:type="dxa"/>
            <w:tcBorders>
              <w:top w:val="nil"/>
              <w:left w:val="nil"/>
              <w:bottom w:val="nil"/>
              <w:right w:val="nil"/>
            </w:tcBorders>
          </w:tcPr>
          <w:p>
            <w:pPr>
              <w:pStyle w:val="yTableNAm"/>
            </w:pPr>
          </w:p>
        </w:tc>
        <w:tc>
          <w:tcPr>
            <w:tcW w:w="1206" w:type="dxa"/>
            <w:tcBorders>
              <w:top w:val="nil"/>
              <w:left w:val="nil"/>
              <w:bottom w:val="nil"/>
              <w:right w:val="nil"/>
            </w:tcBorders>
          </w:tcPr>
          <w:p>
            <w:pPr>
              <w:pStyle w:val="yTableNAm"/>
            </w:pPr>
          </w:p>
        </w:tc>
        <w:tc>
          <w:tcPr>
            <w:tcW w:w="1229"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(a)</w:t>
            </w:r>
            <w:r>
              <w:tab/>
              <w:t xml:space="preserve">lodgment fee </w:t>
            </w:r>
          </w:p>
        </w:tc>
        <w:tc>
          <w:tcPr>
            <w:tcW w:w="1260" w:type="dxa"/>
            <w:tcBorders>
              <w:top w:val="nil"/>
              <w:left w:val="nil"/>
              <w:bottom w:val="nil"/>
              <w:right w:val="nil"/>
            </w:tcBorders>
            <w:vAlign w:val="bottom"/>
          </w:tcPr>
          <w:p>
            <w:pPr>
              <w:pStyle w:val="yTableNAm"/>
            </w:pPr>
            <w:r>
              <w:t>471.00</w:t>
            </w:r>
          </w:p>
        </w:tc>
        <w:tc>
          <w:tcPr>
            <w:tcW w:w="1206" w:type="dxa"/>
            <w:tcBorders>
              <w:top w:val="nil"/>
              <w:left w:val="nil"/>
              <w:bottom w:val="nil"/>
              <w:right w:val="nil"/>
            </w:tcBorders>
            <w:vAlign w:val="bottom"/>
          </w:tcPr>
          <w:p>
            <w:pPr>
              <w:pStyle w:val="yTableNAm"/>
            </w:pPr>
            <w:r>
              <w:t>913.00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(b)</w:t>
            </w:r>
            <w:r>
              <w:tab/>
              <w:t xml:space="preserve">on the setting of an appointment to tax a bill of costs, an additional fee at the rate of </w:t>
            </w:r>
          </w:p>
        </w:tc>
        <w:tc>
          <w:tcPr>
            <w:tcW w:w="1260" w:type="dxa"/>
            <w:tcBorders>
              <w:top w:val="nil"/>
              <w:left w:val="nil"/>
              <w:bottom w:val="nil"/>
              <w:right w:val="nil"/>
            </w:tcBorders>
            <w:vAlign w:val="bottom"/>
          </w:tcPr>
          <w:p>
            <w:pPr>
              <w:pStyle w:val="yTableNAm"/>
            </w:pPr>
            <w:r>
              <w:t>2.50%</w:t>
            </w:r>
          </w:p>
        </w:tc>
        <w:tc>
          <w:tcPr>
            <w:tcW w:w="1206" w:type="dxa"/>
            <w:tcBorders>
              <w:top w:val="nil"/>
              <w:left w:val="nil"/>
              <w:bottom w:val="nil"/>
              <w:right w:val="nil"/>
            </w:tcBorders>
            <w:vAlign w:val="bottom"/>
          </w:tcPr>
          <w:p>
            <w:pPr>
              <w:pStyle w:val="yTableNAm"/>
            </w:pPr>
            <w:r>
              <w:t>2.50%</w:t>
            </w:r>
          </w:p>
        </w:tc>
        <w:tc>
          <w:tcPr>
            <w:tcW w:w="1229" w:type="dxa"/>
            <w:tcBorders>
              <w:top w:val="nil"/>
              <w:left w:val="nil"/>
              <w:bottom w:val="nil"/>
              <w:right w:val="nil"/>
            </w:tcBorders>
            <w:vAlign w:val="bottom"/>
          </w:tcPr>
          <w:p>
            <w:pPr>
              <w:pStyle w:val="yTableNAm"/>
            </w:pPr>
            <w:r>
              <w:t>0.00%</w:t>
            </w:r>
          </w:p>
        </w:tc>
      </w:tr>
      <w:tr>
        <w:trPr>
          <w:cantSplit/>
          <w:trHeight w:val="584"/>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 w:val="left" w:pos="438"/>
              </w:tabs>
              <w:ind w:left="438" w:hanging="438"/>
              <w:rPr>
                <w:rFonts w:ascii="Arial" w:hAnsi="Arial" w:cs="Arial"/>
                <w:sz w:val="18"/>
                <w:szCs w:val="18"/>
              </w:rPr>
            </w:pPr>
            <w:r>
              <w:rPr>
                <w:rFonts w:ascii="Arial" w:hAnsi="Arial" w:cs="Arial"/>
                <w:sz w:val="18"/>
                <w:szCs w:val="18"/>
              </w:rPr>
              <w:t>1.</w:t>
            </w:r>
            <w:r>
              <w:rPr>
                <w:rFonts w:ascii="Arial" w:hAnsi="Arial" w:cs="Arial"/>
                <w:sz w:val="18"/>
                <w:szCs w:val="18"/>
              </w:rPr>
              <w:tab/>
              <w:t>The % rate is to be applied to the amount at which the bill is drawn.</w:t>
            </w:r>
          </w:p>
        </w:tc>
      </w:tr>
      <w:tr>
        <w:trPr>
          <w:cantSplit/>
          <w:trHeight w:val="794"/>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 w:val="left" w:pos="438"/>
              </w:tabs>
              <w:ind w:left="438" w:hanging="438"/>
              <w:rPr>
                <w:rFonts w:ascii="Arial" w:hAnsi="Arial" w:cs="Arial"/>
                <w:sz w:val="18"/>
                <w:szCs w:val="18"/>
              </w:rPr>
            </w:pPr>
            <w:r>
              <w:rPr>
                <w:rFonts w:ascii="Arial" w:hAnsi="Arial" w:cs="Arial"/>
                <w:sz w:val="18"/>
                <w:szCs w:val="18"/>
              </w:rPr>
              <w:t>2.</w:t>
            </w:r>
            <w:r>
              <w:rPr>
                <w:rFonts w:ascii="Arial" w:hAnsi="Arial" w:cs="Arial"/>
                <w:sz w:val="18"/>
                <w:szCs w:val="18"/>
              </w:rPr>
              <w:tab/>
              <w:t>The taxing officer must allow against the person chargeable with the costs as taxed, taxing fees at the rate prescribed in paragraph (b) of the amount found due on taxation.</w:t>
            </w:r>
          </w:p>
        </w:tc>
      </w:tr>
      <w:tr>
        <w:trPr>
          <w:cantSplit/>
          <w:trHeight w:val="743"/>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 w:val="left" w:pos="438"/>
              </w:tabs>
              <w:ind w:left="438" w:hanging="438"/>
              <w:rPr>
                <w:rFonts w:ascii="Arial" w:hAnsi="Arial" w:cs="Arial"/>
                <w:sz w:val="18"/>
                <w:szCs w:val="18"/>
              </w:rPr>
            </w:pPr>
            <w:r>
              <w:rPr>
                <w:rFonts w:ascii="Arial" w:hAnsi="Arial" w:cs="Arial"/>
                <w:sz w:val="18"/>
                <w:szCs w:val="18"/>
              </w:rPr>
              <w:t>3.</w:t>
            </w:r>
            <w:r>
              <w:rPr>
                <w:rFonts w:ascii="Arial" w:hAnsi="Arial" w:cs="Arial"/>
                <w:sz w:val="18"/>
                <w:szCs w:val="18"/>
              </w:rPr>
              <w:tab/>
              <w:t xml:space="preserve">If the parties agree on the bill of costs in a cause or matter or under the </w:t>
            </w:r>
            <w:r>
              <w:rPr>
                <w:rFonts w:ascii="Arial" w:hAnsi="Arial" w:cs="Arial"/>
                <w:i/>
                <w:sz w:val="18"/>
                <w:szCs w:val="18"/>
              </w:rPr>
              <w:t>Legal Profession Act 2008</w:t>
            </w:r>
            <w:r>
              <w:rPr>
                <w:rFonts w:ascii="Arial" w:hAnsi="Arial" w:cs="Arial"/>
                <w:sz w:val="18"/>
                <w:szCs w:val="18"/>
              </w:rPr>
              <w:t xml:space="preserve"> or the </w:t>
            </w:r>
            <w:r>
              <w:rPr>
                <w:rFonts w:ascii="Arial" w:hAnsi="Arial" w:cs="Arial"/>
                <w:i/>
                <w:sz w:val="18"/>
                <w:szCs w:val="18"/>
              </w:rPr>
              <w:t>Commercial Arbitration Act 2012</w:t>
            </w:r>
            <w:r>
              <w:rPr>
                <w:rFonts w:ascii="Arial" w:hAnsi="Arial" w:cs="Arial"/>
                <w:sz w:val="18"/>
                <w:szCs w:val="18"/>
              </w:rPr>
              <w:t xml:space="preserve"> and the appointment is cancelled, the following percentage of the fee paid is to be refunded — </w:t>
            </w:r>
          </w:p>
          <w:p>
            <w:pPr>
              <w:pStyle w:val="yTableNAm"/>
              <w:tabs>
                <w:tab w:val="clear" w:pos="567"/>
                <w:tab w:val="left" w:pos="438"/>
                <w:tab w:val="left" w:pos="857"/>
              </w:tabs>
              <w:ind w:left="872" w:hanging="872"/>
              <w:rPr>
                <w:rFonts w:ascii="Arial" w:hAnsi="Arial" w:cs="Arial"/>
                <w:sz w:val="18"/>
                <w:szCs w:val="18"/>
              </w:rPr>
            </w:pPr>
            <w:r>
              <w:rPr>
                <w:rFonts w:ascii="Arial" w:hAnsi="Arial" w:cs="Arial"/>
                <w:sz w:val="18"/>
                <w:szCs w:val="18"/>
              </w:rPr>
              <w:tab/>
              <w:t>(a)</w:t>
            </w:r>
            <w:r>
              <w:rPr>
                <w:rFonts w:ascii="Arial" w:hAnsi="Arial" w:cs="Arial"/>
                <w:sz w:val="18"/>
                <w:szCs w:val="18"/>
              </w:rPr>
              <w:tab/>
              <w:t>if the appointment is cancelled less than 3 days before the day of the appointment, nil;</w:t>
            </w:r>
          </w:p>
          <w:p>
            <w:pPr>
              <w:pStyle w:val="yTableNAm"/>
              <w:tabs>
                <w:tab w:val="clear" w:pos="567"/>
                <w:tab w:val="left" w:pos="438"/>
                <w:tab w:val="left" w:pos="857"/>
              </w:tabs>
              <w:ind w:left="872" w:hanging="872"/>
              <w:rPr>
                <w:rFonts w:ascii="Arial" w:hAnsi="Arial" w:cs="Arial"/>
                <w:sz w:val="18"/>
                <w:szCs w:val="18"/>
              </w:rPr>
            </w:pPr>
            <w:r>
              <w:rPr>
                <w:rFonts w:ascii="Arial" w:hAnsi="Arial" w:cs="Arial"/>
                <w:sz w:val="18"/>
                <w:szCs w:val="18"/>
              </w:rPr>
              <w:tab/>
              <w:t>(b)</w:t>
            </w:r>
            <w:r>
              <w:rPr>
                <w:rFonts w:ascii="Arial" w:hAnsi="Arial" w:cs="Arial"/>
                <w:sz w:val="18"/>
                <w:szCs w:val="18"/>
              </w:rPr>
              <w:tab/>
              <w:t>if the appointment is cancelled 3 days or more and less than 10 days before the day of the appointment, 50%;</w:t>
            </w:r>
          </w:p>
          <w:p>
            <w:pPr>
              <w:pStyle w:val="yTableNAm"/>
              <w:tabs>
                <w:tab w:val="clear" w:pos="567"/>
                <w:tab w:val="left" w:pos="438"/>
                <w:tab w:val="left" w:pos="857"/>
              </w:tabs>
              <w:ind w:left="872" w:hanging="872"/>
              <w:rPr>
                <w:rFonts w:ascii="Arial" w:hAnsi="Arial" w:cs="Arial"/>
                <w:sz w:val="18"/>
                <w:szCs w:val="18"/>
              </w:rPr>
            </w:pPr>
            <w:r>
              <w:rPr>
                <w:rFonts w:ascii="Arial" w:hAnsi="Arial" w:cs="Arial"/>
                <w:sz w:val="18"/>
                <w:szCs w:val="18"/>
              </w:rPr>
              <w:tab/>
              <w:t>(c)</w:t>
            </w:r>
            <w:r>
              <w:rPr>
                <w:rFonts w:ascii="Arial" w:hAnsi="Arial" w:cs="Arial"/>
                <w:sz w:val="18"/>
                <w:szCs w:val="18"/>
              </w:rPr>
              <w:tab/>
              <w:t>if the appointment is cancelled 10 days or more before the day of the appointment, 80%.</w:t>
            </w:r>
          </w:p>
        </w:tc>
      </w:tr>
      <w:tr>
        <w:trPr>
          <w:cantSplit/>
        </w:trPr>
        <w:tc>
          <w:tcPr>
            <w:tcW w:w="700" w:type="dxa"/>
            <w:tcBorders>
              <w:top w:val="nil"/>
              <w:left w:val="nil"/>
              <w:bottom w:val="nil"/>
              <w:right w:val="nil"/>
            </w:tcBorders>
          </w:tcPr>
          <w:p>
            <w:pPr>
              <w:pStyle w:val="yTableNAm"/>
            </w:pPr>
            <w:r>
              <w:t>10.</w:t>
            </w:r>
          </w:p>
        </w:tc>
        <w:tc>
          <w:tcPr>
            <w:tcW w:w="2562" w:type="dxa"/>
            <w:tcBorders>
              <w:top w:val="nil"/>
              <w:left w:val="nil"/>
              <w:bottom w:val="nil"/>
              <w:right w:val="nil"/>
            </w:tcBorders>
          </w:tcPr>
          <w:p>
            <w:pPr>
              <w:pStyle w:val="yTableNAm"/>
            </w:pPr>
            <w:r>
              <w:t>For searching any proceeding or record other than a search made by or on behalf of a party to the proceeding</w:t>
            </w:r>
          </w:p>
        </w:tc>
        <w:tc>
          <w:tcPr>
            <w:tcW w:w="1260" w:type="dxa"/>
            <w:tcBorders>
              <w:top w:val="nil"/>
              <w:left w:val="nil"/>
              <w:bottom w:val="nil"/>
              <w:right w:val="nil"/>
            </w:tcBorders>
            <w:vAlign w:val="bottom"/>
          </w:tcPr>
          <w:p>
            <w:pPr>
              <w:pStyle w:val="yTableNAm"/>
            </w:pPr>
            <w:r>
              <w:t>49.00</w:t>
            </w:r>
          </w:p>
        </w:tc>
        <w:tc>
          <w:tcPr>
            <w:tcW w:w="1206" w:type="dxa"/>
            <w:tcBorders>
              <w:top w:val="nil"/>
              <w:left w:val="nil"/>
              <w:bottom w:val="nil"/>
              <w:right w:val="nil"/>
            </w:tcBorders>
            <w:vAlign w:val="bottom"/>
          </w:tcPr>
          <w:p>
            <w:pPr>
              <w:pStyle w:val="yTableNAm"/>
            </w:pPr>
            <w:r>
              <w:t>49.00</w:t>
            </w:r>
          </w:p>
        </w:tc>
        <w:tc>
          <w:tcPr>
            <w:tcW w:w="1229" w:type="dxa"/>
            <w:tcBorders>
              <w:top w:val="nil"/>
              <w:left w:val="nil"/>
              <w:bottom w:val="nil"/>
              <w:right w:val="nil"/>
            </w:tcBorders>
            <w:vAlign w:val="bottom"/>
          </w:tcPr>
          <w:p>
            <w:pPr>
              <w:pStyle w:val="yTableNAm"/>
            </w:pPr>
            <w:r>
              <w:t>14.70</w:t>
            </w:r>
          </w:p>
        </w:tc>
      </w:tr>
      <w:tr>
        <w:trPr>
          <w:cantSplit/>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But if the search is made by a recognised service approved by the Attorney General: $2.20.</w:t>
            </w:r>
          </w:p>
        </w:tc>
      </w:tr>
      <w:tr>
        <w:trPr>
          <w:cantSplit/>
        </w:trPr>
        <w:tc>
          <w:tcPr>
            <w:tcW w:w="700" w:type="dxa"/>
            <w:tcBorders>
              <w:top w:val="nil"/>
              <w:left w:val="nil"/>
              <w:bottom w:val="nil"/>
              <w:right w:val="nil"/>
            </w:tcBorders>
          </w:tcPr>
          <w:p>
            <w:pPr>
              <w:pStyle w:val="yTableNAm"/>
            </w:pPr>
            <w:r>
              <w:t>11.</w:t>
            </w:r>
          </w:p>
        </w:tc>
        <w:tc>
          <w:tcPr>
            <w:tcW w:w="2562" w:type="dxa"/>
            <w:tcBorders>
              <w:top w:val="nil"/>
              <w:left w:val="nil"/>
              <w:bottom w:val="nil"/>
              <w:right w:val="nil"/>
            </w:tcBorders>
          </w:tcPr>
          <w:p>
            <w:pPr>
              <w:pStyle w:val="yTableNAm"/>
              <w:tabs>
                <w:tab w:val="clear" w:pos="567"/>
                <w:tab w:val="left" w:pos="438"/>
              </w:tabs>
              <w:ind w:left="438" w:hanging="438"/>
            </w:pPr>
            <w:r>
              <w:t>(a)</w:t>
            </w:r>
            <w:r>
              <w:tab/>
              <w:t xml:space="preserve">On an application for the production of records or documents that are required to be produced to any court, tribunal, arbitrator or umpire </w:t>
            </w:r>
          </w:p>
        </w:tc>
        <w:tc>
          <w:tcPr>
            <w:tcW w:w="1260" w:type="dxa"/>
            <w:tcBorders>
              <w:top w:val="nil"/>
              <w:left w:val="nil"/>
              <w:bottom w:val="nil"/>
              <w:right w:val="nil"/>
            </w:tcBorders>
            <w:vAlign w:val="bottom"/>
          </w:tcPr>
          <w:p>
            <w:pPr>
              <w:pStyle w:val="yTableNAm"/>
            </w:pPr>
            <w:r>
              <w:t>72.00</w:t>
            </w:r>
          </w:p>
        </w:tc>
        <w:tc>
          <w:tcPr>
            <w:tcW w:w="1206" w:type="dxa"/>
            <w:tcBorders>
              <w:top w:val="nil"/>
              <w:left w:val="nil"/>
              <w:bottom w:val="nil"/>
              <w:right w:val="nil"/>
            </w:tcBorders>
            <w:vAlign w:val="bottom"/>
          </w:tcPr>
          <w:p>
            <w:pPr>
              <w:pStyle w:val="yTableNAm"/>
            </w:pPr>
            <w:r>
              <w:t>72.00</w:t>
            </w:r>
          </w:p>
        </w:tc>
        <w:tc>
          <w:tcPr>
            <w:tcW w:w="1229" w:type="dxa"/>
            <w:tcBorders>
              <w:top w:val="nil"/>
              <w:left w:val="nil"/>
              <w:bottom w:val="nil"/>
              <w:right w:val="nil"/>
            </w:tcBorders>
            <w:vAlign w:val="bottom"/>
          </w:tcPr>
          <w:p>
            <w:pPr>
              <w:pStyle w:val="yTableNAm"/>
            </w:pPr>
            <w:r>
              <w:t>21.60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(b)</w:t>
            </w:r>
            <w:r>
              <w:tab/>
              <w:t xml:space="preserve">If an officer is required to attend at any court or place out of the Supreme Court building, the officer’s reasonable expenses and, in addition, for each hour or part of an hour when the officer is necessarily absent from the officer’s office </w:t>
            </w:r>
          </w:p>
        </w:tc>
        <w:tc>
          <w:tcPr>
            <w:tcW w:w="1260" w:type="dxa"/>
            <w:tcBorders>
              <w:top w:val="nil"/>
              <w:left w:val="nil"/>
              <w:bottom w:val="nil"/>
              <w:right w:val="nil"/>
            </w:tcBorders>
            <w:vAlign w:val="bottom"/>
          </w:tcPr>
          <w:p>
            <w:pPr>
              <w:pStyle w:val="yTableNAm"/>
            </w:pPr>
            <w:r>
              <w:t>104.50</w:t>
            </w:r>
          </w:p>
        </w:tc>
        <w:tc>
          <w:tcPr>
            <w:tcW w:w="1206" w:type="dxa"/>
            <w:tcBorders>
              <w:top w:val="nil"/>
              <w:left w:val="nil"/>
              <w:bottom w:val="nil"/>
              <w:right w:val="nil"/>
            </w:tcBorders>
            <w:vAlign w:val="bottom"/>
          </w:tcPr>
          <w:p>
            <w:pPr>
              <w:pStyle w:val="yTableNAm"/>
            </w:pPr>
            <w:r>
              <w:t>104.50</w:t>
            </w:r>
          </w:p>
        </w:tc>
        <w:tc>
          <w:tcPr>
            <w:tcW w:w="1229" w:type="dxa"/>
            <w:tcBorders>
              <w:top w:val="nil"/>
              <w:left w:val="nil"/>
              <w:bottom w:val="nil"/>
              <w:right w:val="nil"/>
            </w:tcBorders>
            <w:vAlign w:val="bottom"/>
          </w:tcPr>
          <w:p>
            <w:pPr>
              <w:pStyle w:val="yTableNAm"/>
            </w:pPr>
            <w:r>
              <w:t>31.30</w:t>
            </w:r>
          </w:p>
        </w:tc>
      </w:tr>
      <w:tr>
        <w:trPr>
          <w:cantSplit/>
        </w:trPr>
        <w:tc>
          <w:tcPr>
            <w:tcW w:w="700" w:type="dxa"/>
            <w:tcBorders>
              <w:top w:val="nil"/>
              <w:left w:val="nil"/>
              <w:bottom w:val="nil"/>
              <w:right w:val="nil"/>
            </w:tcBorders>
          </w:tcPr>
          <w:p>
            <w:pPr>
              <w:pStyle w:val="yTableNAm"/>
            </w:pPr>
            <w:r>
              <w:t>12.</w:t>
            </w:r>
          </w:p>
        </w:tc>
        <w:tc>
          <w:tcPr>
            <w:tcW w:w="2562" w:type="dxa"/>
            <w:tcBorders>
              <w:top w:val="nil"/>
              <w:left w:val="nil"/>
              <w:bottom w:val="nil"/>
              <w:right w:val="nil"/>
            </w:tcBorders>
          </w:tcPr>
          <w:p>
            <w:pPr>
              <w:pStyle w:val="yTableNAm"/>
              <w:tabs>
                <w:tab w:val="clear" w:pos="567"/>
                <w:tab w:val="left" w:pos="438"/>
              </w:tabs>
              <w:ind w:left="438" w:hanging="438"/>
            </w:pPr>
            <w:r>
              <w:t>(a)</w:t>
            </w:r>
            <w:r>
              <w:tab/>
              <w:t xml:space="preserve">For a copy of a document of any kind or an exhibit, including marking as an office copy if required, for each page or part of a page </w:t>
            </w:r>
          </w:p>
        </w:tc>
        <w:tc>
          <w:tcPr>
            <w:tcW w:w="1260" w:type="dxa"/>
            <w:tcBorders>
              <w:top w:val="nil"/>
              <w:left w:val="nil"/>
              <w:bottom w:val="nil"/>
              <w:right w:val="nil"/>
            </w:tcBorders>
            <w:vAlign w:val="bottom"/>
          </w:tcPr>
          <w:p>
            <w:pPr>
              <w:pStyle w:val="yTableNAm"/>
            </w:pPr>
            <w:r>
              <w:t>2.05</w:t>
            </w:r>
          </w:p>
        </w:tc>
        <w:tc>
          <w:tcPr>
            <w:tcW w:w="1206" w:type="dxa"/>
            <w:tcBorders>
              <w:top w:val="nil"/>
              <w:left w:val="nil"/>
              <w:bottom w:val="nil"/>
              <w:right w:val="nil"/>
            </w:tcBorders>
            <w:vAlign w:val="bottom"/>
          </w:tcPr>
          <w:p>
            <w:pPr>
              <w:pStyle w:val="yTableNAm"/>
            </w:pPr>
            <w:r>
              <w:t>2.05</w:t>
            </w:r>
          </w:p>
        </w:tc>
        <w:tc>
          <w:tcPr>
            <w:tcW w:w="1229" w:type="dxa"/>
            <w:tcBorders>
              <w:top w:val="nil"/>
              <w:left w:val="nil"/>
              <w:bottom w:val="nil"/>
              <w:right w:val="nil"/>
            </w:tcBorders>
            <w:vAlign w:val="bottom"/>
          </w:tcPr>
          <w:p>
            <w:pPr>
              <w:pStyle w:val="yTableNAm"/>
            </w:pPr>
            <w:r>
              <w:t>0.60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(b)</w:t>
            </w:r>
            <w:r>
              <w:tab/>
              <w:t>For a copy of reasons for judgment —</w:t>
            </w:r>
          </w:p>
          <w:p>
            <w:pPr>
              <w:pStyle w:val="yTableNAm"/>
              <w:tabs>
                <w:tab w:val="clear" w:pos="567"/>
                <w:tab w:val="left" w:pos="466"/>
                <w:tab w:val="left" w:pos="875"/>
              </w:tabs>
              <w:ind w:left="872" w:hanging="872"/>
            </w:pPr>
            <w:r>
              <w:tab/>
              <w:t>(i)</w:t>
            </w:r>
            <w:r>
              <w:tab/>
              <w:t xml:space="preserve">for each copy issued to a person not a party to the proceedings and for each copy in excess of 1 copy issued to a party to the proceedings </w:t>
            </w:r>
          </w:p>
        </w:tc>
        <w:tc>
          <w:tcPr>
            <w:tcW w:w="1260" w:type="dxa"/>
            <w:tcBorders>
              <w:top w:val="nil"/>
              <w:left w:val="nil"/>
              <w:bottom w:val="nil"/>
              <w:right w:val="nil"/>
            </w:tcBorders>
            <w:vAlign w:val="bottom"/>
          </w:tcPr>
          <w:p>
            <w:pPr>
              <w:pStyle w:val="yTableNAm"/>
            </w:pPr>
            <w:r>
              <w:t>17.05</w:t>
            </w:r>
          </w:p>
        </w:tc>
        <w:tc>
          <w:tcPr>
            <w:tcW w:w="1206" w:type="dxa"/>
            <w:tcBorders>
              <w:top w:val="nil"/>
              <w:left w:val="nil"/>
              <w:bottom w:val="nil"/>
              <w:right w:val="nil"/>
            </w:tcBorders>
            <w:vAlign w:val="bottom"/>
          </w:tcPr>
          <w:p>
            <w:pPr>
              <w:pStyle w:val="yTableNAm"/>
            </w:pPr>
            <w:r>
              <w:t>17.05</w:t>
            </w:r>
          </w:p>
        </w:tc>
        <w:tc>
          <w:tcPr>
            <w:tcW w:w="1229" w:type="dxa"/>
            <w:tcBorders>
              <w:top w:val="nil"/>
              <w:left w:val="nil"/>
              <w:bottom w:val="nil"/>
              <w:right w:val="nil"/>
            </w:tcBorders>
            <w:vAlign w:val="bottom"/>
          </w:tcPr>
          <w:p>
            <w:pPr>
              <w:pStyle w:val="yTableNAm"/>
            </w:pPr>
            <w:r>
              <w:t>5.10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(ii)</w:t>
            </w:r>
            <w:r>
              <w:tab/>
              <w:t xml:space="preserve">for each copy consisting of 10 or more pages an additional fee per page of </w:t>
            </w:r>
          </w:p>
        </w:tc>
        <w:tc>
          <w:tcPr>
            <w:tcW w:w="1260" w:type="dxa"/>
            <w:tcBorders>
              <w:top w:val="nil"/>
              <w:left w:val="nil"/>
              <w:bottom w:val="nil"/>
              <w:right w:val="nil"/>
            </w:tcBorders>
            <w:vAlign w:val="bottom"/>
          </w:tcPr>
          <w:p>
            <w:pPr>
              <w:pStyle w:val="yTableNAm"/>
            </w:pPr>
            <w:r>
              <w:t>2.20</w:t>
            </w:r>
          </w:p>
        </w:tc>
        <w:tc>
          <w:tcPr>
            <w:tcW w:w="1206" w:type="dxa"/>
            <w:tcBorders>
              <w:top w:val="nil"/>
              <w:left w:val="nil"/>
              <w:bottom w:val="nil"/>
              <w:right w:val="nil"/>
            </w:tcBorders>
            <w:vAlign w:val="bottom"/>
          </w:tcPr>
          <w:p>
            <w:pPr>
              <w:pStyle w:val="yTableNAm"/>
            </w:pPr>
            <w:r>
              <w:t>2.20</w:t>
            </w:r>
          </w:p>
        </w:tc>
        <w:tc>
          <w:tcPr>
            <w:tcW w:w="1229" w:type="dxa"/>
            <w:tcBorders>
              <w:top w:val="nil"/>
              <w:left w:val="nil"/>
              <w:bottom w:val="nil"/>
              <w:right w:val="nil"/>
            </w:tcBorders>
            <w:vAlign w:val="bottom"/>
          </w:tcPr>
          <w:p>
            <w:pPr>
              <w:pStyle w:val="yTableNAm"/>
            </w:pPr>
            <w:r>
              <w:t>0.65</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(c)</w:t>
            </w:r>
            <w:r>
              <w:tab/>
              <w:t xml:space="preserve">For certifying under seal that a document is a true copy, an additional fee of </w:t>
            </w:r>
          </w:p>
        </w:tc>
        <w:tc>
          <w:tcPr>
            <w:tcW w:w="1260" w:type="dxa"/>
            <w:tcBorders>
              <w:top w:val="nil"/>
              <w:left w:val="nil"/>
              <w:bottom w:val="nil"/>
              <w:right w:val="nil"/>
            </w:tcBorders>
            <w:vAlign w:val="bottom"/>
          </w:tcPr>
          <w:p>
            <w:pPr>
              <w:pStyle w:val="yTableNAm"/>
            </w:pPr>
            <w:r>
              <w:t>23.50</w:t>
            </w:r>
          </w:p>
        </w:tc>
        <w:tc>
          <w:tcPr>
            <w:tcW w:w="1206" w:type="dxa"/>
            <w:tcBorders>
              <w:top w:val="nil"/>
              <w:left w:val="nil"/>
              <w:bottom w:val="nil"/>
              <w:right w:val="nil"/>
            </w:tcBorders>
            <w:vAlign w:val="bottom"/>
          </w:tcPr>
          <w:p>
            <w:pPr>
              <w:pStyle w:val="yTableNAm"/>
            </w:pPr>
            <w:r>
              <w:t>23.50</w:t>
            </w:r>
          </w:p>
        </w:tc>
        <w:tc>
          <w:tcPr>
            <w:tcW w:w="1229" w:type="dxa"/>
            <w:tcBorders>
              <w:top w:val="nil"/>
              <w:left w:val="nil"/>
              <w:bottom w:val="nil"/>
              <w:right w:val="nil"/>
            </w:tcBorders>
            <w:vAlign w:val="bottom"/>
          </w:tcPr>
          <w:p>
            <w:pPr>
              <w:pStyle w:val="yTableNAm"/>
            </w:pPr>
            <w:r>
              <w:t>7.05</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(d)</w:t>
            </w:r>
            <w:r>
              <w:tab/>
              <w:t xml:space="preserve">For a certificate under the hand of a registrar </w:t>
            </w:r>
          </w:p>
        </w:tc>
        <w:tc>
          <w:tcPr>
            <w:tcW w:w="1260" w:type="dxa"/>
            <w:tcBorders>
              <w:top w:val="nil"/>
              <w:left w:val="nil"/>
              <w:bottom w:val="nil"/>
              <w:right w:val="nil"/>
            </w:tcBorders>
            <w:vAlign w:val="bottom"/>
          </w:tcPr>
          <w:p>
            <w:pPr>
              <w:pStyle w:val="yTableNAm"/>
            </w:pPr>
            <w:r>
              <w:t>39.20</w:t>
            </w:r>
          </w:p>
        </w:tc>
        <w:tc>
          <w:tcPr>
            <w:tcW w:w="1206" w:type="dxa"/>
            <w:tcBorders>
              <w:top w:val="nil"/>
              <w:left w:val="nil"/>
              <w:bottom w:val="nil"/>
              <w:right w:val="nil"/>
            </w:tcBorders>
            <w:vAlign w:val="bottom"/>
          </w:tcPr>
          <w:p>
            <w:pPr>
              <w:pStyle w:val="yTableNAm"/>
            </w:pPr>
            <w:r>
              <w:t>39.20</w:t>
            </w:r>
          </w:p>
        </w:tc>
        <w:tc>
          <w:tcPr>
            <w:tcW w:w="1229" w:type="dxa"/>
            <w:tcBorders>
              <w:top w:val="nil"/>
              <w:left w:val="nil"/>
              <w:bottom w:val="nil"/>
              <w:right w:val="nil"/>
            </w:tcBorders>
            <w:vAlign w:val="bottom"/>
          </w:tcPr>
          <w:p>
            <w:pPr>
              <w:pStyle w:val="yTableNAm"/>
            </w:pPr>
            <w:r>
              <w:t>11.75</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(e)</w:t>
            </w:r>
            <w:r>
              <w:tab/>
              <w:t xml:space="preserve">For sealing a warrant of arrest release, commission for the appraisement or sale of property or for the appraisement or sale in admiralty proceedings </w:t>
            </w:r>
          </w:p>
        </w:tc>
        <w:tc>
          <w:tcPr>
            <w:tcW w:w="1260" w:type="dxa"/>
            <w:tcBorders>
              <w:top w:val="nil"/>
              <w:left w:val="nil"/>
              <w:bottom w:val="nil"/>
              <w:right w:val="nil"/>
            </w:tcBorders>
            <w:vAlign w:val="bottom"/>
          </w:tcPr>
          <w:p>
            <w:pPr>
              <w:pStyle w:val="yTableNAm"/>
            </w:pPr>
            <w:r>
              <w:t>96.50</w:t>
            </w:r>
          </w:p>
        </w:tc>
        <w:tc>
          <w:tcPr>
            <w:tcW w:w="1206" w:type="dxa"/>
            <w:tcBorders>
              <w:top w:val="nil"/>
              <w:left w:val="nil"/>
              <w:bottom w:val="nil"/>
              <w:right w:val="nil"/>
            </w:tcBorders>
            <w:vAlign w:val="bottom"/>
          </w:tcPr>
          <w:p>
            <w:pPr>
              <w:pStyle w:val="yTableNAm"/>
            </w:pPr>
            <w:r>
              <w:t>96.50</w:t>
            </w:r>
          </w:p>
        </w:tc>
        <w:tc>
          <w:tcPr>
            <w:tcW w:w="1229" w:type="dxa"/>
            <w:tcBorders>
              <w:top w:val="nil"/>
              <w:left w:val="nil"/>
              <w:bottom w:val="nil"/>
              <w:right w:val="nil"/>
            </w:tcBorders>
            <w:vAlign w:val="bottom"/>
          </w:tcPr>
          <w:p>
            <w:pPr>
              <w:pStyle w:val="yTableNAm"/>
            </w:pPr>
            <w:r>
              <w:t>29.00</w:t>
            </w:r>
          </w:p>
        </w:tc>
      </w:tr>
      <w:tr>
        <w:trPr>
          <w:cantSplit/>
        </w:trPr>
        <w:tc>
          <w:tcPr>
            <w:tcW w:w="700" w:type="dxa"/>
            <w:tcBorders>
              <w:top w:val="nil"/>
              <w:left w:val="nil"/>
              <w:bottom w:val="nil"/>
              <w:right w:val="nil"/>
            </w:tcBorders>
          </w:tcPr>
          <w:p>
            <w:pPr>
              <w:pStyle w:val="yTableNAm"/>
            </w:pPr>
            <w:r>
              <w:t>13.</w:t>
            </w:r>
          </w:p>
        </w:tc>
        <w:tc>
          <w:tcPr>
            <w:tcW w:w="2562" w:type="dxa"/>
            <w:tcBorders>
              <w:top w:val="nil"/>
              <w:left w:val="nil"/>
              <w:bottom w:val="nil"/>
              <w:right w:val="nil"/>
            </w:tcBorders>
          </w:tcPr>
          <w:p>
            <w:pPr>
              <w:pStyle w:val="yTableNAm"/>
              <w:tabs>
                <w:tab w:val="clear" w:pos="567"/>
                <w:tab w:val="left" w:pos="438"/>
              </w:tabs>
              <w:ind w:left="438" w:hanging="438"/>
            </w:pPr>
            <w:r>
              <w:t>(a)</w:t>
            </w:r>
            <w:r>
              <w:tab/>
              <w:t xml:space="preserve">For the provision of a transcript, or part of a transcript — </w:t>
            </w:r>
          </w:p>
        </w:tc>
        <w:tc>
          <w:tcPr>
            <w:tcW w:w="1260" w:type="dxa"/>
            <w:tcBorders>
              <w:top w:val="nil"/>
              <w:left w:val="nil"/>
              <w:bottom w:val="nil"/>
              <w:right w:val="nil"/>
            </w:tcBorders>
          </w:tcPr>
          <w:p>
            <w:pPr>
              <w:pStyle w:val="yTableNAm"/>
            </w:pPr>
          </w:p>
        </w:tc>
        <w:tc>
          <w:tcPr>
            <w:tcW w:w="1206" w:type="dxa"/>
            <w:tcBorders>
              <w:top w:val="nil"/>
              <w:left w:val="nil"/>
              <w:bottom w:val="nil"/>
              <w:right w:val="nil"/>
            </w:tcBorders>
          </w:tcPr>
          <w:p>
            <w:pPr>
              <w:pStyle w:val="yTableNAm"/>
            </w:pPr>
          </w:p>
        </w:tc>
        <w:tc>
          <w:tcPr>
            <w:tcW w:w="1229"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w:t>
            </w:r>
            <w:r>
              <w:tab/>
              <w:t xml:space="preserve">provided within 1 day after the day on which the fee is paid </w:t>
            </w:r>
          </w:p>
        </w:tc>
        <w:tc>
          <w:tcPr>
            <w:tcW w:w="1260" w:type="dxa"/>
            <w:tcBorders>
              <w:top w:val="nil"/>
              <w:left w:val="nil"/>
              <w:bottom w:val="nil"/>
              <w:right w:val="nil"/>
            </w:tcBorders>
          </w:tcPr>
          <w:p>
            <w:pPr>
              <w:pStyle w:val="yTableNAm"/>
            </w:pPr>
            <w:r>
              <w:t>22.60 plus</w:t>
            </w:r>
            <w:r>
              <w:br/>
              <w:t>9.30 per page</w:t>
            </w:r>
          </w:p>
        </w:tc>
        <w:tc>
          <w:tcPr>
            <w:tcW w:w="1206" w:type="dxa"/>
            <w:tcBorders>
              <w:top w:val="nil"/>
              <w:left w:val="nil"/>
              <w:bottom w:val="nil"/>
              <w:right w:val="nil"/>
            </w:tcBorders>
          </w:tcPr>
          <w:p>
            <w:pPr>
              <w:pStyle w:val="yTableNAm"/>
            </w:pPr>
            <w:r>
              <w:t>22.60 plus</w:t>
            </w:r>
            <w:r>
              <w:br/>
              <w:t>18.60 per page</w:t>
            </w:r>
          </w:p>
        </w:tc>
        <w:tc>
          <w:tcPr>
            <w:tcW w:w="1229" w:type="dxa"/>
            <w:tcBorders>
              <w:top w:val="nil"/>
              <w:left w:val="nil"/>
              <w:bottom w:val="nil"/>
              <w:right w:val="nil"/>
            </w:tcBorders>
          </w:tcPr>
          <w:p>
            <w:pPr>
              <w:pStyle w:val="yTableNAm"/>
            </w:pPr>
            <w:r>
              <w:t xml:space="preserve">6.80 plus </w:t>
            </w:r>
            <w:r>
              <w:br/>
              <w:t>2.80 per page</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(ii)</w:t>
            </w:r>
            <w:r>
              <w:tab/>
              <w:t xml:space="preserve">provided within 2 days after the day on which the fee is paid </w:t>
            </w:r>
          </w:p>
        </w:tc>
        <w:tc>
          <w:tcPr>
            <w:tcW w:w="1260" w:type="dxa"/>
            <w:tcBorders>
              <w:top w:val="nil"/>
              <w:left w:val="nil"/>
              <w:bottom w:val="nil"/>
              <w:right w:val="nil"/>
            </w:tcBorders>
          </w:tcPr>
          <w:p>
            <w:pPr>
              <w:pStyle w:val="yTableNAm"/>
            </w:pPr>
            <w:r>
              <w:t>22.60 plus</w:t>
            </w:r>
            <w:r>
              <w:br/>
              <w:t>8.55 per page</w:t>
            </w:r>
          </w:p>
        </w:tc>
        <w:tc>
          <w:tcPr>
            <w:tcW w:w="1206" w:type="dxa"/>
            <w:tcBorders>
              <w:top w:val="nil"/>
              <w:left w:val="nil"/>
              <w:bottom w:val="nil"/>
              <w:right w:val="nil"/>
            </w:tcBorders>
          </w:tcPr>
          <w:p>
            <w:pPr>
              <w:pStyle w:val="yTableNAm"/>
            </w:pPr>
            <w:r>
              <w:t>22.60 plus</w:t>
            </w:r>
            <w:r>
              <w:br/>
              <w:t>17.05 per page</w:t>
            </w:r>
          </w:p>
        </w:tc>
        <w:tc>
          <w:tcPr>
            <w:tcW w:w="1229" w:type="dxa"/>
            <w:tcBorders>
              <w:top w:val="nil"/>
              <w:left w:val="nil"/>
              <w:bottom w:val="nil"/>
              <w:right w:val="nil"/>
            </w:tcBorders>
          </w:tcPr>
          <w:p>
            <w:pPr>
              <w:pStyle w:val="yTableNAm"/>
            </w:pPr>
            <w:r>
              <w:t xml:space="preserve">6.80 plus </w:t>
            </w:r>
            <w:r>
              <w:br/>
              <w:t>2.55 per page</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(iii)</w:t>
            </w:r>
            <w:r>
              <w:tab/>
              <w:t xml:space="preserve">provided within 4 days after the day on which the fee is paid </w:t>
            </w:r>
          </w:p>
        </w:tc>
        <w:tc>
          <w:tcPr>
            <w:tcW w:w="1260" w:type="dxa"/>
            <w:tcBorders>
              <w:top w:val="nil"/>
              <w:left w:val="nil"/>
              <w:bottom w:val="nil"/>
              <w:right w:val="nil"/>
            </w:tcBorders>
          </w:tcPr>
          <w:p>
            <w:pPr>
              <w:pStyle w:val="yTableNAm"/>
            </w:pPr>
            <w:r>
              <w:t>22.60 plus</w:t>
            </w:r>
            <w:r>
              <w:br/>
              <w:t>8.05 per page</w:t>
            </w:r>
          </w:p>
        </w:tc>
        <w:tc>
          <w:tcPr>
            <w:tcW w:w="1206" w:type="dxa"/>
            <w:tcBorders>
              <w:top w:val="nil"/>
              <w:left w:val="nil"/>
              <w:bottom w:val="nil"/>
              <w:right w:val="nil"/>
            </w:tcBorders>
          </w:tcPr>
          <w:p>
            <w:pPr>
              <w:pStyle w:val="yTableNAm"/>
            </w:pPr>
            <w:r>
              <w:t>22.60 plus</w:t>
            </w:r>
            <w:r>
              <w:br/>
              <w:t>16.25 per page</w:t>
            </w:r>
          </w:p>
        </w:tc>
        <w:tc>
          <w:tcPr>
            <w:tcW w:w="1229" w:type="dxa"/>
            <w:tcBorders>
              <w:top w:val="nil"/>
              <w:left w:val="nil"/>
              <w:bottom w:val="nil"/>
              <w:right w:val="nil"/>
            </w:tcBorders>
          </w:tcPr>
          <w:p>
            <w:pPr>
              <w:pStyle w:val="yTableNAm"/>
            </w:pPr>
            <w:r>
              <w:t xml:space="preserve">6.80 plus </w:t>
            </w:r>
            <w:r>
              <w:br/>
              <w:t>2.40 per page</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(iv)</w:t>
            </w:r>
            <w:r>
              <w:tab/>
              <w:t xml:space="preserve">provided within 7 days after the day on which the fee is paid </w:t>
            </w:r>
          </w:p>
        </w:tc>
        <w:tc>
          <w:tcPr>
            <w:tcW w:w="1260" w:type="dxa"/>
            <w:tcBorders>
              <w:top w:val="nil"/>
              <w:left w:val="nil"/>
              <w:bottom w:val="nil"/>
              <w:right w:val="nil"/>
            </w:tcBorders>
          </w:tcPr>
          <w:p>
            <w:pPr>
              <w:pStyle w:val="yTableNAm"/>
            </w:pPr>
            <w:r>
              <w:t xml:space="preserve">22.60 plus </w:t>
            </w:r>
            <w:r>
              <w:br/>
              <w:t>7.75 per page</w:t>
            </w:r>
          </w:p>
        </w:tc>
        <w:tc>
          <w:tcPr>
            <w:tcW w:w="1206" w:type="dxa"/>
            <w:tcBorders>
              <w:top w:val="nil"/>
              <w:left w:val="nil"/>
              <w:bottom w:val="nil"/>
              <w:right w:val="nil"/>
            </w:tcBorders>
          </w:tcPr>
          <w:p>
            <w:pPr>
              <w:pStyle w:val="yTableNAm"/>
            </w:pPr>
            <w:r>
              <w:t>22.60 plus</w:t>
            </w:r>
            <w:r>
              <w:br/>
              <w:t>15.45 per page</w:t>
            </w:r>
          </w:p>
        </w:tc>
        <w:tc>
          <w:tcPr>
            <w:tcW w:w="1229" w:type="dxa"/>
            <w:tcBorders>
              <w:top w:val="nil"/>
              <w:left w:val="nil"/>
              <w:bottom w:val="nil"/>
              <w:right w:val="nil"/>
            </w:tcBorders>
          </w:tcPr>
          <w:p>
            <w:pPr>
              <w:pStyle w:val="yTableNAm"/>
            </w:pPr>
            <w:r>
              <w:t xml:space="preserve">6.80 plus </w:t>
            </w:r>
            <w:r>
              <w:br/>
              <w:t>2.30 per page</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(v)</w:t>
            </w:r>
            <w:r>
              <w:tab/>
              <w:t xml:space="preserve">provided within 14 days after the day on which the fee is paid </w:t>
            </w:r>
          </w:p>
        </w:tc>
        <w:tc>
          <w:tcPr>
            <w:tcW w:w="1260" w:type="dxa"/>
            <w:tcBorders>
              <w:top w:val="nil"/>
              <w:left w:val="nil"/>
              <w:bottom w:val="nil"/>
              <w:right w:val="nil"/>
            </w:tcBorders>
          </w:tcPr>
          <w:p>
            <w:pPr>
              <w:pStyle w:val="yTableNAm"/>
            </w:pPr>
            <w:r>
              <w:t xml:space="preserve">22.60 plus </w:t>
            </w:r>
            <w:r>
              <w:br/>
              <w:t>6.60 per page</w:t>
            </w:r>
          </w:p>
        </w:tc>
        <w:tc>
          <w:tcPr>
            <w:tcW w:w="1206" w:type="dxa"/>
            <w:tcBorders>
              <w:top w:val="nil"/>
              <w:left w:val="nil"/>
              <w:bottom w:val="nil"/>
              <w:right w:val="nil"/>
            </w:tcBorders>
          </w:tcPr>
          <w:p>
            <w:pPr>
              <w:pStyle w:val="yTableNAm"/>
            </w:pPr>
            <w:r>
              <w:t>22.60 plus</w:t>
            </w:r>
            <w:r>
              <w:br/>
              <w:t>13.20 per page</w:t>
            </w:r>
          </w:p>
        </w:tc>
        <w:tc>
          <w:tcPr>
            <w:tcW w:w="1229" w:type="dxa"/>
            <w:tcBorders>
              <w:top w:val="nil"/>
              <w:left w:val="nil"/>
              <w:bottom w:val="nil"/>
              <w:right w:val="nil"/>
            </w:tcBorders>
          </w:tcPr>
          <w:p>
            <w:pPr>
              <w:pStyle w:val="yTableNAm"/>
            </w:pPr>
            <w:r>
              <w:t xml:space="preserve">6.80 plus </w:t>
            </w:r>
            <w:r>
              <w:br/>
              <w:t>2.00 per page</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(vi)</w:t>
            </w:r>
            <w:r>
              <w:tab/>
              <w:t>provided on a running basis (i.e. periodically throughout or following the day of the proceedings)</w:t>
            </w:r>
          </w:p>
        </w:tc>
        <w:tc>
          <w:tcPr>
            <w:tcW w:w="1260" w:type="dxa"/>
            <w:tcBorders>
              <w:top w:val="nil"/>
              <w:left w:val="nil"/>
              <w:bottom w:val="nil"/>
              <w:right w:val="nil"/>
            </w:tcBorders>
          </w:tcPr>
          <w:p>
            <w:pPr>
              <w:pStyle w:val="yTableNAm"/>
            </w:pPr>
            <w:r>
              <w:t xml:space="preserve">22.60 plus </w:t>
            </w:r>
            <w:r>
              <w:br/>
              <w:t>9.90 per page</w:t>
            </w:r>
          </w:p>
        </w:tc>
        <w:tc>
          <w:tcPr>
            <w:tcW w:w="1206" w:type="dxa"/>
            <w:tcBorders>
              <w:top w:val="nil"/>
              <w:left w:val="nil"/>
              <w:bottom w:val="nil"/>
              <w:right w:val="nil"/>
            </w:tcBorders>
          </w:tcPr>
          <w:p>
            <w:pPr>
              <w:pStyle w:val="yTableNAm"/>
            </w:pPr>
            <w:r>
              <w:t>22.60 plus</w:t>
            </w:r>
            <w:r>
              <w:br/>
              <w:t>19.80 per page</w:t>
            </w:r>
          </w:p>
        </w:tc>
        <w:tc>
          <w:tcPr>
            <w:tcW w:w="1229" w:type="dxa"/>
            <w:tcBorders>
              <w:top w:val="nil"/>
              <w:left w:val="nil"/>
              <w:bottom w:val="nil"/>
              <w:right w:val="nil"/>
            </w:tcBorders>
          </w:tcPr>
          <w:p>
            <w:pPr>
              <w:pStyle w:val="yTableNAm"/>
            </w:pPr>
            <w:r>
              <w:t xml:space="preserve">6.80 plus </w:t>
            </w:r>
            <w:r>
              <w:br/>
              <w:t>2.95 per page</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(b)</w:t>
            </w:r>
            <w:r>
              <w:tab/>
              <w:t xml:space="preserve">For the provision of a copy of a transcript, or part of a transcript, where the transcript or part has already been provided to the person requesting the copy — </w:t>
            </w:r>
          </w:p>
        </w:tc>
        <w:tc>
          <w:tcPr>
            <w:tcW w:w="1260" w:type="dxa"/>
            <w:tcBorders>
              <w:top w:val="nil"/>
              <w:left w:val="nil"/>
              <w:bottom w:val="nil"/>
              <w:right w:val="nil"/>
            </w:tcBorders>
          </w:tcPr>
          <w:p>
            <w:pPr>
              <w:pStyle w:val="yTableNAm"/>
            </w:pPr>
          </w:p>
        </w:tc>
        <w:tc>
          <w:tcPr>
            <w:tcW w:w="1206" w:type="dxa"/>
            <w:tcBorders>
              <w:top w:val="nil"/>
              <w:left w:val="nil"/>
              <w:bottom w:val="nil"/>
              <w:right w:val="nil"/>
            </w:tcBorders>
          </w:tcPr>
          <w:p>
            <w:pPr>
              <w:pStyle w:val="yTableNAm"/>
            </w:pPr>
          </w:p>
        </w:tc>
        <w:tc>
          <w:tcPr>
            <w:tcW w:w="1229"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w:t>
            </w:r>
            <w:r>
              <w:tab/>
              <w:t xml:space="preserve">electronic format </w:t>
            </w:r>
          </w:p>
        </w:tc>
        <w:tc>
          <w:tcPr>
            <w:tcW w:w="1260" w:type="dxa"/>
            <w:tcBorders>
              <w:top w:val="nil"/>
              <w:left w:val="nil"/>
              <w:bottom w:val="nil"/>
              <w:right w:val="nil"/>
            </w:tcBorders>
          </w:tcPr>
          <w:p>
            <w:pPr>
              <w:pStyle w:val="yTableNAm"/>
            </w:pPr>
            <w:r>
              <w:t>23.50 per copy</w:t>
            </w:r>
          </w:p>
        </w:tc>
        <w:tc>
          <w:tcPr>
            <w:tcW w:w="1206" w:type="dxa"/>
            <w:tcBorders>
              <w:top w:val="nil"/>
              <w:left w:val="nil"/>
              <w:bottom w:val="nil"/>
              <w:right w:val="nil"/>
            </w:tcBorders>
          </w:tcPr>
          <w:p>
            <w:pPr>
              <w:pStyle w:val="yTableNAm"/>
            </w:pPr>
            <w:r>
              <w:t>23.50 per copy</w:t>
            </w:r>
          </w:p>
        </w:tc>
        <w:tc>
          <w:tcPr>
            <w:tcW w:w="1229" w:type="dxa"/>
            <w:tcBorders>
              <w:top w:val="nil"/>
              <w:left w:val="nil"/>
              <w:bottom w:val="nil"/>
              <w:right w:val="nil"/>
            </w:tcBorders>
          </w:tcPr>
          <w:p>
            <w:pPr>
              <w:pStyle w:val="yTableNAm"/>
            </w:pPr>
            <w:r>
              <w:t>7.05 per copy</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(ii)</w:t>
            </w:r>
            <w:r>
              <w:tab/>
              <w:t xml:space="preserve">paper copy </w:t>
            </w:r>
          </w:p>
        </w:tc>
        <w:tc>
          <w:tcPr>
            <w:tcW w:w="1260" w:type="dxa"/>
            <w:tcBorders>
              <w:top w:val="nil"/>
              <w:left w:val="nil"/>
              <w:bottom w:val="nil"/>
              <w:right w:val="nil"/>
            </w:tcBorders>
          </w:tcPr>
          <w:p>
            <w:pPr>
              <w:pStyle w:val="yTableNAm"/>
            </w:pPr>
            <w:r>
              <w:t>2.30 per page</w:t>
            </w:r>
          </w:p>
        </w:tc>
        <w:tc>
          <w:tcPr>
            <w:tcW w:w="1206" w:type="dxa"/>
            <w:tcBorders>
              <w:top w:val="nil"/>
              <w:left w:val="nil"/>
              <w:bottom w:val="nil"/>
              <w:right w:val="nil"/>
            </w:tcBorders>
          </w:tcPr>
          <w:p>
            <w:pPr>
              <w:pStyle w:val="yTableNAm"/>
            </w:pPr>
            <w:r>
              <w:t>2.30 per page</w:t>
            </w:r>
          </w:p>
        </w:tc>
        <w:tc>
          <w:tcPr>
            <w:tcW w:w="1229" w:type="dxa"/>
            <w:tcBorders>
              <w:top w:val="nil"/>
              <w:left w:val="nil"/>
              <w:bottom w:val="nil"/>
              <w:right w:val="nil"/>
            </w:tcBorders>
          </w:tcPr>
          <w:p>
            <w:pPr>
              <w:pStyle w:val="yTableNAm"/>
            </w:pPr>
            <w:r>
              <w:t>0.70 per page</w:t>
            </w:r>
          </w:p>
        </w:tc>
      </w:tr>
      <w:tr>
        <w:trPr>
          <w:cantSplit/>
        </w:trPr>
        <w:tc>
          <w:tcPr>
            <w:tcW w:w="700" w:type="dxa"/>
            <w:tcBorders>
              <w:top w:val="nil"/>
              <w:left w:val="nil"/>
              <w:right w:val="nil"/>
            </w:tcBorders>
          </w:tcPr>
          <w:p>
            <w:pPr>
              <w:pStyle w:val="yTableNAm"/>
            </w:pPr>
            <w:r>
              <w:t>14.</w:t>
            </w:r>
          </w:p>
        </w:tc>
        <w:tc>
          <w:tcPr>
            <w:tcW w:w="2562" w:type="dxa"/>
            <w:tcBorders>
              <w:top w:val="nil"/>
              <w:left w:val="nil"/>
              <w:right w:val="nil"/>
            </w:tcBorders>
          </w:tcPr>
          <w:p>
            <w:pPr>
              <w:pStyle w:val="yTableNAm"/>
            </w:pPr>
            <w:r>
              <w:t xml:space="preserve">On filing an application for admission as a practitioner </w:t>
            </w:r>
          </w:p>
        </w:tc>
        <w:tc>
          <w:tcPr>
            <w:tcW w:w="1260" w:type="dxa"/>
            <w:tcBorders>
              <w:top w:val="nil"/>
              <w:left w:val="nil"/>
              <w:right w:val="nil"/>
            </w:tcBorders>
            <w:vAlign w:val="bottom"/>
          </w:tcPr>
          <w:p>
            <w:pPr>
              <w:pStyle w:val="yTableNAm"/>
            </w:pPr>
            <w:r>
              <w:t>408.00</w:t>
            </w:r>
          </w:p>
        </w:tc>
        <w:tc>
          <w:tcPr>
            <w:tcW w:w="1206" w:type="dxa"/>
            <w:tcBorders>
              <w:top w:val="nil"/>
              <w:left w:val="nil"/>
              <w:right w:val="nil"/>
            </w:tcBorders>
            <w:vAlign w:val="bottom"/>
          </w:tcPr>
          <w:p>
            <w:pPr>
              <w:pStyle w:val="yTableNAm"/>
            </w:pPr>
            <w:r>
              <w:t>N/A</w:t>
            </w:r>
          </w:p>
        </w:tc>
        <w:tc>
          <w:tcPr>
            <w:tcW w:w="1229" w:type="dxa"/>
            <w:tcBorders>
              <w:top w:val="nil"/>
              <w:left w:val="nil"/>
              <w:right w:val="nil"/>
            </w:tcBorders>
            <w:vAlign w:val="bottom"/>
          </w:tcPr>
          <w:p>
            <w:pPr>
              <w:pStyle w:val="yTableNAm"/>
            </w:pPr>
            <w:r>
              <w:t>N/A</w:t>
            </w:r>
          </w:p>
        </w:tc>
      </w:tr>
    </w:tbl>
    <w:p>
      <w:pPr>
        <w:pStyle w:val="yFootnotesection"/>
      </w:pPr>
      <w:r>
        <w:tab/>
        <w:t>[Division 1 inserted: Gazette 28 Jun 2019 p. 2621</w:t>
      </w:r>
      <w:r>
        <w:noBreakHyphen/>
        <w:t>32.]</w:t>
      </w:r>
    </w:p>
    <w:p>
      <w:pPr>
        <w:pStyle w:val="yHeading3"/>
      </w:pPr>
      <w:bookmarkStart w:id="53" w:name="_Toc15561486"/>
      <w:bookmarkStart w:id="54" w:name="_Toc15561513"/>
      <w:bookmarkStart w:id="55" w:name="_Toc15562160"/>
      <w:bookmarkStart w:id="56" w:name="_Toc15562515"/>
      <w:bookmarkStart w:id="57" w:name="_Toc15562880"/>
      <w:bookmarkStart w:id="58" w:name="_Toc19787855"/>
      <w:bookmarkStart w:id="59" w:name="_Toc25656895"/>
      <w:r>
        <w:rPr>
          <w:rStyle w:val="CharSDivNo"/>
        </w:rPr>
        <w:t>Division 2</w:t>
      </w:r>
      <w:r>
        <w:rPr>
          <w:b w:val="0"/>
        </w:rPr>
        <w:t> — </w:t>
      </w:r>
      <w:r>
        <w:rPr>
          <w:rStyle w:val="CharSDivText"/>
        </w:rPr>
        <w:t>Court of Appeal fees</w:t>
      </w:r>
      <w:bookmarkEnd w:id="53"/>
      <w:bookmarkEnd w:id="54"/>
      <w:bookmarkEnd w:id="55"/>
      <w:bookmarkEnd w:id="56"/>
      <w:bookmarkEnd w:id="57"/>
      <w:bookmarkEnd w:id="58"/>
      <w:bookmarkEnd w:id="59"/>
    </w:p>
    <w:p>
      <w:pPr>
        <w:pStyle w:val="yFootnoteheading"/>
        <w:spacing w:after="60"/>
      </w:pPr>
      <w:r>
        <w:tab/>
        <w:t>[Heading inserted: Gazette 28 Jun 2019 p. 2633.]</w:t>
      </w:r>
    </w:p>
    <w:tbl>
      <w:tblPr>
        <w:tblW w:w="6971"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4"/>
        <w:gridCol w:w="2562"/>
        <w:gridCol w:w="1246"/>
        <w:gridCol w:w="1220"/>
        <w:gridCol w:w="1229"/>
      </w:tblGrid>
      <w:tr>
        <w:trPr>
          <w:cantSplit/>
          <w:tblHeader/>
        </w:trPr>
        <w:tc>
          <w:tcPr>
            <w:tcW w:w="714" w:type="dxa"/>
            <w:tcBorders>
              <w:left w:val="nil"/>
              <w:bottom w:val="single" w:sz="4" w:space="0" w:color="auto"/>
              <w:right w:val="nil"/>
            </w:tcBorders>
          </w:tcPr>
          <w:p>
            <w:pPr>
              <w:pStyle w:val="yTableNAm"/>
              <w:jc w:val="center"/>
              <w:rPr>
                <w:b/>
              </w:rPr>
            </w:pPr>
            <w:r>
              <w:rPr>
                <w:b/>
              </w:rPr>
              <w:t>Item</w:t>
            </w:r>
          </w:p>
        </w:tc>
        <w:tc>
          <w:tcPr>
            <w:tcW w:w="2562" w:type="dxa"/>
            <w:tcBorders>
              <w:left w:val="nil"/>
              <w:bottom w:val="single" w:sz="4" w:space="0" w:color="auto"/>
              <w:right w:val="nil"/>
            </w:tcBorders>
          </w:tcPr>
          <w:p>
            <w:pPr>
              <w:pStyle w:val="yTableNAm"/>
              <w:jc w:val="center"/>
              <w:rPr>
                <w:b/>
              </w:rPr>
            </w:pPr>
            <w:r>
              <w:rPr>
                <w:b/>
              </w:rPr>
              <w:t>Matter</w:t>
            </w:r>
          </w:p>
        </w:tc>
        <w:tc>
          <w:tcPr>
            <w:tcW w:w="1246" w:type="dxa"/>
            <w:tcBorders>
              <w:left w:val="nil"/>
              <w:bottom w:val="single" w:sz="4" w:space="0" w:color="auto"/>
              <w:right w:val="nil"/>
            </w:tcBorders>
          </w:tcPr>
          <w:p>
            <w:pPr>
              <w:pStyle w:val="yTableNAm"/>
              <w:jc w:val="center"/>
              <w:rPr>
                <w:b/>
              </w:rPr>
            </w:pPr>
            <w:r>
              <w:rPr>
                <w:b/>
              </w:rPr>
              <w:t>Column A</w:t>
            </w:r>
          </w:p>
          <w:p>
            <w:pPr>
              <w:pStyle w:val="yTableNAm"/>
              <w:jc w:val="center"/>
            </w:pPr>
            <w:r>
              <w:t>Fee for individual or eligible entity</w:t>
            </w:r>
            <w:r>
              <w:br/>
              <w:t>$</w:t>
            </w:r>
          </w:p>
        </w:tc>
        <w:tc>
          <w:tcPr>
            <w:tcW w:w="1220" w:type="dxa"/>
            <w:tcBorders>
              <w:left w:val="nil"/>
              <w:bottom w:val="single" w:sz="4" w:space="0" w:color="auto"/>
              <w:right w:val="nil"/>
            </w:tcBorders>
          </w:tcPr>
          <w:p>
            <w:pPr>
              <w:pStyle w:val="yTableNAm"/>
              <w:jc w:val="center"/>
              <w:rPr>
                <w:b/>
              </w:rPr>
            </w:pPr>
            <w:r>
              <w:rPr>
                <w:b/>
              </w:rPr>
              <w:t>Column B</w:t>
            </w:r>
          </w:p>
          <w:p>
            <w:pPr>
              <w:pStyle w:val="yTableNAm"/>
              <w:jc w:val="center"/>
            </w:pPr>
            <w:r>
              <w:t xml:space="preserve">Fee for </w:t>
            </w:r>
            <w:r>
              <w:br/>
              <w:t>entity</w:t>
            </w:r>
            <w:r>
              <w:br/>
            </w:r>
            <w:r>
              <w:br/>
            </w:r>
            <w:r>
              <w:br/>
              <w:t>$</w:t>
            </w:r>
          </w:p>
        </w:tc>
        <w:tc>
          <w:tcPr>
            <w:tcW w:w="1229" w:type="dxa"/>
            <w:tcBorders>
              <w:left w:val="nil"/>
              <w:bottom w:val="single" w:sz="4" w:space="0" w:color="auto"/>
              <w:right w:val="nil"/>
            </w:tcBorders>
          </w:tcPr>
          <w:p>
            <w:pPr>
              <w:pStyle w:val="yTableNAm"/>
              <w:jc w:val="center"/>
              <w:rPr>
                <w:b/>
              </w:rPr>
            </w:pPr>
            <w:r>
              <w:rPr>
                <w:b/>
              </w:rPr>
              <w:t>Column C</w:t>
            </w:r>
          </w:p>
          <w:p>
            <w:pPr>
              <w:pStyle w:val="yTableNAm"/>
              <w:jc w:val="center"/>
            </w:pPr>
            <w:r>
              <w:t>Fee for eligible individual</w:t>
            </w:r>
            <w:r>
              <w:br/>
            </w:r>
            <w:r>
              <w:br/>
              <w:t>$</w:t>
            </w:r>
          </w:p>
        </w:tc>
      </w:tr>
      <w:tr>
        <w:trPr>
          <w:cantSplit/>
        </w:trPr>
        <w:tc>
          <w:tcPr>
            <w:tcW w:w="714" w:type="dxa"/>
            <w:tcBorders>
              <w:left w:val="nil"/>
              <w:bottom w:val="nil"/>
              <w:right w:val="nil"/>
            </w:tcBorders>
          </w:tcPr>
          <w:p>
            <w:pPr>
              <w:pStyle w:val="yTableNAm"/>
            </w:pPr>
            <w:r>
              <w:t>1.</w:t>
            </w:r>
          </w:p>
        </w:tc>
        <w:tc>
          <w:tcPr>
            <w:tcW w:w="2562" w:type="dxa"/>
            <w:tcBorders>
              <w:left w:val="nil"/>
              <w:bottom w:val="nil"/>
              <w:right w:val="nil"/>
            </w:tcBorders>
          </w:tcPr>
          <w:p>
            <w:pPr>
              <w:pStyle w:val="yTableNAm"/>
            </w:pPr>
            <w:r>
              <w:t xml:space="preserve">On filing an appeal notice </w:t>
            </w:r>
          </w:p>
        </w:tc>
        <w:tc>
          <w:tcPr>
            <w:tcW w:w="1246" w:type="dxa"/>
            <w:tcBorders>
              <w:left w:val="nil"/>
              <w:bottom w:val="nil"/>
              <w:right w:val="nil"/>
            </w:tcBorders>
            <w:vAlign w:val="bottom"/>
          </w:tcPr>
          <w:p>
            <w:pPr>
              <w:pStyle w:val="yTableNAm"/>
            </w:pPr>
            <w:r>
              <w:t>242.00</w:t>
            </w:r>
          </w:p>
        </w:tc>
        <w:tc>
          <w:tcPr>
            <w:tcW w:w="1220" w:type="dxa"/>
            <w:tcBorders>
              <w:left w:val="nil"/>
              <w:bottom w:val="nil"/>
              <w:right w:val="nil"/>
            </w:tcBorders>
            <w:vAlign w:val="bottom"/>
          </w:tcPr>
          <w:p>
            <w:pPr>
              <w:pStyle w:val="yTableNAm"/>
            </w:pPr>
            <w:r>
              <w:t>627.00</w:t>
            </w:r>
          </w:p>
        </w:tc>
        <w:tc>
          <w:tcPr>
            <w:tcW w:w="1229" w:type="dxa"/>
            <w:tcBorders>
              <w:left w:val="nil"/>
              <w:bottom w:val="nil"/>
              <w:right w:val="nil"/>
            </w:tcBorders>
            <w:vAlign w:val="bottom"/>
          </w:tcPr>
          <w:p>
            <w:pPr>
              <w:pStyle w:val="yTableNAm"/>
            </w:pPr>
            <w:r>
              <w:t>72.50</w:t>
            </w:r>
          </w:p>
        </w:tc>
      </w:tr>
      <w:tr>
        <w:trPr>
          <w:cantSplit/>
        </w:trPr>
        <w:tc>
          <w:tcPr>
            <w:tcW w:w="714" w:type="dxa"/>
            <w:tcBorders>
              <w:top w:val="nil"/>
              <w:left w:val="nil"/>
              <w:bottom w:val="nil"/>
              <w:right w:val="nil"/>
            </w:tcBorders>
          </w:tcPr>
          <w:p>
            <w:pPr>
              <w:pStyle w:val="yTableNAm"/>
            </w:pPr>
            <w:r>
              <w:t>2.</w:t>
            </w:r>
          </w:p>
        </w:tc>
        <w:tc>
          <w:tcPr>
            <w:tcW w:w="2562" w:type="dxa"/>
            <w:tcBorders>
              <w:top w:val="nil"/>
              <w:left w:val="nil"/>
              <w:bottom w:val="nil"/>
              <w:right w:val="nil"/>
            </w:tcBorders>
          </w:tcPr>
          <w:p>
            <w:pPr>
              <w:pStyle w:val="yTableNAm"/>
            </w:pPr>
            <w:r>
              <w:t xml:space="preserve">On filing — </w:t>
            </w:r>
          </w:p>
        </w:tc>
        <w:tc>
          <w:tcPr>
            <w:tcW w:w="1246" w:type="dxa"/>
            <w:tcBorders>
              <w:top w:val="nil"/>
              <w:left w:val="nil"/>
              <w:bottom w:val="nil"/>
              <w:right w:val="nil"/>
            </w:tcBorders>
            <w:vAlign w:val="bottom"/>
          </w:tcPr>
          <w:p>
            <w:pPr>
              <w:pStyle w:val="yTableNAm"/>
            </w:pPr>
          </w:p>
        </w:tc>
        <w:tc>
          <w:tcPr>
            <w:tcW w:w="1220" w:type="dxa"/>
            <w:tcBorders>
              <w:top w:val="nil"/>
              <w:left w:val="nil"/>
              <w:bottom w:val="nil"/>
              <w:right w:val="nil"/>
            </w:tcBorders>
            <w:vAlign w:val="bottom"/>
          </w:tcPr>
          <w:p>
            <w:pPr>
              <w:pStyle w:val="yTableNAm"/>
            </w:pPr>
          </w:p>
        </w:tc>
        <w:tc>
          <w:tcPr>
            <w:tcW w:w="1229" w:type="dxa"/>
            <w:tcBorders>
              <w:top w:val="nil"/>
              <w:left w:val="nil"/>
              <w:bottom w:val="nil"/>
              <w:right w:val="nil"/>
            </w:tcBorders>
            <w:vAlign w:val="bottom"/>
          </w:tcPr>
          <w:p>
            <w:pPr>
              <w:pStyle w:val="yTableNAm"/>
            </w:pP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52" w:hanging="452"/>
            </w:pPr>
            <w:r>
              <w:t>(a)</w:t>
            </w:r>
            <w:r>
              <w:tab/>
              <w:t>Appellant’s case</w:t>
            </w:r>
          </w:p>
        </w:tc>
        <w:tc>
          <w:tcPr>
            <w:tcW w:w="1246" w:type="dxa"/>
            <w:tcBorders>
              <w:top w:val="nil"/>
              <w:left w:val="nil"/>
              <w:bottom w:val="nil"/>
              <w:right w:val="nil"/>
            </w:tcBorders>
            <w:vAlign w:val="bottom"/>
          </w:tcPr>
          <w:p>
            <w:pPr>
              <w:pStyle w:val="yTableNAm"/>
            </w:pPr>
            <w:r>
              <w:t>3 644.00</w:t>
            </w:r>
          </w:p>
        </w:tc>
        <w:tc>
          <w:tcPr>
            <w:tcW w:w="1220" w:type="dxa"/>
            <w:tcBorders>
              <w:top w:val="nil"/>
              <w:left w:val="nil"/>
              <w:bottom w:val="nil"/>
              <w:right w:val="nil"/>
            </w:tcBorders>
            <w:vAlign w:val="bottom"/>
          </w:tcPr>
          <w:p>
            <w:pPr>
              <w:pStyle w:val="yTableNAm"/>
            </w:pPr>
            <w:r>
              <w:t>9 470.00</w:t>
            </w:r>
          </w:p>
        </w:tc>
        <w:tc>
          <w:tcPr>
            <w:tcW w:w="1229" w:type="dxa"/>
            <w:tcBorders>
              <w:top w:val="nil"/>
              <w:left w:val="nil"/>
              <w:bottom w:val="nil"/>
              <w:right w:val="nil"/>
            </w:tcBorders>
            <w:vAlign w:val="bottom"/>
          </w:tcPr>
          <w:p>
            <w:pPr>
              <w:pStyle w:val="yTableNAm"/>
            </w:pPr>
            <w:r>
              <w:t>100.00</w:t>
            </w: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52" w:hanging="452"/>
            </w:pPr>
            <w:r>
              <w:t>(b)</w:t>
            </w:r>
            <w:r>
              <w:tab/>
              <w:t>Respondent’s case</w:t>
            </w:r>
          </w:p>
        </w:tc>
        <w:tc>
          <w:tcPr>
            <w:tcW w:w="1246" w:type="dxa"/>
            <w:tcBorders>
              <w:top w:val="nil"/>
              <w:left w:val="nil"/>
              <w:bottom w:val="nil"/>
              <w:right w:val="nil"/>
            </w:tcBorders>
            <w:vAlign w:val="bottom"/>
          </w:tcPr>
          <w:p>
            <w:pPr>
              <w:pStyle w:val="yTableNAm"/>
            </w:pPr>
            <w:r>
              <w:t>3 644.00</w:t>
            </w:r>
          </w:p>
        </w:tc>
        <w:tc>
          <w:tcPr>
            <w:tcW w:w="1220" w:type="dxa"/>
            <w:tcBorders>
              <w:top w:val="nil"/>
              <w:left w:val="nil"/>
              <w:bottom w:val="nil"/>
              <w:right w:val="nil"/>
            </w:tcBorders>
            <w:vAlign w:val="bottom"/>
          </w:tcPr>
          <w:p>
            <w:pPr>
              <w:pStyle w:val="yTableNAm"/>
            </w:pPr>
            <w:r>
              <w:t>9 470.00</w:t>
            </w:r>
          </w:p>
        </w:tc>
        <w:tc>
          <w:tcPr>
            <w:tcW w:w="1229" w:type="dxa"/>
            <w:tcBorders>
              <w:top w:val="nil"/>
              <w:left w:val="nil"/>
              <w:bottom w:val="nil"/>
              <w:right w:val="nil"/>
            </w:tcBorders>
            <w:vAlign w:val="bottom"/>
          </w:tcPr>
          <w:p>
            <w:pPr>
              <w:pStyle w:val="yTableNAm"/>
            </w:pPr>
            <w:r>
              <w:t>100.00</w:t>
            </w:r>
          </w:p>
        </w:tc>
      </w:tr>
      <w:tr>
        <w:trPr>
          <w:cantSplit/>
        </w:trPr>
        <w:tc>
          <w:tcPr>
            <w:tcW w:w="714" w:type="dxa"/>
            <w:tcBorders>
              <w:top w:val="nil"/>
              <w:left w:val="nil"/>
              <w:bottom w:val="nil"/>
              <w:right w:val="nil"/>
            </w:tcBorders>
          </w:tcPr>
          <w:p>
            <w:pPr>
              <w:pStyle w:val="yTableNAm"/>
            </w:pPr>
            <w:r>
              <w:t>3.</w:t>
            </w:r>
          </w:p>
        </w:tc>
        <w:tc>
          <w:tcPr>
            <w:tcW w:w="2562" w:type="dxa"/>
            <w:tcBorders>
              <w:top w:val="nil"/>
              <w:left w:val="nil"/>
              <w:bottom w:val="nil"/>
              <w:right w:val="nil"/>
            </w:tcBorders>
          </w:tcPr>
          <w:p>
            <w:pPr>
              <w:pStyle w:val="yTableNAm"/>
            </w:pPr>
            <w:r>
              <w:t xml:space="preserve">On filing an application to transfer an appeal from the District Court to the Court of Appeal under the </w:t>
            </w:r>
            <w:r>
              <w:rPr>
                <w:i/>
              </w:rPr>
              <w:t>Magistrates Court (Civil Proceedings) Act 2004</w:t>
            </w:r>
            <w:r>
              <w:t xml:space="preserve"> s. 41 </w:t>
            </w:r>
          </w:p>
        </w:tc>
        <w:tc>
          <w:tcPr>
            <w:tcW w:w="1246" w:type="dxa"/>
            <w:tcBorders>
              <w:top w:val="nil"/>
              <w:left w:val="nil"/>
              <w:bottom w:val="nil"/>
              <w:right w:val="nil"/>
            </w:tcBorders>
            <w:vAlign w:val="bottom"/>
          </w:tcPr>
          <w:p>
            <w:pPr>
              <w:pStyle w:val="yTableNAm"/>
            </w:pPr>
            <w:r>
              <w:t>484.00</w:t>
            </w:r>
          </w:p>
        </w:tc>
        <w:tc>
          <w:tcPr>
            <w:tcW w:w="1220" w:type="dxa"/>
            <w:tcBorders>
              <w:top w:val="nil"/>
              <w:left w:val="nil"/>
              <w:bottom w:val="nil"/>
              <w:right w:val="nil"/>
            </w:tcBorders>
            <w:vAlign w:val="bottom"/>
          </w:tcPr>
          <w:p>
            <w:pPr>
              <w:pStyle w:val="yTableNAm"/>
            </w:pPr>
            <w:r>
              <w:t>947.00</w:t>
            </w:r>
          </w:p>
        </w:tc>
        <w:tc>
          <w:tcPr>
            <w:tcW w:w="1229" w:type="dxa"/>
            <w:tcBorders>
              <w:top w:val="nil"/>
              <w:left w:val="nil"/>
              <w:bottom w:val="nil"/>
              <w:right w:val="nil"/>
            </w:tcBorders>
            <w:vAlign w:val="bottom"/>
          </w:tcPr>
          <w:p>
            <w:pPr>
              <w:pStyle w:val="yTableNAm"/>
            </w:pPr>
            <w:r>
              <w:t>100.00</w:t>
            </w:r>
          </w:p>
        </w:tc>
      </w:tr>
      <w:tr>
        <w:trPr>
          <w:cantSplit/>
        </w:trPr>
        <w:tc>
          <w:tcPr>
            <w:tcW w:w="714" w:type="dxa"/>
            <w:tcBorders>
              <w:top w:val="nil"/>
              <w:left w:val="nil"/>
              <w:bottom w:val="nil"/>
              <w:right w:val="nil"/>
            </w:tcBorders>
          </w:tcPr>
          <w:p>
            <w:pPr>
              <w:pStyle w:val="yTableNAm"/>
            </w:pPr>
            <w:r>
              <w:t>4.</w:t>
            </w:r>
          </w:p>
        </w:tc>
        <w:tc>
          <w:tcPr>
            <w:tcW w:w="2562" w:type="dxa"/>
            <w:tcBorders>
              <w:top w:val="nil"/>
              <w:left w:val="nil"/>
              <w:bottom w:val="nil"/>
              <w:right w:val="nil"/>
            </w:tcBorders>
          </w:tcPr>
          <w:p>
            <w:pPr>
              <w:pStyle w:val="yTableNAm"/>
              <w:tabs>
                <w:tab w:val="clear" w:pos="567"/>
                <w:tab w:val="left" w:pos="438"/>
              </w:tabs>
              <w:ind w:left="452" w:hanging="452"/>
            </w:pPr>
            <w:r>
              <w:t>(a)</w:t>
            </w:r>
            <w:r>
              <w:tab/>
              <w:t xml:space="preserve">On filing an application in an appeal for an interim order or to amend or cancel an interim order </w:t>
            </w:r>
          </w:p>
        </w:tc>
        <w:tc>
          <w:tcPr>
            <w:tcW w:w="1246" w:type="dxa"/>
            <w:tcBorders>
              <w:top w:val="nil"/>
              <w:left w:val="nil"/>
              <w:bottom w:val="nil"/>
              <w:right w:val="nil"/>
            </w:tcBorders>
            <w:vAlign w:val="bottom"/>
          </w:tcPr>
          <w:p>
            <w:pPr>
              <w:pStyle w:val="yTableNAm"/>
            </w:pPr>
            <w:r>
              <w:t>341.00</w:t>
            </w:r>
          </w:p>
        </w:tc>
        <w:tc>
          <w:tcPr>
            <w:tcW w:w="1220" w:type="dxa"/>
            <w:tcBorders>
              <w:top w:val="nil"/>
              <w:left w:val="nil"/>
              <w:bottom w:val="nil"/>
              <w:right w:val="nil"/>
            </w:tcBorders>
            <w:vAlign w:val="bottom"/>
          </w:tcPr>
          <w:p>
            <w:pPr>
              <w:pStyle w:val="yTableNAm"/>
            </w:pPr>
            <w:r>
              <w:t>662.00</w:t>
            </w:r>
          </w:p>
        </w:tc>
        <w:tc>
          <w:tcPr>
            <w:tcW w:w="1229" w:type="dxa"/>
            <w:tcBorders>
              <w:top w:val="nil"/>
              <w:left w:val="nil"/>
              <w:bottom w:val="nil"/>
              <w:right w:val="nil"/>
            </w:tcBorders>
            <w:vAlign w:val="bottom"/>
          </w:tcPr>
          <w:p>
            <w:pPr>
              <w:pStyle w:val="yTableNAm"/>
            </w:pPr>
            <w:r>
              <w:t>100.00</w:t>
            </w: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52" w:hanging="452"/>
            </w:pPr>
            <w:r>
              <w:t>(b)</w:t>
            </w:r>
            <w:r>
              <w:tab/>
              <w:t xml:space="preserve">On an appointment before a judge or registrar to settle the appeal book index </w:t>
            </w:r>
          </w:p>
        </w:tc>
        <w:tc>
          <w:tcPr>
            <w:tcW w:w="1246" w:type="dxa"/>
            <w:tcBorders>
              <w:top w:val="nil"/>
              <w:left w:val="nil"/>
              <w:bottom w:val="nil"/>
              <w:right w:val="nil"/>
            </w:tcBorders>
            <w:vAlign w:val="bottom"/>
          </w:tcPr>
          <w:p>
            <w:pPr>
              <w:pStyle w:val="yTableNAm"/>
            </w:pPr>
            <w:r>
              <w:t>341.00</w:t>
            </w:r>
          </w:p>
        </w:tc>
        <w:tc>
          <w:tcPr>
            <w:tcW w:w="1220" w:type="dxa"/>
            <w:tcBorders>
              <w:top w:val="nil"/>
              <w:left w:val="nil"/>
              <w:bottom w:val="nil"/>
              <w:right w:val="nil"/>
            </w:tcBorders>
            <w:vAlign w:val="bottom"/>
          </w:tcPr>
          <w:p>
            <w:pPr>
              <w:pStyle w:val="yTableNAm"/>
            </w:pPr>
            <w:r>
              <w:t>662.00</w:t>
            </w:r>
          </w:p>
        </w:tc>
        <w:tc>
          <w:tcPr>
            <w:tcW w:w="1229" w:type="dxa"/>
            <w:tcBorders>
              <w:top w:val="nil"/>
              <w:left w:val="nil"/>
              <w:bottom w:val="nil"/>
              <w:right w:val="nil"/>
            </w:tcBorders>
            <w:vAlign w:val="bottom"/>
          </w:tcPr>
          <w:p>
            <w:pPr>
              <w:pStyle w:val="yTableNAm"/>
            </w:pPr>
            <w:r>
              <w:t>100.00</w:t>
            </w: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52" w:hanging="452"/>
            </w:pPr>
            <w:r>
              <w:t>(c)</w:t>
            </w:r>
            <w:r>
              <w:tab/>
              <w:t xml:space="preserve">On an appointment before a registrar for mediation </w:t>
            </w:r>
          </w:p>
        </w:tc>
        <w:tc>
          <w:tcPr>
            <w:tcW w:w="1246" w:type="dxa"/>
            <w:tcBorders>
              <w:top w:val="nil"/>
              <w:left w:val="nil"/>
              <w:bottom w:val="nil"/>
              <w:right w:val="nil"/>
            </w:tcBorders>
            <w:vAlign w:val="bottom"/>
          </w:tcPr>
          <w:p>
            <w:pPr>
              <w:pStyle w:val="yTableNAm"/>
            </w:pPr>
            <w:r>
              <w:t>341.00</w:t>
            </w:r>
          </w:p>
        </w:tc>
        <w:tc>
          <w:tcPr>
            <w:tcW w:w="1220" w:type="dxa"/>
            <w:tcBorders>
              <w:top w:val="nil"/>
              <w:left w:val="nil"/>
              <w:bottom w:val="nil"/>
              <w:right w:val="nil"/>
            </w:tcBorders>
            <w:vAlign w:val="bottom"/>
          </w:tcPr>
          <w:p>
            <w:pPr>
              <w:pStyle w:val="yTableNAm"/>
            </w:pPr>
            <w:r>
              <w:t>662.00</w:t>
            </w:r>
          </w:p>
        </w:tc>
        <w:tc>
          <w:tcPr>
            <w:tcW w:w="1229" w:type="dxa"/>
            <w:tcBorders>
              <w:top w:val="nil"/>
              <w:left w:val="nil"/>
              <w:bottom w:val="nil"/>
              <w:right w:val="nil"/>
            </w:tcBorders>
            <w:vAlign w:val="bottom"/>
          </w:tcPr>
          <w:p>
            <w:pPr>
              <w:pStyle w:val="yTableNAm"/>
            </w:pPr>
            <w:r>
              <w:t>0.00</w:t>
            </w:r>
          </w:p>
        </w:tc>
      </w:tr>
      <w:tr>
        <w:trPr>
          <w:cantSplit/>
          <w:trHeight w:val="802"/>
        </w:trPr>
        <w:tc>
          <w:tcPr>
            <w:tcW w:w="714"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 w:val="left" w:pos="384"/>
              </w:tabs>
              <w:ind w:left="384" w:hanging="384"/>
              <w:rPr>
                <w:rFonts w:ascii="Arial" w:hAnsi="Arial" w:cs="Arial"/>
                <w:sz w:val="18"/>
                <w:szCs w:val="18"/>
              </w:rPr>
            </w:pPr>
            <w:r>
              <w:rPr>
                <w:rFonts w:ascii="Arial" w:hAnsi="Arial" w:cs="Arial"/>
                <w:sz w:val="18"/>
                <w:szCs w:val="18"/>
              </w:rPr>
              <w:t>1.</w:t>
            </w:r>
            <w:r>
              <w:rPr>
                <w:rFonts w:ascii="Arial" w:hAnsi="Arial" w:cs="Arial"/>
                <w:sz w:val="18"/>
                <w:szCs w:val="18"/>
              </w:rPr>
              <w:tab/>
              <w:t>The fee includes the first day of the hearing of the matter and any adjournment of the matter.</w:t>
            </w:r>
          </w:p>
        </w:tc>
      </w:tr>
      <w:tr>
        <w:trPr>
          <w:cantSplit/>
          <w:trHeight w:val="743"/>
        </w:trPr>
        <w:tc>
          <w:tcPr>
            <w:tcW w:w="714"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 w:val="left" w:pos="384"/>
              </w:tabs>
              <w:ind w:left="384" w:hanging="384"/>
              <w:rPr>
                <w:rFonts w:ascii="Arial" w:hAnsi="Arial" w:cs="Arial"/>
                <w:sz w:val="18"/>
                <w:szCs w:val="18"/>
              </w:rPr>
            </w:pPr>
            <w:r>
              <w:rPr>
                <w:rFonts w:ascii="Arial" w:hAnsi="Arial" w:cs="Arial"/>
                <w:sz w:val="18"/>
                <w:szCs w:val="18"/>
              </w:rPr>
              <w:t>2.</w:t>
            </w:r>
            <w:r>
              <w:rPr>
                <w:rFonts w:ascii="Arial" w:hAnsi="Arial" w:cs="Arial"/>
                <w:sz w:val="18"/>
                <w:szCs w:val="18"/>
              </w:rPr>
              <w:tab/>
              <w:t>If the hearing of a matter is listed for more than 1 day and proceeds for more than the number of days listed, the fee prescribed by this item is payable for each additional day or part of a day of a hearing.</w:t>
            </w:r>
          </w:p>
        </w:tc>
      </w:tr>
      <w:tr>
        <w:trPr>
          <w:cantSplit/>
          <w:trHeight w:val="510"/>
        </w:trPr>
        <w:tc>
          <w:tcPr>
            <w:tcW w:w="714"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 w:val="left" w:pos="384"/>
              </w:tabs>
              <w:ind w:left="384" w:hanging="384"/>
              <w:rPr>
                <w:rFonts w:ascii="Arial" w:hAnsi="Arial" w:cs="Arial"/>
                <w:sz w:val="18"/>
                <w:szCs w:val="18"/>
              </w:rPr>
            </w:pPr>
            <w:r>
              <w:rPr>
                <w:rFonts w:ascii="Arial" w:hAnsi="Arial" w:cs="Arial"/>
                <w:sz w:val="18"/>
                <w:szCs w:val="18"/>
              </w:rPr>
              <w:t>3.</w:t>
            </w:r>
            <w:r>
              <w:rPr>
                <w:rFonts w:ascii="Arial" w:hAnsi="Arial" w:cs="Arial"/>
                <w:sz w:val="18"/>
                <w:szCs w:val="18"/>
              </w:rPr>
              <w:tab/>
              <w:t>A fee payable in the circumstances referred to in Note 2 is payable on a day</w:t>
            </w:r>
            <w:r>
              <w:rPr>
                <w:rFonts w:ascii="Arial" w:hAnsi="Arial" w:cs="Arial"/>
                <w:sz w:val="18"/>
                <w:szCs w:val="18"/>
              </w:rPr>
              <w:noBreakHyphen/>
              <w:t>to</w:t>
            </w:r>
            <w:r>
              <w:rPr>
                <w:rFonts w:ascii="Arial" w:hAnsi="Arial" w:cs="Arial"/>
                <w:sz w:val="18"/>
                <w:szCs w:val="18"/>
              </w:rPr>
              <w:noBreakHyphen/>
              <w:t>day basis before the daily reconvening of the hearing.</w:t>
            </w:r>
          </w:p>
        </w:tc>
      </w:tr>
      <w:tr>
        <w:trPr>
          <w:cantSplit/>
        </w:trPr>
        <w:tc>
          <w:tcPr>
            <w:tcW w:w="714" w:type="dxa"/>
            <w:tcBorders>
              <w:top w:val="nil"/>
              <w:left w:val="nil"/>
              <w:bottom w:val="nil"/>
              <w:right w:val="nil"/>
            </w:tcBorders>
          </w:tcPr>
          <w:p>
            <w:pPr>
              <w:pStyle w:val="yTableNAm"/>
            </w:pPr>
            <w:r>
              <w:t>5.</w:t>
            </w:r>
          </w:p>
        </w:tc>
        <w:tc>
          <w:tcPr>
            <w:tcW w:w="2562" w:type="dxa"/>
            <w:tcBorders>
              <w:top w:val="nil"/>
              <w:left w:val="nil"/>
              <w:bottom w:val="nil"/>
              <w:right w:val="nil"/>
            </w:tcBorders>
          </w:tcPr>
          <w:p>
            <w:pPr>
              <w:pStyle w:val="yTableNAm"/>
            </w:pPr>
            <w:r>
              <w:t>Setting down fee</w:t>
            </w:r>
          </w:p>
        </w:tc>
        <w:tc>
          <w:tcPr>
            <w:tcW w:w="1246" w:type="dxa"/>
            <w:tcBorders>
              <w:top w:val="nil"/>
              <w:left w:val="nil"/>
              <w:bottom w:val="nil"/>
              <w:right w:val="nil"/>
            </w:tcBorders>
            <w:vAlign w:val="center"/>
          </w:tcPr>
          <w:p>
            <w:pPr>
              <w:pStyle w:val="yTableNAm"/>
            </w:pPr>
            <w:r>
              <w:t>1 216.00</w:t>
            </w:r>
          </w:p>
        </w:tc>
        <w:tc>
          <w:tcPr>
            <w:tcW w:w="1220" w:type="dxa"/>
            <w:tcBorders>
              <w:top w:val="nil"/>
              <w:left w:val="nil"/>
              <w:bottom w:val="nil"/>
              <w:right w:val="nil"/>
            </w:tcBorders>
            <w:vAlign w:val="center"/>
          </w:tcPr>
          <w:p>
            <w:pPr>
              <w:pStyle w:val="yTableNAm"/>
            </w:pPr>
            <w:r>
              <w:t>2 363.00</w:t>
            </w:r>
          </w:p>
        </w:tc>
        <w:tc>
          <w:tcPr>
            <w:tcW w:w="1229" w:type="dxa"/>
            <w:tcBorders>
              <w:top w:val="nil"/>
              <w:left w:val="nil"/>
              <w:bottom w:val="nil"/>
              <w:right w:val="nil"/>
            </w:tcBorders>
            <w:vAlign w:val="center"/>
          </w:tcPr>
          <w:p>
            <w:pPr>
              <w:pStyle w:val="yTableNAm"/>
            </w:pPr>
            <w:r>
              <w:t>100.00</w:t>
            </w:r>
          </w:p>
        </w:tc>
      </w:tr>
      <w:tr>
        <w:trPr>
          <w:cantSplit/>
        </w:trPr>
        <w:tc>
          <w:tcPr>
            <w:tcW w:w="714"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 w:val="left" w:pos="384"/>
              </w:tabs>
              <w:ind w:left="384" w:hanging="384"/>
              <w:rPr>
                <w:rFonts w:ascii="Arial" w:hAnsi="Arial" w:cs="Arial"/>
                <w:sz w:val="18"/>
                <w:szCs w:val="18"/>
              </w:rPr>
            </w:pPr>
            <w:r>
              <w:rPr>
                <w:rFonts w:ascii="Arial" w:hAnsi="Arial" w:cs="Arial"/>
                <w:sz w:val="18"/>
                <w:szCs w:val="18"/>
              </w:rPr>
              <w:t>1.</w:t>
            </w:r>
            <w:r>
              <w:rPr>
                <w:rFonts w:ascii="Arial" w:hAnsi="Arial" w:cs="Arial"/>
                <w:sz w:val="18"/>
                <w:szCs w:val="18"/>
              </w:rPr>
              <w:tab/>
              <w:t>The fee is payable when the appeal book is filed.</w:t>
            </w:r>
          </w:p>
        </w:tc>
      </w:tr>
      <w:tr>
        <w:trPr>
          <w:cantSplit/>
        </w:trPr>
        <w:tc>
          <w:tcPr>
            <w:tcW w:w="714"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 w:val="left" w:pos="384"/>
              </w:tabs>
              <w:ind w:left="384" w:hanging="384"/>
              <w:rPr>
                <w:rFonts w:ascii="Arial" w:hAnsi="Arial" w:cs="Arial"/>
                <w:sz w:val="18"/>
                <w:szCs w:val="18"/>
              </w:rPr>
            </w:pPr>
            <w:r>
              <w:rPr>
                <w:rFonts w:ascii="Arial" w:hAnsi="Arial" w:cs="Arial"/>
                <w:sz w:val="18"/>
                <w:szCs w:val="18"/>
              </w:rPr>
              <w:t>2.</w:t>
            </w:r>
            <w:r>
              <w:rPr>
                <w:rFonts w:ascii="Arial" w:hAnsi="Arial" w:cs="Arial"/>
                <w:sz w:val="18"/>
                <w:szCs w:val="18"/>
              </w:rPr>
              <w:tab/>
              <w:t>The fee includes the fee for the first day of hearing.</w:t>
            </w:r>
          </w:p>
        </w:tc>
      </w:tr>
      <w:tr>
        <w:trPr>
          <w:cantSplit/>
        </w:trPr>
        <w:tc>
          <w:tcPr>
            <w:tcW w:w="714" w:type="dxa"/>
            <w:tcBorders>
              <w:top w:val="nil"/>
              <w:left w:val="nil"/>
              <w:bottom w:val="nil"/>
              <w:right w:val="nil"/>
            </w:tcBorders>
          </w:tcPr>
          <w:p>
            <w:pPr>
              <w:pStyle w:val="yTableNAm"/>
            </w:pPr>
            <w:r>
              <w:t>6.</w:t>
            </w:r>
          </w:p>
        </w:tc>
        <w:tc>
          <w:tcPr>
            <w:tcW w:w="2562" w:type="dxa"/>
            <w:tcBorders>
              <w:top w:val="nil"/>
              <w:left w:val="nil"/>
              <w:bottom w:val="nil"/>
              <w:right w:val="nil"/>
            </w:tcBorders>
          </w:tcPr>
          <w:p>
            <w:pPr>
              <w:pStyle w:val="yTableNAm"/>
            </w:pPr>
            <w:r>
              <w:t xml:space="preserve">Allocation of hearing date </w:t>
            </w:r>
          </w:p>
        </w:tc>
        <w:tc>
          <w:tcPr>
            <w:tcW w:w="1246" w:type="dxa"/>
            <w:tcBorders>
              <w:top w:val="nil"/>
              <w:left w:val="nil"/>
              <w:bottom w:val="nil"/>
              <w:right w:val="nil"/>
            </w:tcBorders>
          </w:tcPr>
          <w:p>
            <w:pPr>
              <w:pStyle w:val="yTableNAm"/>
            </w:pPr>
            <w:r>
              <w:t>971.00 for each day estimated</w:t>
            </w:r>
          </w:p>
        </w:tc>
        <w:tc>
          <w:tcPr>
            <w:tcW w:w="1220" w:type="dxa"/>
            <w:tcBorders>
              <w:top w:val="nil"/>
              <w:left w:val="nil"/>
              <w:bottom w:val="nil"/>
              <w:right w:val="nil"/>
            </w:tcBorders>
          </w:tcPr>
          <w:p>
            <w:pPr>
              <w:pStyle w:val="yTableNAm"/>
            </w:pPr>
            <w:r>
              <w:t>2 520.00 for each day estimated</w:t>
            </w:r>
          </w:p>
        </w:tc>
        <w:tc>
          <w:tcPr>
            <w:tcW w:w="1229" w:type="dxa"/>
            <w:tcBorders>
              <w:top w:val="nil"/>
              <w:left w:val="nil"/>
              <w:bottom w:val="nil"/>
              <w:right w:val="nil"/>
            </w:tcBorders>
          </w:tcPr>
          <w:p>
            <w:pPr>
              <w:pStyle w:val="yTableNAm"/>
            </w:pPr>
            <w:r>
              <w:t>0.00</w:t>
            </w:r>
          </w:p>
        </w:tc>
      </w:tr>
      <w:tr>
        <w:trPr>
          <w:cantSplit/>
        </w:trPr>
        <w:tc>
          <w:tcPr>
            <w:tcW w:w="714"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The fee is payable on the number of days in excess of the first hearing day estimated for the hearing by the Court of Appeal Registrar.</w:t>
            </w:r>
          </w:p>
        </w:tc>
      </w:tr>
      <w:tr>
        <w:trPr>
          <w:cantSplit/>
        </w:trPr>
        <w:tc>
          <w:tcPr>
            <w:tcW w:w="714" w:type="dxa"/>
            <w:tcBorders>
              <w:top w:val="nil"/>
              <w:left w:val="nil"/>
              <w:bottom w:val="nil"/>
              <w:right w:val="nil"/>
            </w:tcBorders>
          </w:tcPr>
          <w:p>
            <w:pPr>
              <w:pStyle w:val="yTableNAm"/>
              <w:keepNext/>
            </w:pPr>
            <w:r>
              <w:t>7.</w:t>
            </w:r>
          </w:p>
        </w:tc>
        <w:tc>
          <w:tcPr>
            <w:tcW w:w="2562" w:type="dxa"/>
            <w:tcBorders>
              <w:top w:val="nil"/>
              <w:left w:val="nil"/>
              <w:bottom w:val="nil"/>
              <w:right w:val="nil"/>
            </w:tcBorders>
          </w:tcPr>
          <w:p>
            <w:pPr>
              <w:pStyle w:val="yTableNAm"/>
              <w:keepNext/>
            </w:pPr>
            <w:r>
              <w:t xml:space="preserve">Daily hearing fee </w:t>
            </w:r>
          </w:p>
        </w:tc>
        <w:tc>
          <w:tcPr>
            <w:tcW w:w="1246" w:type="dxa"/>
            <w:tcBorders>
              <w:top w:val="nil"/>
              <w:left w:val="nil"/>
              <w:bottom w:val="nil"/>
              <w:right w:val="nil"/>
            </w:tcBorders>
            <w:vAlign w:val="center"/>
          </w:tcPr>
          <w:p>
            <w:pPr>
              <w:pStyle w:val="yTableNAm"/>
              <w:keepNext/>
            </w:pPr>
            <w:r>
              <w:t>971.00</w:t>
            </w:r>
          </w:p>
        </w:tc>
        <w:tc>
          <w:tcPr>
            <w:tcW w:w="1220" w:type="dxa"/>
            <w:tcBorders>
              <w:top w:val="nil"/>
              <w:left w:val="nil"/>
              <w:bottom w:val="nil"/>
              <w:right w:val="nil"/>
            </w:tcBorders>
            <w:vAlign w:val="center"/>
          </w:tcPr>
          <w:p>
            <w:pPr>
              <w:pStyle w:val="yTableNAm"/>
              <w:keepNext/>
            </w:pPr>
            <w:r>
              <w:t>2 520.00</w:t>
            </w:r>
          </w:p>
        </w:tc>
        <w:tc>
          <w:tcPr>
            <w:tcW w:w="1229" w:type="dxa"/>
            <w:tcBorders>
              <w:top w:val="nil"/>
              <w:left w:val="nil"/>
              <w:bottom w:val="nil"/>
              <w:right w:val="nil"/>
            </w:tcBorders>
            <w:vAlign w:val="center"/>
          </w:tcPr>
          <w:p>
            <w:pPr>
              <w:pStyle w:val="yTableNAm"/>
              <w:keepNext/>
            </w:pPr>
            <w:r>
              <w:t>0.00</w:t>
            </w:r>
          </w:p>
        </w:tc>
      </w:tr>
      <w:tr>
        <w:trPr>
          <w:cantSplit/>
          <w:trHeight w:val="761"/>
        </w:trPr>
        <w:tc>
          <w:tcPr>
            <w:tcW w:w="714"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 w:val="left" w:pos="384"/>
              </w:tabs>
              <w:ind w:left="384" w:hanging="384"/>
              <w:rPr>
                <w:rFonts w:ascii="Arial" w:hAnsi="Arial" w:cs="Arial"/>
                <w:sz w:val="18"/>
                <w:szCs w:val="18"/>
              </w:rPr>
            </w:pPr>
            <w:r>
              <w:rPr>
                <w:rFonts w:ascii="Arial" w:hAnsi="Arial" w:cs="Arial"/>
                <w:sz w:val="18"/>
                <w:szCs w:val="18"/>
              </w:rPr>
              <w:t>1.</w:t>
            </w:r>
            <w:r>
              <w:rPr>
                <w:rFonts w:ascii="Arial" w:hAnsi="Arial" w:cs="Arial"/>
                <w:sz w:val="18"/>
                <w:szCs w:val="18"/>
              </w:rPr>
              <w:tab/>
              <w:t>The fee is not payable in relation to an application for, or to amend or cancel, an interim order.</w:t>
            </w:r>
          </w:p>
        </w:tc>
      </w:tr>
      <w:tr>
        <w:trPr>
          <w:cantSplit/>
          <w:trHeight w:val="567"/>
        </w:trPr>
        <w:tc>
          <w:tcPr>
            <w:tcW w:w="714"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 w:val="left" w:pos="384"/>
              </w:tabs>
              <w:ind w:left="384" w:hanging="384"/>
              <w:rPr>
                <w:rFonts w:ascii="Arial" w:hAnsi="Arial" w:cs="Arial"/>
                <w:sz w:val="18"/>
                <w:szCs w:val="18"/>
              </w:rPr>
            </w:pPr>
            <w:r>
              <w:rPr>
                <w:rFonts w:ascii="Arial" w:hAnsi="Arial" w:cs="Arial"/>
                <w:sz w:val="18"/>
                <w:szCs w:val="18"/>
              </w:rPr>
              <w:t>2.</w:t>
            </w:r>
            <w:r>
              <w:rPr>
                <w:rFonts w:ascii="Arial" w:hAnsi="Arial" w:cs="Arial"/>
                <w:sz w:val="18"/>
                <w:szCs w:val="18"/>
              </w:rPr>
              <w:tab/>
              <w:t>The fee is payable for each additional day or part of a day that a hearing proceeds beyond the number of days for which a fee has been paid.</w:t>
            </w:r>
          </w:p>
        </w:tc>
      </w:tr>
      <w:tr>
        <w:trPr>
          <w:cantSplit/>
          <w:trHeight w:val="624"/>
        </w:trPr>
        <w:tc>
          <w:tcPr>
            <w:tcW w:w="714"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 w:val="left" w:pos="384"/>
              </w:tabs>
              <w:ind w:left="384" w:hanging="384"/>
              <w:rPr>
                <w:rFonts w:ascii="Arial" w:hAnsi="Arial" w:cs="Arial"/>
                <w:sz w:val="18"/>
                <w:szCs w:val="18"/>
              </w:rPr>
            </w:pPr>
            <w:r>
              <w:rPr>
                <w:rFonts w:ascii="Arial" w:hAnsi="Arial" w:cs="Arial"/>
                <w:sz w:val="18"/>
                <w:szCs w:val="18"/>
              </w:rPr>
              <w:t>3.</w:t>
            </w:r>
            <w:r>
              <w:rPr>
                <w:rFonts w:ascii="Arial" w:hAnsi="Arial" w:cs="Arial"/>
                <w:sz w:val="18"/>
                <w:szCs w:val="18"/>
              </w:rPr>
              <w:tab/>
              <w:t>If the Court allocates a half</w:t>
            </w:r>
            <w:r>
              <w:rPr>
                <w:rFonts w:ascii="Arial" w:hAnsi="Arial" w:cs="Arial"/>
                <w:sz w:val="18"/>
                <w:szCs w:val="18"/>
              </w:rPr>
              <w:noBreakHyphen/>
              <w:t>day or less for the continuation of the hearing, a fee equal to half the prescribed amount is payable for that period.</w:t>
            </w:r>
          </w:p>
        </w:tc>
      </w:tr>
      <w:tr>
        <w:trPr>
          <w:cantSplit/>
          <w:trHeight w:val="283"/>
        </w:trPr>
        <w:tc>
          <w:tcPr>
            <w:tcW w:w="714"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 w:val="left" w:pos="384"/>
              </w:tabs>
              <w:ind w:left="384" w:hanging="384"/>
              <w:rPr>
                <w:rFonts w:ascii="Arial" w:hAnsi="Arial" w:cs="Arial"/>
                <w:sz w:val="18"/>
                <w:szCs w:val="18"/>
              </w:rPr>
            </w:pPr>
            <w:r>
              <w:rPr>
                <w:rFonts w:ascii="Arial" w:hAnsi="Arial" w:cs="Arial"/>
                <w:sz w:val="18"/>
                <w:szCs w:val="18"/>
              </w:rPr>
              <w:t>4.</w:t>
            </w:r>
            <w:r>
              <w:rPr>
                <w:rFonts w:ascii="Arial" w:hAnsi="Arial" w:cs="Arial"/>
                <w:sz w:val="18"/>
                <w:szCs w:val="18"/>
              </w:rPr>
              <w:tab/>
              <w:t>The daily hearing fee is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Height w:val="1361"/>
        </w:trPr>
        <w:tc>
          <w:tcPr>
            <w:tcW w:w="714" w:type="dxa"/>
            <w:tcBorders>
              <w:top w:val="nil"/>
              <w:left w:val="nil"/>
              <w:bottom w:val="nil"/>
              <w:right w:val="nil"/>
            </w:tcBorders>
          </w:tcPr>
          <w:p>
            <w:pPr>
              <w:pStyle w:val="yTableNAm"/>
            </w:pPr>
            <w:r>
              <w:t>8.</w:t>
            </w:r>
          </w:p>
        </w:tc>
        <w:tc>
          <w:tcPr>
            <w:tcW w:w="2562" w:type="dxa"/>
            <w:tcBorders>
              <w:top w:val="nil"/>
              <w:left w:val="nil"/>
              <w:bottom w:val="nil"/>
              <w:right w:val="nil"/>
            </w:tcBorders>
          </w:tcPr>
          <w:p>
            <w:pPr>
              <w:pStyle w:val="yTableNAm"/>
            </w:pPr>
            <w:r>
              <w:t>For searching any proceeding or record other than a search made by or on behalf of a party to an appeal</w:t>
            </w:r>
          </w:p>
        </w:tc>
        <w:tc>
          <w:tcPr>
            <w:tcW w:w="1246" w:type="dxa"/>
            <w:tcBorders>
              <w:top w:val="nil"/>
              <w:left w:val="nil"/>
              <w:bottom w:val="nil"/>
              <w:right w:val="nil"/>
            </w:tcBorders>
            <w:vAlign w:val="bottom"/>
          </w:tcPr>
          <w:p>
            <w:pPr>
              <w:pStyle w:val="yTableNAm"/>
            </w:pPr>
            <w:r>
              <w:t>49.00</w:t>
            </w:r>
          </w:p>
        </w:tc>
        <w:tc>
          <w:tcPr>
            <w:tcW w:w="1220" w:type="dxa"/>
            <w:tcBorders>
              <w:top w:val="nil"/>
              <w:left w:val="nil"/>
              <w:bottom w:val="nil"/>
              <w:right w:val="nil"/>
            </w:tcBorders>
            <w:vAlign w:val="bottom"/>
          </w:tcPr>
          <w:p>
            <w:pPr>
              <w:pStyle w:val="yTableNAm"/>
            </w:pPr>
            <w:r>
              <w:t>49.00</w:t>
            </w:r>
          </w:p>
        </w:tc>
        <w:tc>
          <w:tcPr>
            <w:tcW w:w="1229" w:type="dxa"/>
            <w:tcBorders>
              <w:top w:val="nil"/>
              <w:left w:val="nil"/>
              <w:bottom w:val="nil"/>
              <w:right w:val="nil"/>
            </w:tcBorders>
            <w:vAlign w:val="bottom"/>
          </w:tcPr>
          <w:p>
            <w:pPr>
              <w:pStyle w:val="yTableNAm"/>
            </w:pPr>
            <w:r>
              <w:t>14.70</w:t>
            </w:r>
          </w:p>
        </w:tc>
      </w:tr>
      <w:tr>
        <w:trPr>
          <w:cantSplit/>
          <w:trHeight w:val="737"/>
        </w:trPr>
        <w:tc>
          <w:tcPr>
            <w:tcW w:w="714"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for this item:</w:t>
            </w:r>
          </w:p>
          <w:p>
            <w:pPr>
              <w:pStyle w:val="yTableNAm"/>
              <w:rPr>
                <w:rStyle w:val="DraftersNotes"/>
                <w:rFonts w:ascii="Arial" w:hAnsi="Arial" w:cs="Arial"/>
                <w:b w:val="0"/>
                <w:i w:val="0"/>
                <w:sz w:val="18"/>
                <w:szCs w:val="18"/>
              </w:rPr>
            </w:pPr>
            <w:r>
              <w:rPr>
                <w:rFonts w:ascii="Arial" w:hAnsi="Arial" w:cs="Arial"/>
                <w:sz w:val="18"/>
                <w:szCs w:val="18"/>
              </w:rPr>
              <w:t>But if the search is made by a recognised service approved by the Attorney General: $2.00.</w:t>
            </w:r>
          </w:p>
        </w:tc>
      </w:tr>
      <w:tr>
        <w:trPr>
          <w:cantSplit/>
        </w:trPr>
        <w:tc>
          <w:tcPr>
            <w:tcW w:w="714" w:type="dxa"/>
            <w:tcBorders>
              <w:top w:val="nil"/>
              <w:left w:val="nil"/>
              <w:bottom w:val="nil"/>
              <w:right w:val="nil"/>
            </w:tcBorders>
          </w:tcPr>
          <w:p>
            <w:pPr>
              <w:pStyle w:val="yTableNAm"/>
            </w:pPr>
            <w:r>
              <w:t>9.</w:t>
            </w:r>
          </w:p>
        </w:tc>
        <w:tc>
          <w:tcPr>
            <w:tcW w:w="2562" w:type="dxa"/>
            <w:tcBorders>
              <w:top w:val="nil"/>
              <w:left w:val="nil"/>
              <w:bottom w:val="nil"/>
              <w:right w:val="nil"/>
            </w:tcBorders>
          </w:tcPr>
          <w:p>
            <w:pPr>
              <w:pStyle w:val="yTableNAm"/>
              <w:tabs>
                <w:tab w:val="clear" w:pos="567"/>
                <w:tab w:val="left" w:pos="438"/>
              </w:tabs>
              <w:ind w:left="452" w:hanging="452"/>
            </w:pPr>
            <w:r>
              <w:t>(a)</w:t>
            </w:r>
            <w:r>
              <w:tab/>
              <w:t xml:space="preserve">For a copy of a document of any kind or an exhibit, including marking as an office copy if required, for each page or part thereof </w:t>
            </w:r>
          </w:p>
        </w:tc>
        <w:tc>
          <w:tcPr>
            <w:tcW w:w="1246" w:type="dxa"/>
            <w:tcBorders>
              <w:top w:val="nil"/>
              <w:left w:val="nil"/>
              <w:bottom w:val="nil"/>
              <w:right w:val="nil"/>
            </w:tcBorders>
            <w:vAlign w:val="bottom"/>
          </w:tcPr>
          <w:p>
            <w:pPr>
              <w:pStyle w:val="yTableNAm"/>
            </w:pPr>
            <w:r>
              <w:t>2.05</w:t>
            </w:r>
          </w:p>
        </w:tc>
        <w:tc>
          <w:tcPr>
            <w:tcW w:w="1220" w:type="dxa"/>
            <w:tcBorders>
              <w:top w:val="nil"/>
              <w:left w:val="nil"/>
              <w:bottom w:val="nil"/>
              <w:right w:val="nil"/>
            </w:tcBorders>
            <w:vAlign w:val="bottom"/>
          </w:tcPr>
          <w:p>
            <w:pPr>
              <w:pStyle w:val="yTableNAm"/>
            </w:pPr>
            <w:r>
              <w:t>2.05</w:t>
            </w:r>
          </w:p>
        </w:tc>
        <w:tc>
          <w:tcPr>
            <w:tcW w:w="1229" w:type="dxa"/>
            <w:tcBorders>
              <w:top w:val="nil"/>
              <w:left w:val="nil"/>
              <w:bottom w:val="nil"/>
              <w:right w:val="nil"/>
            </w:tcBorders>
            <w:vAlign w:val="bottom"/>
          </w:tcPr>
          <w:p>
            <w:pPr>
              <w:pStyle w:val="yTableNAm"/>
            </w:pPr>
            <w:r>
              <w:t>0.60</w:t>
            </w: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52" w:hanging="452"/>
            </w:pPr>
            <w:r>
              <w:t>(b)</w:t>
            </w:r>
            <w:r>
              <w:tab/>
              <w:t xml:space="preserve">For a copy of reasons for judgment — </w:t>
            </w:r>
          </w:p>
          <w:p>
            <w:pPr>
              <w:pStyle w:val="yTableNAm"/>
              <w:tabs>
                <w:tab w:val="clear" w:pos="567"/>
                <w:tab w:val="left" w:pos="438"/>
                <w:tab w:val="left" w:pos="848"/>
              </w:tabs>
              <w:ind w:left="858" w:hanging="858"/>
            </w:pPr>
            <w:r>
              <w:tab/>
              <w:t>(i)</w:t>
            </w:r>
            <w:r>
              <w:tab/>
              <w:t xml:space="preserve">for each copy issued to a person not a party to the appeal and for each copy in excess of 1 copy issued to a party to the appeal </w:t>
            </w:r>
          </w:p>
        </w:tc>
        <w:tc>
          <w:tcPr>
            <w:tcW w:w="1246" w:type="dxa"/>
            <w:tcBorders>
              <w:top w:val="nil"/>
              <w:left w:val="nil"/>
              <w:bottom w:val="nil"/>
              <w:right w:val="nil"/>
            </w:tcBorders>
            <w:vAlign w:val="bottom"/>
          </w:tcPr>
          <w:p>
            <w:pPr>
              <w:pStyle w:val="yTableNAm"/>
            </w:pPr>
            <w:r>
              <w:t>17.10</w:t>
            </w:r>
          </w:p>
        </w:tc>
        <w:tc>
          <w:tcPr>
            <w:tcW w:w="1220" w:type="dxa"/>
            <w:tcBorders>
              <w:top w:val="nil"/>
              <w:left w:val="nil"/>
              <w:bottom w:val="nil"/>
              <w:right w:val="nil"/>
            </w:tcBorders>
            <w:vAlign w:val="bottom"/>
          </w:tcPr>
          <w:p>
            <w:pPr>
              <w:pStyle w:val="yTableNAm"/>
            </w:pPr>
            <w:r>
              <w:t>17.10</w:t>
            </w:r>
          </w:p>
        </w:tc>
        <w:tc>
          <w:tcPr>
            <w:tcW w:w="1229" w:type="dxa"/>
            <w:tcBorders>
              <w:top w:val="nil"/>
              <w:left w:val="nil"/>
              <w:bottom w:val="nil"/>
              <w:right w:val="nil"/>
            </w:tcBorders>
            <w:vAlign w:val="bottom"/>
          </w:tcPr>
          <w:p>
            <w:pPr>
              <w:pStyle w:val="yTableNAm"/>
            </w:pPr>
            <w:r>
              <w:t>5.15</w:t>
            </w: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 w:val="left" w:pos="848"/>
              </w:tabs>
              <w:ind w:left="858" w:hanging="858"/>
            </w:pPr>
            <w:r>
              <w:tab/>
              <w:t>(ii)</w:t>
            </w:r>
            <w:r>
              <w:tab/>
              <w:t xml:space="preserve">for each copy consisting of more than 10 pages an additional fee per page of </w:t>
            </w:r>
          </w:p>
        </w:tc>
        <w:tc>
          <w:tcPr>
            <w:tcW w:w="1246" w:type="dxa"/>
            <w:tcBorders>
              <w:top w:val="nil"/>
              <w:left w:val="nil"/>
              <w:bottom w:val="nil"/>
              <w:right w:val="nil"/>
            </w:tcBorders>
            <w:vAlign w:val="bottom"/>
          </w:tcPr>
          <w:p>
            <w:pPr>
              <w:pStyle w:val="yTableNAm"/>
            </w:pPr>
            <w:r>
              <w:t>2.20</w:t>
            </w:r>
          </w:p>
        </w:tc>
        <w:tc>
          <w:tcPr>
            <w:tcW w:w="1220" w:type="dxa"/>
            <w:tcBorders>
              <w:top w:val="nil"/>
              <w:left w:val="nil"/>
              <w:bottom w:val="nil"/>
              <w:right w:val="nil"/>
            </w:tcBorders>
            <w:vAlign w:val="bottom"/>
          </w:tcPr>
          <w:p>
            <w:pPr>
              <w:pStyle w:val="yTableNAm"/>
            </w:pPr>
            <w:r>
              <w:t>2.20</w:t>
            </w:r>
          </w:p>
        </w:tc>
        <w:tc>
          <w:tcPr>
            <w:tcW w:w="1229" w:type="dxa"/>
            <w:tcBorders>
              <w:top w:val="nil"/>
              <w:left w:val="nil"/>
              <w:bottom w:val="nil"/>
              <w:right w:val="nil"/>
            </w:tcBorders>
            <w:vAlign w:val="bottom"/>
          </w:tcPr>
          <w:p>
            <w:pPr>
              <w:pStyle w:val="yTableNAm"/>
            </w:pPr>
            <w:r>
              <w:t>0.65</w:t>
            </w: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52" w:hanging="452"/>
            </w:pPr>
            <w:r>
              <w:t>(c)</w:t>
            </w:r>
            <w:r>
              <w:tab/>
              <w:t xml:space="preserve">For certifying under seal that a document is a true copy, an additional fee of </w:t>
            </w:r>
          </w:p>
        </w:tc>
        <w:tc>
          <w:tcPr>
            <w:tcW w:w="1246" w:type="dxa"/>
            <w:tcBorders>
              <w:top w:val="nil"/>
              <w:left w:val="nil"/>
              <w:bottom w:val="nil"/>
              <w:right w:val="nil"/>
            </w:tcBorders>
            <w:vAlign w:val="bottom"/>
          </w:tcPr>
          <w:p>
            <w:pPr>
              <w:pStyle w:val="yTableNAm"/>
            </w:pPr>
            <w:r>
              <w:t>23.50</w:t>
            </w:r>
          </w:p>
        </w:tc>
        <w:tc>
          <w:tcPr>
            <w:tcW w:w="1220" w:type="dxa"/>
            <w:tcBorders>
              <w:top w:val="nil"/>
              <w:left w:val="nil"/>
              <w:bottom w:val="nil"/>
              <w:right w:val="nil"/>
            </w:tcBorders>
            <w:vAlign w:val="bottom"/>
          </w:tcPr>
          <w:p>
            <w:pPr>
              <w:pStyle w:val="yTableNAm"/>
            </w:pPr>
            <w:r>
              <w:t>23.50</w:t>
            </w:r>
          </w:p>
        </w:tc>
        <w:tc>
          <w:tcPr>
            <w:tcW w:w="1229" w:type="dxa"/>
            <w:tcBorders>
              <w:top w:val="nil"/>
              <w:left w:val="nil"/>
              <w:bottom w:val="nil"/>
              <w:right w:val="nil"/>
            </w:tcBorders>
            <w:vAlign w:val="bottom"/>
          </w:tcPr>
          <w:p>
            <w:pPr>
              <w:pStyle w:val="yTableNAm"/>
            </w:pPr>
            <w:r>
              <w:t>7.05</w:t>
            </w: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52" w:hanging="452"/>
            </w:pPr>
            <w:r>
              <w:t>(d)</w:t>
            </w:r>
            <w:r>
              <w:tab/>
              <w:t xml:space="preserve">For a certificate under the hand of a registrar </w:t>
            </w:r>
          </w:p>
        </w:tc>
        <w:tc>
          <w:tcPr>
            <w:tcW w:w="1246" w:type="dxa"/>
            <w:tcBorders>
              <w:top w:val="nil"/>
              <w:left w:val="nil"/>
              <w:bottom w:val="nil"/>
              <w:right w:val="nil"/>
            </w:tcBorders>
            <w:vAlign w:val="bottom"/>
          </w:tcPr>
          <w:p>
            <w:pPr>
              <w:pStyle w:val="yTableNAm"/>
            </w:pPr>
            <w:r>
              <w:t>46.30</w:t>
            </w:r>
          </w:p>
        </w:tc>
        <w:tc>
          <w:tcPr>
            <w:tcW w:w="1220" w:type="dxa"/>
            <w:tcBorders>
              <w:top w:val="nil"/>
              <w:left w:val="nil"/>
              <w:bottom w:val="nil"/>
              <w:right w:val="nil"/>
            </w:tcBorders>
            <w:vAlign w:val="bottom"/>
          </w:tcPr>
          <w:p>
            <w:pPr>
              <w:pStyle w:val="yTableNAm"/>
            </w:pPr>
            <w:r>
              <w:t>46.30</w:t>
            </w:r>
          </w:p>
        </w:tc>
        <w:tc>
          <w:tcPr>
            <w:tcW w:w="1229" w:type="dxa"/>
            <w:tcBorders>
              <w:top w:val="nil"/>
              <w:left w:val="nil"/>
              <w:bottom w:val="nil"/>
              <w:right w:val="nil"/>
            </w:tcBorders>
            <w:vAlign w:val="bottom"/>
          </w:tcPr>
          <w:p>
            <w:pPr>
              <w:pStyle w:val="yTableNAm"/>
            </w:pPr>
            <w:r>
              <w:t>13.90</w:t>
            </w:r>
          </w:p>
        </w:tc>
      </w:tr>
      <w:tr>
        <w:trPr>
          <w:cantSplit/>
        </w:trPr>
        <w:tc>
          <w:tcPr>
            <w:tcW w:w="714" w:type="dxa"/>
            <w:tcBorders>
              <w:top w:val="nil"/>
              <w:left w:val="nil"/>
              <w:bottom w:val="nil"/>
              <w:right w:val="nil"/>
            </w:tcBorders>
          </w:tcPr>
          <w:p>
            <w:pPr>
              <w:pStyle w:val="yTableNAm"/>
              <w:keepNext/>
            </w:pPr>
            <w:r>
              <w:t>10.</w:t>
            </w:r>
          </w:p>
        </w:tc>
        <w:tc>
          <w:tcPr>
            <w:tcW w:w="2562" w:type="dxa"/>
            <w:tcBorders>
              <w:top w:val="nil"/>
              <w:left w:val="nil"/>
              <w:bottom w:val="nil"/>
              <w:right w:val="nil"/>
            </w:tcBorders>
          </w:tcPr>
          <w:p>
            <w:pPr>
              <w:pStyle w:val="yTableNAm"/>
              <w:keepNext/>
              <w:tabs>
                <w:tab w:val="clear" w:pos="567"/>
                <w:tab w:val="left" w:pos="438"/>
              </w:tabs>
              <w:ind w:left="452" w:hanging="452"/>
            </w:pPr>
            <w:r>
              <w:t>(a)</w:t>
            </w:r>
            <w:r>
              <w:tab/>
              <w:t xml:space="preserve">For the provision of a transcript, or part of a transcript — </w:t>
            </w:r>
          </w:p>
        </w:tc>
        <w:tc>
          <w:tcPr>
            <w:tcW w:w="1246" w:type="dxa"/>
            <w:tcBorders>
              <w:top w:val="nil"/>
              <w:left w:val="nil"/>
              <w:bottom w:val="nil"/>
              <w:right w:val="nil"/>
            </w:tcBorders>
          </w:tcPr>
          <w:p>
            <w:pPr>
              <w:pStyle w:val="yTableNAm"/>
              <w:keepNext/>
            </w:pPr>
          </w:p>
        </w:tc>
        <w:tc>
          <w:tcPr>
            <w:tcW w:w="1220" w:type="dxa"/>
            <w:tcBorders>
              <w:top w:val="nil"/>
              <w:left w:val="nil"/>
              <w:bottom w:val="nil"/>
              <w:right w:val="nil"/>
            </w:tcBorders>
          </w:tcPr>
          <w:p>
            <w:pPr>
              <w:pStyle w:val="yTableNAm"/>
              <w:keepNext/>
            </w:pPr>
          </w:p>
        </w:tc>
        <w:tc>
          <w:tcPr>
            <w:tcW w:w="1229" w:type="dxa"/>
            <w:tcBorders>
              <w:top w:val="nil"/>
              <w:left w:val="nil"/>
              <w:bottom w:val="nil"/>
              <w:right w:val="nil"/>
            </w:tcBorders>
          </w:tcPr>
          <w:p>
            <w:pPr>
              <w:pStyle w:val="yTableNAm"/>
              <w:keepNext/>
            </w:pP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 w:val="left" w:pos="848"/>
              </w:tabs>
              <w:ind w:left="858" w:hanging="858"/>
            </w:pPr>
            <w:r>
              <w:tab/>
              <w:t>(i)</w:t>
            </w:r>
            <w:r>
              <w:tab/>
              <w:t xml:space="preserve">provided within 1 day after the day on which the fee is paid </w:t>
            </w:r>
          </w:p>
        </w:tc>
        <w:tc>
          <w:tcPr>
            <w:tcW w:w="1246" w:type="dxa"/>
            <w:tcBorders>
              <w:top w:val="nil"/>
              <w:left w:val="nil"/>
              <w:bottom w:val="nil"/>
              <w:right w:val="nil"/>
            </w:tcBorders>
          </w:tcPr>
          <w:p>
            <w:pPr>
              <w:pStyle w:val="yTableNAm"/>
            </w:pPr>
            <w:r>
              <w:t>22.60 plus</w:t>
            </w:r>
            <w:r>
              <w:br/>
              <w:t>9.30 per page</w:t>
            </w:r>
          </w:p>
        </w:tc>
        <w:tc>
          <w:tcPr>
            <w:tcW w:w="1220" w:type="dxa"/>
            <w:tcBorders>
              <w:top w:val="nil"/>
              <w:left w:val="nil"/>
              <w:bottom w:val="nil"/>
              <w:right w:val="nil"/>
            </w:tcBorders>
          </w:tcPr>
          <w:p>
            <w:pPr>
              <w:pStyle w:val="yTableNAm"/>
            </w:pPr>
            <w:r>
              <w:t>22.60 plus</w:t>
            </w:r>
            <w:r>
              <w:br/>
              <w:t>18.60 per page</w:t>
            </w:r>
          </w:p>
        </w:tc>
        <w:tc>
          <w:tcPr>
            <w:tcW w:w="1229" w:type="dxa"/>
            <w:tcBorders>
              <w:top w:val="nil"/>
              <w:left w:val="nil"/>
              <w:bottom w:val="nil"/>
              <w:right w:val="nil"/>
            </w:tcBorders>
          </w:tcPr>
          <w:p>
            <w:pPr>
              <w:pStyle w:val="yTableNAm"/>
            </w:pPr>
            <w:r>
              <w:t xml:space="preserve">6.80 plus </w:t>
            </w:r>
            <w:r>
              <w:br/>
              <w:t>2.80 per page</w:t>
            </w: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 w:val="left" w:pos="848"/>
              </w:tabs>
              <w:ind w:left="858" w:hanging="858"/>
            </w:pPr>
            <w:r>
              <w:tab/>
              <w:t>(ii)</w:t>
            </w:r>
            <w:r>
              <w:tab/>
              <w:t xml:space="preserve">provided within 2 days after the day on which the fee is paid </w:t>
            </w:r>
          </w:p>
        </w:tc>
        <w:tc>
          <w:tcPr>
            <w:tcW w:w="1246" w:type="dxa"/>
            <w:tcBorders>
              <w:top w:val="nil"/>
              <w:left w:val="nil"/>
              <w:bottom w:val="nil"/>
              <w:right w:val="nil"/>
            </w:tcBorders>
          </w:tcPr>
          <w:p>
            <w:pPr>
              <w:pStyle w:val="yTableNAm"/>
            </w:pPr>
            <w:r>
              <w:t>22.60 plus</w:t>
            </w:r>
            <w:r>
              <w:br/>
              <w:t>8.55 per page</w:t>
            </w:r>
          </w:p>
        </w:tc>
        <w:tc>
          <w:tcPr>
            <w:tcW w:w="1220" w:type="dxa"/>
            <w:tcBorders>
              <w:top w:val="nil"/>
              <w:left w:val="nil"/>
              <w:bottom w:val="nil"/>
              <w:right w:val="nil"/>
            </w:tcBorders>
          </w:tcPr>
          <w:p>
            <w:pPr>
              <w:pStyle w:val="yTableNAm"/>
            </w:pPr>
            <w:r>
              <w:t>22.60 plus</w:t>
            </w:r>
            <w:r>
              <w:br/>
              <w:t>17.05 per page</w:t>
            </w:r>
          </w:p>
        </w:tc>
        <w:tc>
          <w:tcPr>
            <w:tcW w:w="1229" w:type="dxa"/>
            <w:tcBorders>
              <w:top w:val="nil"/>
              <w:left w:val="nil"/>
              <w:bottom w:val="nil"/>
              <w:right w:val="nil"/>
            </w:tcBorders>
          </w:tcPr>
          <w:p>
            <w:pPr>
              <w:pStyle w:val="yTableNAm"/>
            </w:pPr>
            <w:r>
              <w:t xml:space="preserve">6.80 plus </w:t>
            </w:r>
            <w:r>
              <w:br/>
              <w:t>2.55 per page</w:t>
            </w: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 w:val="left" w:pos="848"/>
              </w:tabs>
              <w:ind w:left="858" w:hanging="858"/>
            </w:pPr>
            <w:r>
              <w:tab/>
              <w:t>(iii)</w:t>
            </w:r>
            <w:r>
              <w:tab/>
              <w:t xml:space="preserve">provided within 4 days after the day on which the fee is paid </w:t>
            </w:r>
          </w:p>
        </w:tc>
        <w:tc>
          <w:tcPr>
            <w:tcW w:w="1246" w:type="dxa"/>
            <w:tcBorders>
              <w:top w:val="nil"/>
              <w:left w:val="nil"/>
              <w:bottom w:val="nil"/>
              <w:right w:val="nil"/>
            </w:tcBorders>
          </w:tcPr>
          <w:p>
            <w:pPr>
              <w:pStyle w:val="yTableNAm"/>
            </w:pPr>
            <w:r>
              <w:t>22.60 plus</w:t>
            </w:r>
            <w:r>
              <w:br/>
              <w:t>8.05 per page</w:t>
            </w:r>
          </w:p>
        </w:tc>
        <w:tc>
          <w:tcPr>
            <w:tcW w:w="1220" w:type="dxa"/>
            <w:tcBorders>
              <w:top w:val="nil"/>
              <w:left w:val="nil"/>
              <w:bottom w:val="nil"/>
              <w:right w:val="nil"/>
            </w:tcBorders>
          </w:tcPr>
          <w:p>
            <w:pPr>
              <w:pStyle w:val="yTableNAm"/>
            </w:pPr>
            <w:r>
              <w:t>22.60 plus</w:t>
            </w:r>
            <w:r>
              <w:br/>
              <w:t>16.25 per page</w:t>
            </w:r>
          </w:p>
        </w:tc>
        <w:tc>
          <w:tcPr>
            <w:tcW w:w="1229" w:type="dxa"/>
            <w:tcBorders>
              <w:top w:val="nil"/>
              <w:left w:val="nil"/>
              <w:bottom w:val="nil"/>
              <w:right w:val="nil"/>
            </w:tcBorders>
          </w:tcPr>
          <w:p>
            <w:pPr>
              <w:pStyle w:val="yTableNAm"/>
            </w:pPr>
            <w:r>
              <w:t xml:space="preserve">6.80 plus </w:t>
            </w:r>
            <w:r>
              <w:br/>
              <w:t>2.40 per page</w:t>
            </w: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 w:val="left" w:pos="848"/>
              </w:tabs>
              <w:ind w:left="858" w:hanging="858"/>
            </w:pPr>
            <w:r>
              <w:tab/>
              <w:t>(iv)</w:t>
            </w:r>
            <w:r>
              <w:tab/>
              <w:t xml:space="preserve">provided within 7 days after the day on which the fee is paid </w:t>
            </w:r>
          </w:p>
        </w:tc>
        <w:tc>
          <w:tcPr>
            <w:tcW w:w="1246" w:type="dxa"/>
            <w:tcBorders>
              <w:top w:val="nil"/>
              <w:left w:val="nil"/>
              <w:bottom w:val="nil"/>
              <w:right w:val="nil"/>
            </w:tcBorders>
          </w:tcPr>
          <w:p>
            <w:pPr>
              <w:pStyle w:val="yTableNAm"/>
            </w:pPr>
            <w:r>
              <w:t xml:space="preserve">22.60 plus </w:t>
            </w:r>
            <w:r>
              <w:br/>
              <w:t>7.75 per page</w:t>
            </w:r>
          </w:p>
        </w:tc>
        <w:tc>
          <w:tcPr>
            <w:tcW w:w="1220" w:type="dxa"/>
            <w:tcBorders>
              <w:top w:val="nil"/>
              <w:left w:val="nil"/>
              <w:bottom w:val="nil"/>
              <w:right w:val="nil"/>
            </w:tcBorders>
          </w:tcPr>
          <w:p>
            <w:pPr>
              <w:pStyle w:val="yTableNAm"/>
            </w:pPr>
            <w:r>
              <w:t>22.60 plus</w:t>
            </w:r>
            <w:r>
              <w:br/>
              <w:t>15.45 per page</w:t>
            </w:r>
          </w:p>
        </w:tc>
        <w:tc>
          <w:tcPr>
            <w:tcW w:w="1229" w:type="dxa"/>
            <w:tcBorders>
              <w:top w:val="nil"/>
              <w:left w:val="nil"/>
              <w:bottom w:val="nil"/>
              <w:right w:val="nil"/>
            </w:tcBorders>
          </w:tcPr>
          <w:p>
            <w:pPr>
              <w:pStyle w:val="yTableNAm"/>
            </w:pPr>
            <w:r>
              <w:t xml:space="preserve">6.80 plus </w:t>
            </w:r>
            <w:r>
              <w:br/>
              <w:t>2.30 per page</w:t>
            </w: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 w:val="left" w:pos="848"/>
              </w:tabs>
              <w:ind w:left="858" w:hanging="858"/>
            </w:pPr>
            <w:r>
              <w:tab/>
              <w:t>(v)</w:t>
            </w:r>
            <w:r>
              <w:tab/>
              <w:t xml:space="preserve">provided within 14 days after the day on which the fee is paid </w:t>
            </w:r>
          </w:p>
        </w:tc>
        <w:tc>
          <w:tcPr>
            <w:tcW w:w="1246" w:type="dxa"/>
            <w:tcBorders>
              <w:top w:val="nil"/>
              <w:left w:val="nil"/>
              <w:bottom w:val="nil"/>
              <w:right w:val="nil"/>
            </w:tcBorders>
          </w:tcPr>
          <w:p>
            <w:pPr>
              <w:pStyle w:val="yTableNAm"/>
            </w:pPr>
            <w:r>
              <w:t>22.60 plus 6.60 per page</w:t>
            </w:r>
          </w:p>
        </w:tc>
        <w:tc>
          <w:tcPr>
            <w:tcW w:w="1220" w:type="dxa"/>
            <w:tcBorders>
              <w:top w:val="nil"/>
              <w:left w:val="nil"/>
              <w:bottom w:val="nil"/>
              <w:right w:val="nil"/>
            </w:tcBorders>
          </w:tcPr>
          <w:p>
            <w:pPr>
              <w:pStyle w:val="yTableNAm"/>
            </w:pPr>
            <w:r>
              <w:t>22.60 plus 13.20 per page</w:t>
            </w:r>
          </w:p>
        </w:tc>
        <w:tc>
          <w:tcPr>
            <w:tcW w:w="1229" w:type="dxa"/>
            <w:tcBorders>
              <w:top w:val="nil"/>
              <w:left w:val="nil"/>
              <w:bottom w:val="nil"/>
              <w:right w:val="nil"/>
            </w:tcBorders>
          </w:tcPr>
          <w:p>
            <w:pPr>
              <w:pStyle w:val="yTableNAm"/>
            </w:pPr>
            <w:r>
              <w:t>6.80 plus 2.00 per page</w:t>
            </w: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 w:val="left" w:pos="848"/>
              </w:tabs>
              <w:ind w:left="858" w:hanging="858"/>
            </w:pPr>
            <w:r>
              <w:tab/>
              <w:t>(vi)</w:t>
            </w:r>
            <w:r>
              <w:tab/>
              <w:t>provided on a running basis (i.e. periodically throughout or following the day of the proceedings)</w:t>
            </w:r>
          </w:p>
        </w:tc>
        <w:tc>
          <w:tcPr>
            <w:tcW w:w="1246" w:type="dxa"/>
            <w:tcBorders>
              <w:top w:val="nil"/>
              <w:left w:val="nil"/>
              <w:bottom w:val="nil"/>
              <w:right w:val="nil"/>
            </w:tcBorders>
          </w:tcPr>
          <w:p>
            <w:pPr>
              <w:pStyle w:val="yTableNAm"/>
            </w:pPr>
            <w:r>
              <w:t>22.60 plus 9.90 per page</w:t>
            </w:r>
          </w:p>
        </w:tc>
        <w:tc>
          <w:tcPr>
            <w:tcW w:w="1220" w:type="dxa"/>
            <w:tcBorders>
              <w:top w:val="nil"/>
              <w:left w:val="nil"/>
              <w:bottom w:val="nil"/>
              <w:right w:val="nil"/>
            </w:tcBorders>
          </w:tcPr>
          <w:p>
            <w:pPr>
              <w:pStyle w:val="yTableNAm"/>
            </w:pPr>
            <w:r>
              <w:t>22.60 plus 19.80 per page</w:t>
            </w:r>
          </w:p>
        </w:tc>
        <w:tc>
          <w:tcPr>
            <w:tcW w:w="1229" w:type="dxa"/>
            <w:tcBorders>
              <w:top w:val="nil"/>
              <w:left w:val="nil"/>
              <w:bottom w:val="nil"/>
              <w:right w:val="nil"/>
            </w:tcBorders>
          </w:tcPr>
          <w:p>
            <w:pPr>
              <w:pStyle w:val="yTableNAm"/>
            </w:pPr>
            <w:r>
              <w:t>6.80 plus 2.95 per page</w:t>
            </w: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52" w:hanging="452"/>
            </w:pPr>
            <w:r>
              <w:t>(b)</w:t>
            </w:r>
            <w:r>
              <w:tab/>
              <w:t>For the provision of a copy of a transcript, or part of a transcript, where the transcript or part has already been provided to the person requesting the copy —</w:t>
            </w:r>
          </w:p>
        </w:tc>
        <w:tc>
          <w:tcPr>
            <w:tcW w:w="1246" w:type="dxa"/>
            <w:tcBorders>
              <w:top w:val="nil"/>
              <w:left w:val="nil"/>
              <w:bottom w:val="nil"/>
              <w:right w:val="nil"/>
            </w:tcBorders>
          </w:tcPr>
          <w:p>
            <w:pPr>
              <w:pStyle w:val="yTableNAm"/>
            </w:pPr>
          </w:p>
        </w:tc>
        <w:tc>
          <w:tcPr>
            <w:tcW w:w="1220" w:type="dxa"/>
            <w:tcBorders>
              <w:top w:val="nil"/>
              <w:left w:val="nil"/>
              <w:bottom w:val="nil"/>
              <w:right w:val="nil"/>
            </w:tcBorders>
          </w:tcPr>
          <w:p>
            <w:pPr>
              <w:pStyle w:val="yTableNAm"/>
            </w:pPr>
          </w:p>
        </w:tc>
        <w:tc>
          <w:tcPr>
            <w:tcW w:w="1229" w:type="dxa"/>
            <w:tcBorders>
              <w:top w:val="nil"/>
              <w:left w:val="nil"/>
              <w:bottom w:val="nil"/>
              <w:right w:val="nil"/>
            </w:tcBorders>
          </w:tcPr>
          <w:p>
            <w:pPr>
              <w:pStyle w:val="yTableNAm"/>
            </w:pP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 w:val="left" w:pos="848"/>
              </w:tabs>
              <w:ind w:left="858" w:hanging="858"/>
            </w:pPr>
            <w:r>
              <w:tab/>
              <w:t>(i)</w:t>
            </w:r>
            <w:r>
              <w:tab/>
              <w:t xml:space="preserve">electronic format </w:t>
            </w:r>
          </w:p>
        </w:tc>
        <w:tc>
          <w:tcPr>
            <w:tcW w:w="1246" w:type="dxa"/>
            <w:tcBorders>
              <w:top w:val="nil"/>
              <w:left w:val="nil"/>
              <w:bottom w:val="nil"/>
              <w:right w:val="nil"/>
            </w:tcBorders>
          </w:tcPr>
          <w:p>
            <w:pPr>
              <w:pStyle w:val="yTableNAm"/>
            </w:pPr>
            <w:r>
              <w:t>23.50 per copy</w:t>
            </w:r>
          </w:p>
        </w:tc>
        <w:tc>
          <w:tcPr>
            <w:tcW w:w="1220" w:type="dxa"/>
            <w:tcBorders>
              <w:top w:val="nil"/>
              <w:left w:val="nil"/>
              <w:bottom w:val="nil"/>
              <w:right w:val="nil"/>
            </w:tcBorders>
          </w:tcPr>
          <w:p>
            <w:pPr>
              <w:pStyle w:val="yTableNAm"/>
            </w:pPr>
            <w:r>
              <w:t>23.50 per copy</w:t>
            </w:r>
          </w:p>
        </w:tc>
        <w:tc>
          <w:tcPr>
            <w:tcW w:w="1229" w:type="dxa"/>
            <w:tcBorders>
              <w:top w:val="nil"/>
              <w:left w:val="nil"/>
              <w:bottom w:val="nil"/>
              <w:right w:val="nil"/>
            </w:tcBorders>
          </w:tcPr>
          <w:p>
            <w:pPr>
              <w:pStyle w:val="yTableNAm"/>
            </w:pPr>
            <w:r>
              <w:t>7.05 per copy</w:t>
            </w:r>
          </w:p>
        </w:tc>
      </w:tr>
      <w:tr>
        <w:trPr>
          <w:cantSplit/>
        </w:trPr>
        <w:tc>
          <w:tcPr>
            <w:tcW w:w="714" w:type="dxa"/>
            <w:tcBorders>
              <w:top w:val="nil"/>
              <w:left w:val="nil"/>
              <w:bottom w:val="single" w:sz="4" w:space="0" w:color="auto"/>
              <w:right w:val="nil"/>
            </w:tcBorders>
          </w:tcPr>
          <w:p>
            <w:pPr>
              <w:pStyle w:val="yTableNAm"/>
            </w:pPr>
          </w:p>
        </w:tc>
        <w:tc>
          <w:tcPr>
            <w:tcW w:w="2562" w:type="dxa"/>
            <w:tcBorders>
              <w:top w:val="nil"/>
              <w:left w:val="nil"/>
              <w:bottom w:val="single" w:sz="4" w:space="0" w:color="auto"/>
              <w:right w:val="nil"/>
            </w:tcBorders>
          </w:tcPr>
          <w:p>
            <w:pPr>
              <w:pStyle w:val="yTableNAm"/>
              <w:tabs>
                <w:tab w:val="clear" w:pos="567"/>
                <w:tab w:val="left" w:pos="438"/>
                <w:tab w:val="left" w:pos="848"/>
              </w:tabs>
              <w:ind w:left="858" w:hanging="858"/>
            </w:pPr>
            <w:r>
              <w:tab/>
              <w:t>(ii)</w:t>
            </w:r>
            <w:r>
              <w:tab/>
              <w:t xml:space="preserve">paper copy </w:t>
            </w:r>
          </w:p>
        </w:tc>
        <w:tc>
          <w:tcPr>
            <w:tcW w:w="1246" w:type="dxa"/>
            <w:tcBorders>
              <w:top w:val="nil"/>
              <w:left w:val="nil"/>
              <w:bottom w:val="single" w:sz="4" w:space="0" w:color="auto"/>
              <w:right w:val="nil"/>
            </w:tcBorders>
          </w:tcPr>
          <w:p>
            <w:pPr>
              <w:pStyle w:val="yTableNAm"/>
            </w:pPr>
            <w:r>
              <w:t>2.30 per page</w:t>
            </w:r>
          </w:p>
        </w:tc>
        <w:tc>
          <w:tcPr>
            <w:tcW w:w="1220" w:type="dxa"/>
            <w:tcBorders>
              <w:top w:val="nil"/>
              <w:left w:val="nil"/>
              <w:bottom w:val="single" w:sz="4" w:space="0" w:color="auto"/>
              <w:right w:val="nil"/>
            </w:tcBorders>
          </w:tcPr>
          <w:p>
            <w:pPr>
              <w:pStyle w:val="yTableNAm"/>
            </w:pPr>
            <w:r>
              <w:t>2.30 per page</w:t>
            </w:r>
          </w:p>
        </w:tc>
        <w:tc>
          <w:tcPr>
            <w:tcW w:w="1229" w:type="dxa"/>
            <w:tcBorders>
              <w:top w:val="nil"/>
              <w:left w:val="nil"/>
              <w:bottom w:val="single" w:sz="4" w:space="0" w:color="auto"/>
              <w:right w:val="nil"/>
            </w:tcBorders>
          </w:tcPr>
          <w:p>
            <w:pPr>
              <w:pStyle w:val="yTableNAm"/>
            </w:pPr>
            <w:r>
              <w:t>0.70 per page</w:t>
            </w:r>
          </w:p>
        </w:tc>
      </w:tr>
    </w:tbl>
    <w:p>
      <w:pPr>
        <w:pStyle w:val="yFootnotesection"/>
      </w:pPr>
      <w:r>
        <w:tab/>
        <w:t>[Division 2 inserted: Gazette 28 Jun 2019 p. 2633</w:t>
      </w:r>
      <w:r>
        <w:noBreakHyphen/>
        <w:t>8.]</w:t>
      </w:r>
    </w:p>
    <w:p>
      <w:pPr>
        <w:pStyle w:val="yScheduleHeading"/>
      </w:pPr>
      <w:bookmarkStart w:id="60" w:name="_Toc15561487"/>
      <w:bookmarkStart w:id="61" w:name="_Toc15561514"/>
      <w:bookmarkStart w:id="62" w:name="_Toc15562161"/>
      <w:bookmarkStart w:id="63" w:name="_Toc15562516"/>
      <w:bookmarkStart w:id="64" w:name="_Toc15562881"/>
      <w:bookmarkStart w:id="65" w:name="_Toc19787856"/>
      <w:bookmarkStart w:id="66" w:name="_Toc25656896"/>
      <w:r>
        <w:rPr>
          <w:rStyle w:val="CharSchNo"/>
        </w:rPr>
        <w:t>Schedule 2</w:t>
      </w:r>
      <w:r>
        <w:rPr>
          <w:rStyle w:val="CharSDivNo"/>
        </w:rPr>
        <w:t> </w:t>
      </w:r>
      <w:r>
        <w:t>—</w:t>
      </w:r>
      <w:r>
        <w:rPr>
          <w:rStyle w:val="CharSDivText"/>
        </w:rPr>
        <w:t> </w:t>
      </w:r>
      <w:r>
        <w:rPr>
          <w:rStyle w:val="CharSchText"/>
        </w:rPr>
        <w:t>Sheriff’s fees</w:t>
      </w:r>
      <w:bookmarkEnd w:id="60"/>
      <w:bookmarkEnd w:id="61"/>
      <w:bookmarkEnd w:id="62"/>
      <w:bookmarkEnd w:id="63"/>
      <w:bookmarkEnd w:id="64"/>
      <w:bookmarkEnd w:id="65"/>
      <w:bookmarkEnd w:id="66"/>
    </w:p>
    <w:p>
      <w:pPr>
        <w:pStyle w:val="yShoulderClause"/>
      </w:pPr>
      <w:r>
        <w:t>[r. 4]</w:t>
      </w:r>
    </w:p>
    <w:p>
      <w:pPr>
        <w:pStyle w:val="yFootnoteheading"/>
        <w:spacing w:after="60"/>
      </w:pPr>
      <w:r>
        <w:tab/>
        <w:t>[Heading inserted: Gazette 28 Jun 2019 p. 2639.]</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44"/>
        <w:gridCol w:w="17"/>
        <w:gridCol w:w="1382"/>
      </w:tblGrid>
      <w:tr>
        <w:trPr>
          <w:cantSplit/>
          <w:tblHeader/>
        </w:trPr>
        <w:tc>
          <w:tcPr>
            <w:tcW w:w="709" w:type="dxa"/>
            <w:tcBorders>
              <w:left w:val="nil"/>
              <w:bottom w:val="single" w:sz="4" w:space="0" w:color="auto"/>
              <w:right w:val="nil"/>
            </w:tcBorders>
          </w:tcPr>
          <w:p>
            <w:pPr>
              <w:pStyle w:val="yTableNAm"/>
              <w:jc w:val="center"/>
              <w:rPr>
                <w:b/>
              </w:rPr>
            </w:pPr>
            <w:r>
              <w:rPr>
                <w:b/>
              </w:rPr>
              <w:t>Item</w:t>
            </w:r>
          </w:p>
        </w:tc>
        <w:tc>
          <w:tcPr>
            <w:tcW w:w="4944" w:type="dxa"/>
            <w:tcBorders>
              <w:left w:val="nil"/>
              <w:bottom w:val="single" w:sz="4" w:space="0" w:color="auto"/>
              <w:right w:val="nil"/>
            </w:tcBorders>
          </w:tcPr>
          <w:p>
            <w:pPr>
              <w:pStyle w:val="yTableNAm"/>
              <w:jc w:val="center"/>
              <w:rPr>
                <w:b/>
              </w:rPr>
            </w:pPr>
            <w:r>
              <w:rPr>
                <w:b/>
              </w:rPr>
              <w:t>Matter</w:t>
            </w:r>
          </w:p>
        </w:tc>
        <w:tc>
          <w:tcPr>
            <w:tcW w:w="1399" w:type="dxa"/>
            <w:gridSpan w:val="2"/>
            <w:tcBorders>
              <w:left w:val="nil"/>
              <w:bottom w:val="single" w:sz="4" w:space="0" w:color="auto"/>
              <w:right w:val="nil"/>
            </w:tcBorders>
          </w:tcPr>
          <w:p>
            <w:pPr>
              <w:pStyle w:val="yTableNAm"/>
              <w:jc w:val="center"/>
              <w:rPr>
                <w:b/>
              </w:rPr>
            </w:pPr>
            <w:r>
              <w:rPr>
                <w:b/>
              </w:rPr>
              <w:t>Fee</w:t>
            </w:r>
            <w:r>
              <w:rPr>
                <w:b/>
              </w:rPr>
              <w:br/>
              <w:t>$</w:t>
            </w:r>
          </w:p>
        </w:tc>
      </w:tr>
      <w:tr>
        <w:trPr>
          <w:cantSplit/>
        </w:trPr>
        <w:tc>
          <w:tcPr>
            <w:tcW w:w="709" w:type="dxa"/>
            <w:tcBorders>
              <w:left w:val="nil"/>
              <w:bottom w:val="nil"/>
              <w:right w:val="nil"/>
            </w:tcBorders>
          </w:tcPr>
          <w:p>
            <w:pPr>
              <w:pStyle w:val="yTableNAm"/>
            </w:pPr>
            <w:r>
              <w:t>1.</w:t>
            </w:r>
          </w:p>
        </w:tc>
        <w:tc>
          <w:tcPr>
            <w:tcW w:w="4944" w:type="dxa"/>
            <w:tcBorders>
              <w:left w:val="nil"/>
              <w:bottom w:val="nil"/>
              <w:right w:val="nil"/>
            </w:tcBorders>
          </w:tcPr>
          <w:p>
            <w:pPr>
              <w:pStyle w:val="yTableNAm"/>
            </w:pPr>
            <w:r>
              <w:t>On the execution of an arrest warrant of any kind —</w:t>
            </w:r>
          </w:p>
        </w:tc>
        <w:tc>
          <w:tcPr>
            <w:tcW w:w="1399" w:type="dxa"/>
            <w:gridSpan w:val="2"/>
            <w:tcBorders>
              <w:left w:val="nil"/>
              <w:bottom w:val="nil"/>
              <w:right w:val="nil"/>
            </w:tcBorders>
          </w:tcPr>
          <w:p>
            <w:pPr>
              <w:pStyle w:val="yTableNAm"/>
            </w:pPr>
          </w:p>
        </w:tc>
      </w:tr>
      <w:tr>
        <w:trPr>
          <w:cantSplit/>
        </w:trPr>
        <w:tc>
          <w:tcPr>
            <w:tcW w:w="709" w:type="dxa"/>
            <w:tcBorders>
              <w:top w:val="nil"/>
              <w:left w:val="nil"/>
              <w:bottom w:val="nil"/>
              <w:right w:val="nil"/>
            </w:tcBorders>
          </w:tcPr>
          <w:p>
            <w:pPr>
              <w:pStyle w:val="yTableNAm"/>
            </w:pPr>
          </w:p>
        </w:tc>
        <w:tc>
          <w:tcPr>
            <w:tcW w:w="4944" w:type="dxa"/>
            <w:tcBorders>
              <w:top w:val="nil"/>
              <w:left w:val="nil"/>
              <w:bottom w:val="nil"/>
              <w:right w:val="nil"/>
            </w:tcBorders>
          </w:tcPr>
          <w:p>
            <w:pPr>
              <w:pStyle w:val="yTableNAm"/>
              <w:tabs>
                <w:tab w:val="clear" w:pos="567"/>
                <w:tab w:val="left" w:pos="438"/>
              </w:tabs>
              <w:ind w:left="452" w:hanging="452"/>
            </w:pPr>
            <w:r>
              <w:t>(a)</w:t>
            </w:r>
            <w:r>
              <w:tab/>
              <w:t xml:space="preserve">for arresting the person </w:t>
            </w:r>
          </w:p>
        </w:tc>
        <w:tc>
          <w:tcPr>
            <w:tcW w:w="1399" w:type="dxa"/>
            <w:gridSpan w:val="2"/>
            <w:tcBorders>
              <w:top w:val="nil"/>
              <w:left w:val="nil"/>
              <w:bottom w:val="nil"/>
              <w:right w:val="nil"/>
            </w:tcBorders>
            <w:vAlign w:val="bottom"/>
          </w:tcPr>
          <w:p>
            <w:pPr>
              <w:pStyle w:val="yTableNAm"/>
            </w:pPr>
            <w:r>
              <w:t>155.50</w:t>
            </w:r>
          </w:p>
        </w:tc>
      </w:tr>
      <w:tr>
        <w:trPr>
          <w:cantSplit/>
        </w:trPr>
        <w:tc>
          <w:tcPr>
            <w:tcW w:w="709" w:type="dxa"/>
            <w:tcBorders>
              <w:top w:val="nil"/>
              <w:left w:val="nil"/>
              <w:bottom w:val="nil"/>
              <w:right w:val="nil"/>
            </w:tcBorders>
          </w:tcPr>
          <w:p>
            <w:pPr>
              <w:pStyle w:val="yTableNAm"/>
            </w:pPr>
          </w:p>
        </w:tc>
        <w:tc>
          <w:tcPr>
            <w:tcW w:w="4944" w:type="dxa"/>
            <w:tcBorders>
              <w:top w:val="nil"/>
              <w:left w:val="nil"/>
              <w:bottom w:val="nil"/>
              <w:right w:val="nil"/>
            </w:tcBorders>
          </w:tcPr>
          <w:p>
            <w:pPr>
              <w:pStyle w:val="yTableNAm"/>
              <w:tabs>
                <w:tab w:val="clear" w:pos="567"/>
                <w:tab w:val="left" w:pos="438"/>
              </w:tabs>
              <w:ind w:left="452" w:hanging="452"/>
            </w:pPr>
            <w:r>
              <w:t>(b)</w:t>
            </w:r>
            <w:r>
              <w:tab/>
              <w:t>for conveying the person to a court or a custodial place and releasing the person from arrest or custody</w:t>
            </w:r>
          </w:p>
        </w:tc>
        <w:tc>
          <w:tcPr>
            <w:tcW w:w="1399" w:type="dxa"/>
            <w:gridSpan w:val="2"/>
            <w:tcBorders>
              <w:top w:val="nil"/>
              <w:left w:val="nil"/>
              <w:bottom w:val="nil"/>
              <w:right w:val="nil"/>
            </w:tcBorders>
            <w:vAlign w:val="bottom"/>
          </w:tcPr>
          <w:p>
            <w:pPr>
              <w:pStyle w:val="yTableNAm"/>
            </w:pPr>
            <w:r>
              <w:t>154.00</w:t>
            </w:r>
          </w:p>
        </w:tc>
      </w:tr>
      <w:tr>
        <w:trPr>
          <w:cantSplit/>
        </w:trPr>
        <w:tc>
          <w:tcPr>
            <w:tcW w:w="709" w:type="dxa"/>
            <w:tcBorders>
              <w:top w:val="nil"/>
              <w:left w:val="nil"/>
              <w:bottom w:val="nil"/>
              <w:right w:val="nil"/>
            </w:tcBorders>
          </w:tcPr>
          <w:p>
            <w:pPr>
              <w:pStyle w:val="yTableNAm"/>
            </w:pPr>
          </w:p>
        </w:tc>
        <w:tc>
          <w:tcPr>
            <w:tcW w:w="4944" w:type="dxa"/>
            <w:tcBorders>
              <w:top w:val="nil"/>
              <w:left w:val="nil"/>
              <w:bottom w:val="nil"/>
              <w:right w:val="nil"/>
            </w:tcBorders>
          </w:tcPr>
          <w:p>
            <w:pPr>
              <w:pStyle w:val="yTableNAm"/>
              <w:tabs>
                <w:tab w:val="clear" w:pos="567"/>
                <w:tab w:val="left" w:pos="438"/>
              </w:tabs>
              <w:ind w:left="452" w:hanging="452"/>
            </w:pPr>
            <w:r>
              <w:t>(c)</w:t>
            </w:r>
            <w:r>
              <w:tab/>
              <w:t>for each 30 minutes after 2 hours and 30 minutes that an enforcement officer is required to keep the person in custody until the person is conveyed to a court or a custodial place</w:t>
            </w:r>
          </w:p>
        </w:tc>
        <w:tc>
          <w:tcPr>
            <w:tcW w:w="1399" w:type="dxa"/>
            <w:gridSpan w:val="2"/>
            <w:tcBorders>
              <w:top w:val="nil"/>
              <w:left w:val="nil"/>
              <w:bottom w:val="nil"/>
              <w:right w:val="nil"/>
            </w:tcBorders>
            <w:vAlign w:val="bottom"/>
          </w:tcPr>
          <w:p>
            <w:pPr>
              <w:pStyle w:val="yTableNAm"/>
            </w:pPr>
            <w:r>
              <w:t>40.80</w:t>
            </w:r>
          </w:p>
        </w:tc>
      </w:tr>
      <w:tr>
        <w:trPr>
          <w:cantSplit/>
          <w:trHeight w:val="1046"/>
        </w:trPr>
        <w:tc>
          <w:tcPr>
            <w:tcW w:w="709" w:type="dxa"/>
            <w:tcBorders>
              <w:top w:val="nil"/>
              <w:left w:val="nil"/>
              <w:bottom w:val="nil"/>
              <w:right w:val="nil"/>
            </w:tcBorders>
          </w:tcPr>
          <w:p>
            <w:pPr>
              <w:pStyle w:val="yTableNAm"/>
              <w:rPr>
                <w:rFonts w:ascii="Arial" w:hAnsi="Arial" w:cs="Arial"/>
                <w:sz w:val="18"/>
                <w:szCs w:val="18"/>
              </w:rPr>
            </w:pPr>
          </w:p>
        </w:tc>
        <w:tc>
          <w:tcPr>
            <w:tcW w:w="6343" w:type="dxa"/>
            <w:gridSpan w:val="3"/>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 w:val="left" w:pos="384"/>
              </w:tabs>
              <w:ind w:left="384" w:hanging="384"/>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rPr>
          <w:cantSplit/>
          <w:trHeight w:val="1134"/>
        </w:trPr>
        <w:tc>
          <w:tcPr>
            <w:tcW w:w="709" w:type="dxa"/>
            <w:tcBorders>
              <w:top w:val="nil"/>
              <w:left w:val="nil"/>
              <w:bottom w:val="nil"/>
              <w:right w:val="nil"/>
            </w:tcBorders>
          </w:tcPr>
          <w:p>
            <w:pPr>
              <w:pStyle w:val="yTableNAm"/>
              <w:rPr>
                <w:rFonts w:ascii="Arial" w:hAnsi="Arial" w:cs="Arial"/>
                <w:sz w:val="18"/>
                <w:szCs w:val="18"/>
              </w:rPr>
            </w:pPr>
          </w:p>
        </w:tc>
        <w:tc>
          <w:tcPr>
            <w:tcW w:w="6343" w:type="dxa"/>
            <w:gridSpan w:val="3"/>
            <w:tcBorders>
              <w:top w:val="nil"/>
              <w:left w:val="nil"/>
              <w:bottom w:val="nil"/>
              <w:right w:val="nil"/>
            </w:tcBorders>
          </w:tcPr>
          <w:p>
            <w:pPr>
              <w:pStyle w:val="yTableNAm"/>
              <w:tabs>
                <w:tab w:val="clear" w:pos="567"/>
                <w:tab w:val="left" w:pos="384"/>
              </w:tabs>
              <w:ind w:left="384" w:hanging="384"/>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pPr>
              <w:pStyle w:val="yTableNAm"/>
              <w:tabs>
                <w:tab w:val="clear" w:pos="567"/>
                <w:tab w:val="left" w:pos="384"/>
                <w:tab w:val="left" w:pos="862"/>
              </w:tabs>
              <w:ind w:left="874" w:hanging="874"/>
              <w:rPr>
                <w:rFonts w:ascii="Arial" w:hAnsi="Arial" w:cs="Arial"/>
                <w:sz w:val="18"/>
                <w:szCs w:val="18"/>
              </w:rPr>
            </w:pPr>
            <w:r>
              <w:rPr>
                <w:rFonts w:ascii="Arial" w:hAnsi="Arial" w:cs="Arial"/>
                <w:sz w:val="18"/>
                <w:szCs w:val="18"/>
              </w:rPr>
              <w:tab/>
              <w:t>(a)</w:t>
            </w:r>
            <w:r>
              <w:rPr>
                <w:rFonts w:ascii="Arial" w:hAnsi="Arial" w:cs="Arial"/>
                <w:sz w:val="18"/>
                <w:szCs w:val="18"/>
              </w:rPr>
              <w:tab/>
              <w:t>receiving and printing the warrant; and</w:t>
            </w:r>
          </w:p>
          <w:p>
            <w:pPr>
              <w:pStyle w:val="yTableNAm"/>
              <w:tabs>
                <w:tab w:val="clear" w:pos="567"/>
                <w:tab w:val="left" w:pos="384"/>
                <w:tab w:val="left" w:pos="862"/>
              </w:tabs>
              <w:ind w:left="874" w:hanging="874"/>
              <w:rPr>
                <w:rFonts w:ascii="Arial" w:hAnsi="Arial" w:cs="Arial"/>
                <w:sz w:val="18"/>
                <w:szCs w:val="18"/>
              </w:rPr>
            </w:pPr>
            <w:r>
              <w:rPr>
                <w:rFonts w:ascii="Arial" w:hAnsi="Arial" w:cs="Arial"/>
                <w:sz w:val="18"/>
                <w:szCs w:val="18"/>
              </w:rPr>
              <w:tab/>
              <w:t>(b)</w:t>
            </w:r>
            <w:r>
              <w:rPr>
                <w:rFonts w:ascii="Arial" w:hAnsi="Arial" w:cs="Arial"/>
                <w:sz w:val="18"/>
                <w:szCs w:val="18"/>
              </w:rPr>
              <w:tab/>
              <w:t>attendances and inquiries before attempting arrest; and</w:t>
            </w:r>
          </w:p>
          <w:p>
            <w:pPr>
              <w:pStyle w:val="yTableNAm"/>
              <w:tabs>
                <w:tab w:val="clear" w:pos="567"/>
                <w:tab w:val="left" w:pos="384"/>
                <w:tab w:val="left" w:pos="862"/>
              </w:tabs>
              <w:ind w:left="874" w:hanging="874"/>
              <w:rPr>
                <w:rFonts w:ascii="Arial" w:hAnsi="Arial" w:cs="Arial"/>
                <w:sz w:val="18"/>
                <w:szCs w:val="18"/>
              </w:rPr>
            </w:pPr>
            <w:r>
              <w:rPr>
                <w:rFonts w:ascii="Arial" w:hAnsi="Arial" w:cs="Arial"/>
                <w:sz w:val="18"/>
                <w:szCs w:val="18"/>
              </w:rPr>
              <w:tab/>
              <w:t>(c)</w:t>
            </w:r>
            <w:r>
              <w:rPr>
                <w:rFonts w:ascii="Arial" w:hAnsi="Arial" w:cs="Arial"/>
                <w:sz w:val="18"/>
                <w:szCs w:val="18"/>
              </w:rPr>
              <w:tab/>
              <w:t>giving any notice; and</w:t>
            </w:r>
          </w:p>
          <w:p>
            <w:pPr>
              <w:pStyle w:val="yTableNAm"/>
              <w:tabs>
                <w:tab w:val="clear" w:pos="567"/>
                <w:tab w:val="left" w:pos="384"/>
                <w:tab w:val="left" w:pos="862"/>
              </w:tabs>
              <w:ind w:left="874" w:hanging="874"/>
              <w:rPr>
                <w:rFonts w:ascii="Arial" w:hAnsi="Arial" w:cs="Arial"/>
                <w:sz w:val="18"/>
                <w:szCs w:val="18"/>
              </w:rPr>
            </w:pPr>
            <w:r>
              <w:rPr>
                <w:rFonts w:ascii="Arial" w:hAnsi="Arial" w:cs="Arial"/>
                <w:sz w:val="18"/>
                <w:szCs w:val="18"/>
              </w:rPr>
              <w:tab/>
              <w:t>(d)</w:t>
            </w:r>
            <w:r>
              <w:rPr>
                <w:rFonts w:ascii="Arial" w:hAnsi="Arial" w:cs="Arial"/>
                <w:sz w:val="18"/>
                <w:szCs w:val="18"/>
              </w:rPr>
              <w:tab/>
              <w:t>making any report.</w:t>
            </w:r>
          </w:p>
        </w:tc>
      </w:tr>
      <w:tr>
        <w:trPr>
          <w:cantSplit/>
        </w:trPr>
        <w:tc>
          <w:tcPr>
            <w:tcW w:w="709" w:type="dxa"/>
            <w:tcBorders>
              <w:top w:val="nil"/>
              <w:left w:val="nil"/>
              <w:bottom w:val="nil"/>
              <w:right w:val="nil"/>
            </w:tcBorders>
          </w:tcPr>
          <w:p>
            <w:pPr>
              <w:pStyle w:val="yTableNAm"/>
            </w:pPr>
            <w:r>
              <w:t>2.</w:t>
            </w:r>
          </w:p>
        </w:tc>
        <w:tc>
          <w:tcPr>
            <w:tcW w:w="4961" w:type="dxa"/>
            <w:gridSpan w:val="2"/>
            <w:tcBorders>
              <w:top w:val="nil"/>
              <w:left w:val="nil"/>
              <w:bottom w:val="nil"/>
              <w:right w:val="nil"/>
            </w:tcBorders>
          </w:tcPr>
          <w:p>
            <w:pPr>
              <w:pStyle w:val="yTableNAm"/>
            </w:pPr>
            <w:r>
              <w:t>For the service of any writ, application, summons, originating process, notice or order of the Court or any other process requiring service</w:t>
            </w:r>
          </w:p>
        </w:tc>
        <w:tc>
          <w:tcPr>
            <w:tcW w:w="1382" w:type="dxa"/>
            <w:tcBorders>
              <w:top w:val="nil"/>
              <w:left w:val="nil"/>
              <w:bottom w:val="nil"/>
              <w:right w:val="nil"/>
            </w:tcBorders>
            <w:vAlign w:val="bottom"/>
          </w:tcPr>
          <w:p>
            <w:pPr>
              <w:pStyle w:val="yTableNAm"/>
            </w:pPr>
            <w:r>
              <w:t>86.50</w:t>
            </w:r>
          </w:p>
        </w:tc>
      </w:tr>
      <w:tr>
        <w:trPr>
          <w:cantSplit/>
          <w:trHeight w:val="737"/>
        </w:trPr>
        <w:tc>
          <w:tcPr>
            <w:tcW w:w="709" w:type="dxa"/>
            <w:tcBorders>
              <w:top w:val="nil"/>
              <w:left w:val="nil"/>
              <w:bottom w:val="nil"/>
              <w:right w:val="nil"/>
            </w:tcBorders>
          </w:tcPr>
          <w:p>
            <w:pPr>
              <w:pStyle w:val="yTableNAm"/>
              <w:rPr>
                <w:rFonts w:ascii="Arial" w:hAnsi="Arial" w:cs="Arial"/>
                <w:sz w:val="18"/>
                <w:szCs w:val="18"/>
              </w:rPr>
            </w:pPr>
          </w:p>
        </w:tc>
        <w:tc>
          <w:tcPr>
            <w:tcW w:w="4961" w:type="dxa"/>
            <w:gridSpan w:val="2"/>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 w:val="left" w:pos="384"/>
              </w:tabs>
              <w:ind w:left="384" w:hanging="384"/>
              <w:rPr>
                <w:rFonts w:ascii="Arial" w:hAnsi="Arial" w:cs="Arial"/>
                <w:sz w:val="18"/>
                <w:szCs w:val="18"/>
              </w:rPr>
            </w:pPr>
            <w:r>
              <w:rPr>
                <w:rFonts w:ascii="Arial" w:hAnsi="Arial" w:cs="Arial"/>
                <w:sz w:val="18"/>
                <w:szCs w:val="18"/>
              </w:rPr>
              <w:t>1.</w:t>
            </w:r>
            <w:r>
              <w:rPr>
                <w:rFonts w:ascii="Arial" w:hAnsi="Arial" w:cs="Arial"/>
                <w:sz w:val="18"/>
                <w:szCs w:val="18"/>
              </w:rPr>
              <w:tab/>
              <w:t>The fee is payable whether or not the service is successful and covers up to 3 attempts at service at the same address.</w:t>
            </w:r>
          </w:p>
        </w:tc>
        <w:tc>
          <w:tcPr>
            <w:tcW w:w="1382" w:type="dxa"/>
            <w:tcBorders>
              <w:top w:val="nil"/>
              <w:left w:val="nil"/>
              <w:bottom w:val="nil"/>
              <w:right w:val="nil"/>
            </w:tcBorders>
          </w:tcPr>
          <w:p>
            <w:pPr>
              <w:pStyle w:val="yTableNAm"/>
              <w:rPr>
                <w:rFonts w:ascii="Arial" w:hAnsi="Arial" w:cs="Arial"/>
                <w:sz w:val="18"/>
                <w:szCs w:val="18"/>
              </w:rPr>
            </w:pPr>
          </w:p>
        </w:tc>
      </w:tr>
      <w:tr>
        <w:trPr>
          <w:cantSplit/>
          <w:trHeight w:val="567"/>
        </w:trPr>
        <w:tc>
          <w:tcPr>
            <w:tcW w:w="709" w:type="dxa"/>
            <w:tcBorders>
              <w:top w:val="nil"/>
              <w:left w:val="nil"/>
              <w:bottom w:val="nil"/>
              <w:right w:val="nil"/>
            </w:tcBorders>
          </w:tcPr>
          <w:p>
            <w:pPr>
              <w:pStyle w:val="yTableNAm"/>
              <w:rPr>
                <w:rFonts w:ascii="Arial" w:hAnsi="Arial" w:cs="Arial"/>
                <w:sz w:val="18"/>
                <w:szCs w:val="18"/>
              </w:rPr>
            </w:pPr>
          </w:p>
        </w:tc>
        <w:tc>
          <w:tcPr>
            <w:tcW w:w="4961" w:type="dxa"/>
            <w:gridSpan w:val="2"/>
            <w:tcBorders>
              <w:top w:val="nil"/>
              <w:left w:val="nil"/>
              <w:bottom w:val="nil"/>
              <w:right w:val="nil"/>
            </w:tcBorders>
          </w:tcPr>
          <w:p>
            <w:pPr>
              <w:pStyle w:val="yTableNAm"/>
              <w:tabs>
                <w:tab w:val="clear" w:pos="567"/>
                <w:tab w:val="left" w:pos="384"/>
              </w:tabs>
              <w:ind w:left="384" w:hanging="384"/>
              <w:rPr>
                <w:rFonts w:ascii="Arial" w:hAnsi="Arial" w:cs="Arial"/>
                <w:sz w:val="18"/>
                <w:szCs w:val="18"/>
              </w:rPr>
            </w:pPr>
            <w:r>
              <w:rPr>
                <w:rFonts w:ascii="Arial" w:hAnsi="Arial" w:cs="Arial"/>
                <w:sz w:val="18"/>
                <w:szCs w:val="18"/>
              </w:rPr>
              <w:t>2.</w:t>
            </w:r>
            <w:r>
              <w:rPr>
                <w:rFonts w:ascii="Arial" w:hAnsi="Arial" w:cs="Arial"/>
                <w:sz w:val="18"/>
                <w:szCs w:val="18"/>
              </w:rPr>
              <w:tab/>
              <w:t>The fee includes the costs of receiving and printing the process.</w:t>
            </w:r>
          </w:p>
        </w:tc>
        <w:tc>
          <w:tcPr>
            <w:tcW w:w="1382" w:type="dxa"/>
            <w:tcBorders>
              <w:top w:val="nil"/>
              <w:left w:val="nil"/>
              <w:bottom w:val="nil"/>
              <w:right w:val="nil"/>
            </w:tcBorders>
          </w:tcPr>
          <w:p>
            <w:pPr>
              <w:pStyle w:val="yTableNAm"/>
              <w:rPr>
                <w:rFonts w:ascii="Arial" w:hAnsi="Arial" w:cs="Arial"/>
                <w:sz w:val="18"/>
                <w:szCs w:val="18"/>
              </w:rPr>
            </w:pPr>
          </w:p>
        </w:tc>
      </w:tr>
      <w:tr>
        <w:trPr>
          <w:cantSplit/>
        </w:trPr>
        <w:tc>
          <w:tcPr>
            <w:tcW w:w="709" w:type="dxa"/>
            <w:tcBorders>
              <w:top w:val="nil"/>
              <w:left w:val="nil"/>
              <w:bottom w:val="nil"/>
              <w:right w:val="nil"/>
            </w:tcBorders>
          </w:tcPr>
          <w:p>
            <w:pPr>
              <w:pStyle w:val="yTableNAm"/>
            </w:pPr>
            <w:r>
              <w:t>3.</w:t>
            </w:r>
          </w:p>
        </w:tc>
        <w:tc>
          <w:tcPr>
            <w:tcW w:w="4961" w:type="dxa"/>
            <w:gridSpan w:val="2"/>
            <w:tcBorders>
              <w:top w:val="nil"/>
              <w:left w:val="nil"/>
              <w:bottom w:val="nil"/>
              <w:right w:val="nil"/>
            </w:tcBorders>
          </w:tcPr>
          <w:p>
            <w:pPr>
              <w:pStyle w:val="yTableNAm"/>
            </w:pPr>
            <w:r>
              <w:t>If it is necessary to travel to execute a warrant or other process, or on service of a writ, summons, order of the Court, other process or document, or on making an arrest or for all attempts, attendances and inspections, from the sherif</w:t>
            </w:r>
            <w:r>
              <w:rPr>
                <w:spacing w:val="8"/>
              </w:rPr>
              <w:t>f’</w:t>
            </w:r>
            <w:r>
              <w:t>s office or nearest bailif</w:t>
            </w:r>
            <w:r>
              <w:rPr>
                <w:spacing w:val="8"/>
              </w:rPr>
              <w:t>f’</w:t>
            </w:r>
            <w:r>
              <w:t>s office —</w:t>
            </w:r>
          </w:p>
        </w:tc>
        <w:tc>
          <w:tcPr>
            <w:tcW w:w="1382" w:type="dxa"/>
            <w:tcBorders>
              <w:top w:val="nil"/>
              <w:left w:val="nil"/>
              <w:bottom w:val="nil"/>
              <w:right w:val="nil"/>
            </w:tcBorders>
          </w:tcPr>
          <w:p>
            <w:pPr>
              <w:pStyle w:val="yTableNAm"/>
            </w:pPr>
          </w:p>
        </w:tc>
      </w:tr>
      <w:tr>
        <w:trPr>
          <w:cantSplit/>
        </w:trPr>
        <w:tc>
          <w:tcPr>
            <w:tcW w:w="709" w:type="dxa"/>
            <w:tcBorders>
              <w:top w:val="nil"/>
              <w:left w:val="nil"/>
              <w:bottom w:val="nil"/>
              <w:right w:val="nil"/>
            </w:tcBorders>
          </w:tcPr>
          <w:p>
            <w:pPr>
              <w:pStyle w:val="yTableNAm"/>
            </w:pPr>
          </w:p>
        </w:tc>
        <w:tc>
          <w:tcPr>
            <w:tcW w:w="4961" w:type="dxa"/>
            <w:gridSpan w:val="2"/>
            <w:tcBorders>
              <w:top w:val="nil"/>
              <w:left w:val="nil"/>
              <w:bottom w:val="nil"/>
              <w:right w:val="nil"/>
            </w:tcBorders>
          </w:tcPr>
          <w:p>
            <w:pPr>
              <w:pStyle w:val="yTableNAm"/>
              <w:tabs>
                <w:tab w:val="clear" w:pos="567"/>
                <w:tab w:val="left" w:pos="438"/>
              </w:tabs>
              <w:ind w:left="452" w:hanging="452"/>
            </w:pPr>
            <w:r>
              <w:t>(a)</w:t>
            </w:r>
            <w:r>
              <w:tab/>
              <w:t>for each kilometre travelled (1 way) in the metropolitan area</w:t>
            </w:r>
          </w:p>
        </w:tc>
        <w:tc>
          <w:tcPr>
            <w:tcW w:w="1382" w:type="dxa"/>
            <w:tcBorders>
              <w:top w:val="nil"/>
              <w:left w:val="nil"/>
              <w:bottom w:val="nil"/>
              <w:right w:val="nil"/>
            </w:tcBorders>
            <w:vAlign w:val="bottom"/>
          </w:tcPr>
          <w:p>
            <w:pPr>
              <w:pStyle w:val="yTableNAm"/>
            </w:pPr>
            <w:r>
              <w:t>2.20</w:t>
            </w:r>
          </w:p>
        </w:tc>
      </w:tr>
      <w:tr>
        <w:trPr>
          <w:cantSplit/>
        </w:trPr>
        <w:tc>
          <w:tcPr>
            <w:tcW w:w="709" w:type="dxa"/>
            <w:tcBorders>
              <w:top w:val="nil"/>
              <w:left w:val="nil"/>
              <w:bottom w:val="nil"/>
              <w:right w:val="nil"/>
            </w:tcBorders>
          </w:tcPr>
          <w:p>
            <w:pPr>
              <w:pStyle w:val="yTableNAm"/>
            </w:pPr>
          </w:p>
        </w:tc>
        <w:tc>
          <w:tcPr>
            <w:tcW w:w="4961" w:type="dxa"/>
            <w:gridSpan w:val="2"/>
            <w:tcBorders>
              <w:top w:val="nil"/>
              <w:left w:val="nil"/>
              <w:bottom w:val="nil"/>
              <w:right w:val="nil"/>
            </w:tcBorders>
          </w:tcPr>
          <w:p>
            <w:pPr>
              <w:pStyle w:val="yTableNAm"/>
              <w:tabs>
                <w:tab w:val="clear" w:pos="567"/>
                <w:tab w:val="left" w:pos="438"/>
              </w:tabs>
              <w:ind w:left="452" w:hanging="452"/>
            </w:pPr>
            <w:r>
              <w:t>(b)</w:t>
            </w:r>
            <w:r>
              <w:tab/>
              <w:t>for each kilometre travelled (1 way) outside the metropolitan area</w:t>
            </w:r>
          </w:p>
        </w:tc>
        <w:tc>
          <w:tcPr>
            <w:tcW w:w="1382" w:type="dxa"/>
            <w:tcBorders>
              <w:top w:val="nil"/>
              <w:left w:val="nil"/>
              <w:bottom w:val="nil"/>
              <w:right w:val="nil"/>
            </w:tcBorders>
            <w:vAlign w:val="bottom"/>
          </w:tcPr>
          <w:p>
            <w:pPr>
              <w:pStyle w:val="yTableNAm"/>
            </w:pPr>
            <w:r>
              <w:t>2.40</w:t>
            </w:r>
          </w:p>
        </w:tc>
      </w:tr>
      <w:tr>
        <w:trPr>
          <w:cantSplit/>
        </w:trPr>
        <w:tc>
          <w:tcPr>
            <w:tcW w:w="709" w:type="dxa"/>
            <w:tcBorders>
              <w:top w:val="nil"/>
              <w:left w:val="nil"/>
              <w:bottom w:val="nil"/>
              <w:right w:val="nil"/>
            </w:tcBorders>
          </w:tcPr>
          <w:p>
            <w:pPr>
              <w:pStyle w:val="yTableNAm"/>
              <w:rPr>
                <w:rFonts w:ascii="Arial" w:hAnsi="Arial" w:cs="Arial"/>
                <w:spacing w:val="-4"/>
                <w:sz w:val="18"/>
                <w:szCs w:val="18"/>
              </w:rPr>
            </w:pPr>
          </w:p>
        </w:tc>
        <w:tc>
          <w:tcPr>
            <w:tcW w:w="6343" w:type="dxa"/>
            <w:gridSpan w:val="3"/>
            <w:tcBorders>
              <w:top w:val="nil"/>
              <w:left w:val="nil"/>
              <w:bottom w:val="nil"/>
              <w:right w:val="nil"/>
            </w:tcBorders>
          </w:tcPr>
          <w:p>
            <w:pPr>
              <w:pStyle w:val="yTableNAm"/>
              <w:rPr>
                <w:rFonts w:ascii="Arial" w:hAnsi="Arial" w:cs="Arial"/>
                <w:sz w:val="18"/>
                <w:szCs w:val="18"/>
              </w:rPr>
            </w:pPr>
            <w:r>
              <w:rPr>
                <w:rFonts w:ascii="Arial" w:hAnsi="Arial" w:cs="Arial"/>
                <w:spacing w:val="-4"/>
                <w:sz w:val="18"/>
                <w:szCs w:val="18"/>
              </w:rPr>
              <w:t>Note for this item:</w:t>
            </w:r>
          </w:p>
          <w:p>
            <w:pPr>
              <w:pStyle w:val="yTableNAm"/>
              <w:rPr>
                <w:rFonts w:ascii="Arial" w:hAnsi="Arial" w:cs="Arial"/>
                <w:sz w:val="18"/>
                <w:szCs w:val="18"/>
              </w:rPr>
            </w:pPr>
            <w:r>
              <w:rPr>
                <w:rFonts w:ascii="Arial" w:hAnsi="Arial" w:cs="Arial"/>
                <w:sz w:val="18"/>
                <w:szCs w:val="18"/>
              </w:rPr>
              <w:t>If more than 1 process or document is executed or served by the sheriff or a bailiff at the same time on the same person or on different persons at the same address, only 1 fee for kilometres travelled is chargeable.</w:t>
            </w:r>
          </w:p>
        </w:tc>
      </w:tr>
      <w:tr>
        <w:trPr>
          <w:cantSplit/>
        </w:trPr>
        <w:tc>
          <w:tcPr>
            <w:tcW w:w="709" w:type="dxa"/>
            <w:tcBorders>
              <w:top w:val="nil"/>
              <w:left w:val="nil"/>
              <w:bottom w:val="nil"/>
              <w:right w:val="nil"/>
            </w:tcBorders>
          </w:tcPr>
          <w:p>
            <w:pPr>
              <w:pStyle w:val="yTableNAm"/>
            </w:pPr>
            <w:r>
              <w:t>4.</w:t>
            </w:r>
          </w:p>
        </w:tc>
        <w:tc>
          <w:tcPr>
            <w:tcW w:w="4961" w:type="dxa"/>
            <w:gridSpan w:val="2"/>
            <w:tcBorders>
              <w:top w:val="nil"/>
              <w:left w:val="nil"/>
              <w:bottom w:val="nil"/>
              <w:right w:val="nil"/>
            </w:tcBorders>
          </w:tcPr>
          <w:p>
            <w:pPr>
              <w:pStyle w:val="yTableNAm"/>
            </w:pPr>
            <w:r>
              <w:t>Fee to the sheriff for attending a view — per hour or part of an hour</w:t>
            </w:r>
          </w:p>
        </w:tc>
        <w:tc>
          <w:tcPr>
            <w:tcW w:w="1382" w:type="dxa"/>
            <w:tcBorders>
              <w:top w:val="nil"/>
              <w:left w:val="nil"/>
              <w:bottom w:val="nil"/>
              <w:right w:val="nil"/>
            </w:tcBorders>
            <w:vAlign w:val="bottom"/>
          </w:tcPr>
          <w:p>
            <w:pPr>
              <w:pStyle w:val="yTableNAm"/>
            </w:pPr>
            <w:r>
              <w:t>81.50</w:t>
            </w:r>
          </w:p>
        </w:tc>
      </w:tr>
      <w:tr>
        <w:trPr>
          <w:cantSplit/>
        </w:trPr>
        <w:tc>
          <w:tcPr>
            <w:tcW w:w="709" w:type="dxa"/>
            <w:tcBorders>
              <w:top w:val="nil"/>
              <w:left w:val="nil"/>
              <w:bottom w:val="nil"/>
              <w:right w:val="nil"/>
            </w:tcBorders>
          </w:tcPr>
          <w:p>
            <w:pPr>
              <w:pStyle w:val="yTableNAm"/>
            </w:pPr>
            <w:r>
              <w:t>5.</w:t>
            </w:r>
          </w:p>
        </w:tc>
        <w:tc>
          <w:tcPr>
            <w:tcW w:w="4961" w:type="dxa"/>
            <w:gridSpan w:val="2"/>
            <w:tcBorders>
              <w:top w:val="nil"/>
              <w:left w:val="nil"/>
              <w:bottom w:val="nil"/>
              <w:right w:val="nil"/>
            </w:tcBorders>
          </w:tcPr>
          <w:p>
            <w:pPr>
              <w:pStyle w:val="yTableNAm"/>
              <w:tabs>
                <w:tab w:val="clear" w:pos="567"/>
                <w:tab w:val="left" w:pos="438"/>
              </w:tabs>
              <w:ind w:left="452" w:hanging="452"/>
            </w:pPr>
            <w:r>
              <w:t>(a)</w:t>
            </w:r>
            <w:r>
              <w:tab/>
              <w:t>For striking a jury and preparing a jury panel</w:t>
            </w:r>
          </w:p>
        </w:tc>
        <w:tc>
          <w:tcPr>
            <w:tcW w:w="1382" w:type="dxa"/>
            <w:tcBorders>
              <w:top w:val="nil"/>
              <w:left w:val="nil"/>
              <w:bottom w:val="nil"/>
              <w:right w:val="nil"/>
            </w:tcBorders>
          </w:tcPr>
          <w:p>
            <w:pPr>
              <w:pStyle w:val="yTableNAm"/>
            </w:pPr>
            <w:r>
              <w:t>262.00</w:t>
            </w:r>
          </w:p>
        </w:tc>
      </w:tr>
      <w:tr>
        <w:trPr>
          <w:cantSplit/>
        </w:trPr>
        <w:tc>
          <w:tcPr>
            <w:tcW w:w="709" w:type="dxa"/>
            <w:tcBorders>
              <w:top w:val="nil"/>
              <w:left w:val="nil"/>
              <w:right w:val="nil"/>
            </w:tcBorders>
          </w:tcPr>
          <w:p>
            <w:pPr>
              <w:pStyle w:val="yTableNAm"/>
            </w:pPr>
          </w:p>
        </w:tc>
        <w:tc>
          <w:tcPr>
            <w:tcW w:w="4961" w:type="dxa"/>
            <w:gridSpan w:val="2"/>
            <w:tcBorders>
              <w:top w:val="nil"/>
              <w:left w:val="nil"/>
              <w:right w:val="nil"/>
            </w:tcBorders>
          </w:tcPr>
          <w:p>
            <w:pPr>
              <w:pStyle w:val="yTableNAm"/>
              <w:tabs>
                <w:tab w:val="clear" w:pos="567"/>
                <w:tab w:val="left" w:pos="438"/>
              </w:tabs>
              <w:ind w:left="452" w:hanging="452"/>
            </w:pPr>
            <w:r>
              <w:t>(b)</w:t>
            </w:r>
            <w:r>
              <w:tab/>
              <w:t>For attendance of sheriff’s officer at hearing (per day or part of a day)</w:t>
            </w:r>
          </w:p>
        </w:tc>
        <w:tc>
          <w:tcPr>
            <w:tcW w:w="1382" w:type="dxa"/>
            <w:tcBorders>
              <w:top w:val="nil"/>
              <w:left w:val="nil"/>
              <w:right w:val="nil"/>
            </w:tcBorders>
          </w:tcPr>
          <w:p>
            <w:pPr>
              <w:pStyle w:val="yTableNAm"/>
            </w:pPr>
            <w:r>
              <w:t>The sum actually and reasonably paid</w:t>
            </w:r>
          </w:p>
        </w:tc>
      </w:tr>
    </w:tbl>
    <w:p>
      <w:pPr>
        <w:pStyle w:val="yFootnotesection"/>
      </w:pPr>
      <w:r>
        <w:tab/>
        <w:t>[Schedule 2 inserted: Gazette 28 Jun 2019 p. 2639</w:t>
      </w:r>
      <w:r>
        <w:noBreakHyphen/>
        <w:t>40.]</w:t>
      </w:r>
    </w:p>
    <w:p>
      <w:pPr>
        <w:pStyle w:val="yScheduleHeading"/>
      </w:pPr>
      <w:bookmarkStart w:id="67" w:name="_Toc15561488"/>
      <w:bookmarkStart w:id="68" w:name="_Toc15561515"/>
      <w:bookmarkStart w:id="69" w:name="_Toc15562162"/>
      <w:bookmarkStart w:id="70" w:name="_Toc15562517"/>
      <w:bookmarkStart w:id="71" w:name="_Toc15562882"/>
      <w:bookmarkStart w:id="72" w:name="_Toc19787857"/>
      <w:bookmarkStart w:id="73" w:name="_Toc25656897"/>
      <w:r>
        <w:rPr>
          <w:rStyle w:val="CharSchNo"/>
        </w:rPr>
        <w:t>Schedule 3</w:t>
      </w:r>
      <w:r>
        <w:rPr>
          <w:rStyle w:val="CharSDivNo"/>
        </w:rPr>
        <w:t> </w:t>
      </w:r>
      <w:r>
        <w:t>—</w:t>
      </w:r>
      <w:r>
        <w:rPr>
          <w:rStyle w:val="CharSDivText"/>
        </w:rPr>
        <w:t> </w:t>
      </w:r>
      <w:r>
        <w:rPr>
          <w:rStyle w:val="CharSchText"/>
        </w:rPr>
        <w:t>Probate fees</w:t>
      </w:r>
      <w:bookmarkEnd w:id="67"/>
      <w:bookmarkEnd w:id="68"/>
      <w:bookmarkEnd w:id="69"/>
      <w:bookmarkEnd w:id="70"/>
      <w:bookmarkEnd w:id="71"/>
      <w:bookmarkEnd w:id="72"/>
      <w:bookmarkEnd w:id="73"/>
    </w:p>
    <w:p>
      <w:pPr>
        <w:pStyle w:val="yShoulderClause"/>
      </w:pPr>
      <w:r>
        <w:t>[r. 4]</w:t>
      </w:r>
    </w:p>
    <w:p>
      <w:pPr>
        <w:pStyle w:val="yFootnoteheading"/>
        <w:spacing w:after="60"/>
      </w:pPr>
      <w:r>
        <w:tab/>
        <w:t>[Heading inserted: Gazette 28 Jun 2019 p. 2641.]</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cantSplit/>
          <w:tblHeader/>
        </w:trPr>
        <w:tc>
          <w:tcPr>
            <w:tcW w:w="709" w:type="dxa"/>
            <w:tcBorders>
              <w:left w:val="nil"/>
              <w:bottom w:val="single" w:sz="4" w:space="0" w:color="auto"/>
              <w:right w:val="nil"/>
            </w:tcBorders>
          </w:tcPr>
          <w:p>
            <w:pPr>
              <w:pStyle w:val="yTableNAm"/>
              <w:jc w:val="center"/>
              <w:rPr>
                <w:b/>
              </w:rPr>
            </w:pPr>
            <w:r>
              <w:rPr>
                <w:b/>
              </w:rPr>
              <w:t>Item</w:t>
            </w:r>
          </w:p>
        </w:tc>
        <w:tc>
          <w:tcPr>
            <w:tcW w:w="4961" w:type="dxa"/>
            <w:tcBorders>
              <w:left w:val="nil"/>
              <w:bottom w:val="single" w:sz="4" w:space="0" w:color="auto"/>
              <w:right w:val="nil"/>
            </w:tcBorders>
          </w:tcPr>
          <w:p>
            <w:pPr>
              <w:pStyle w:val="yTableNAm"/>
              <w:jc w:val="center"/>
              <w:rPr>
                <w:b/>
              </w:rPr>
            </w:pPr>
            <w:r>
              <w:rPr>
                <w:b/>
              </w:rPr>
              <w:t>Matter</w:t>
            </w:r>
          </w:p>
        </w:tc>
        <w:tc>
          <w:tcPr>
            <w:tcW w:w="1382" w:type="dxa"/>
            <w:tcBorders>
              <w:left w:val="nil"/>
              <w:bottom w:val="single" w:sz="4" w:space="0" w:color="auto"/>
              <w:right w:val="nil"/>
            </w:tcBorders>
          </w:tcPr>
          <w:p>
            <w:pPr>
              <w:pStyle w:val="yTableNAm"/>
              <w:jc w:val="center"/>
              <w:rPr>
                <w:b/>
              </w:rPr>
            </w:pPr>
            <w:r>
              <w:rPr>
                <w:b/>
              </w:rPr>
              <w:t>Fee</w:t>
            </w:r>
            <w:r>
              <w:rPr>
                <w:b/>
              </w:rPr>
              <w:br/>
              <w:t>$</w:t>
            </w:r>
          </w:p>
        </w:tc>
      </w:tr>
      <w:tr>
        <w:trPr>
          <w:cantSplit/>
        </w:trPr>
        <w:tc>
          <w:tcPr>
            <w:tcW w:w="709" w:type="dxa"/>
            <w:tcBorders>
              <w:left w:val="nil"/>
              <w:bottom w:val="nil"/>
              <w:right w:val="nil"/>
            </w:tcBorders>
          </w:tcPr>
          <w:p>
            <w:pPr>
              <w:pStyle w:val="yTableNAm"/>
              <w:rPr>
                <w:rFonts w:ascii="Arial" w:hAnsi="Arial" w:cs="Arial"/>
                <w:spacing w:val="-4"/>
                <w:sz w:val="18"/>
                <w:szCs w:val="18"/>
              </w:rPr>
            </w:pPr>
          </w:p>
        </w:tc>
        <w:tc>
          <w:tcPr>
            <w:tcW w:w="6343" w:type="dxa"/>
            <w:gridSpan w:val="2"/>
            <w:tcBorders>
              <w:left w:val="nil"/>
              <w:bottom w:val="nil"/>
              <w:right w:val="nil"/>
            </w:tcBorders>
          </w:tcPr>
          <w:p>
            <w:pPr>
              <w:pStyle w:val="yTableNAm"/>
              <w:rPr>
                <w:rFonts w:ascii="Arial" w:hAnsi="Arial" w:cs="Arial"/>
                <w:sz w:val="18"/>
                <w:szCs w:val="18"/>
              </w:rPr>
            </w:pPr>
            <w:r>
              <w:rPr>
                <w:rFonts w:ascii="Arial" w:hAnsi="Arial" w:cs="Arial"/>
                <w:spacing w:val="-4"/>
                <w:sz w:val="18"/>
                <w:szCs w:val="18"/>
              </w:rPr>
              <w:t>Note for this Schedule:</w:t>
            </w:r>
          </w:p>
          <w:p>
            <w:pPr>
              <w:pStyle w:val="yTableNAm"/>
              <w:rPr>
                <w:rFonts w:ascii="Arial" w:hAnsi="Arial" w:cs="Arial"/>
                <w:sz w:val="18"/>
                <w:szCs w:val="18"/>
              </w:rPr>
            </w:pPr>
            <w:r>
              <w:rPr>
                <w:rFonts w:ascii="Arial" w:hAnsi="Arial" w:cs="Arial"/>
                <w:sz w:val="18"/>
                <w:szCs w:val="18"/>
              </w:rPr>
              <w:t xml:space="preserve">In this Schedule, </w:t>
            </w:r>
            <w:r>
              <w:rPr>
                <w:rStyle w:val="CharDefText"/>
                <w:rFonts w:ascii="Arial" w:hAnsi="Arial" w:cs="Arial"/>
                <w:sz w:val="18"/>
                <w:szCs w:val="18"/>
              </w:rPr>
              <w:t>grant</w:t>
            </w:r>
            <w:r>
              <w:rPr>
                <w:rFonts w:ascii="Arial" w:hAnsi="Arial" w:cs="Arial"/>
                <w:sz w:val="18"/>
                <w:szCs w:val="18"/>
              </w:rPr>
              <w:t xml:space="preserve"> means a grant of probate or administration with or without the will, or an order to administer.</w:t>
            </w:r>
          </w:p>
        </w:tc>
      </w:tr>
      <w:tr>
        <w:trPr>
          <w:cantSplit/>
        </w:trPr>
        <w:tc>
          <w:tcPr>
            <w:tcW w:w="709" w:type="dxa"/>
            <w:tcBorders>
              <w:top w:val="nil"/>
              <w:left w:val="nil"/>
              <w:bottom w:val="nil"/>
              <w:right w:val="nil"/>
            </w:tcBorders>
          </w:tcPr>
          <w:p>
            <w:pPr>
              <w:pStyle w:val="yTableNAm"/>
            </w:pPr>
            <w:r>
              <w:t>1.</w:t>
            </w:r>
          </w:p>
        </w:tc>
        <w:tc>
          <w:tcPr>
            <w:tcW w:w="4961" w:type="dxa"/>
            <w:tcBorders>
              <w:top w:val="nil"/>
              <w:left w:val="nil"/>
              <w:bottom w:val="nil"/>
              <w:right w:val="nil"/>
            </w:tcBorders>
          </w:tcPr>
          <w:p>
            <w:pPr>
              <w:pStyle w:val="yTableNAm"/>
            </w:pPr>
            <w:r>
              <w:t>On filing an application for an original grant or, for a second subsequent grant in relation to the same deceased, or to reseal a foreign grant</w:t>
            </w:r>
          </w:p>
        </w:tc>
        <w:tc>
          <w:tcPr>
            <w:tcW w:w="1382" w:type="dxa"/>
            <w:tcBorders>
              <w:top w:val="nil"/>
              <w:left w:val="nil"/>
              <w:bottom w:val="nil"/>
              <w:right w:val="nil"/>
            </w:tcBorders>
            <w:vAlign w:val="bottom"/>
          </w:tcPr>
          <w:p>
            <w:pPr>
              <w:pStyle w:val="yTableNAm"/>
            </w:pPr>
            <w:r>
              <w:t>370.00</w:t>
            </w:r>
          </w:p>
        </w:tc>
      </w:tr>
      <w:tr>
        <w:trPr>
          <w:cantSplit/>
          <w:trHeight w:val="1701"/>
        </w:trPr>
        <w:tc>
          <w:tcPr>
            <w:tcW w:w="709" w:type="dxa"/>
            <w:tcBorders>
              <w:top w:val="nil"/>
              <w:left w:val="nil"/>
              <w:bottom w:val="nil"/>
              <w:right w:val="nil"/>
            </w:tcBorders>
          </w:tcPr>
          <w:p>
            <w:pPr>
              <w:pStyle w:val="yTableNAm"/>
              <w:rPr>
                <w:rFonts w:ascii="Arial" w:hAnsi="Arial" w:cs="Arial"/>
                <w:sz w:val="18"/>
                <w:szCs w:val="18"/>
              </w:rPr>
            </w:pPr>
          </w:p>
        </w:tc>
        <w:tc>
          <w:tcPr>
            <w:tcW w:w="6343" w:type="dxa"/>
            <w:gridSpan w:val="2"/>
            <w:tcBorders>
              <w:top w:val="nil"/>
              <w:left w:val="nil"/>
              <w:bottom w:val="nil"/>
              <w:right w:val="nil"/>
            </w:tcBorders>
          </w:tcPr>
          <w:p>
            <w:pPr>
              <w:pStyle w:val="yTableNAm"/>
              <w:tabs>
                <w:tab w:val="clear" w:pos="567"/>
                <w:tab w:val="left" w:pos="384"/>
              </w:tabs>
              <w:ind w:left="384" w:hanging="384"/>
              <w:rPr>
                <w:rFonts w:ascii="Arial" w:hAnsi="Arial" w:cs="Arial"/>
                <w:sz w:val="18"/>
                <w:szCs w:val="18"/>
              </w:rPr>
            </w:pPr>
            <w:r>
              <w:rPr>
                <w:rFonts w:ascii="Arial" w:hAnsi="Arial" w:cs="Arial"/>
                <w:sz w:val="18"/>
                <w:szCs w:val="18"/>
              </w:rPr>
              <w:t>Note for this item:</w:t>
            </w:r>
          </w:p>
          <w:p>
            <w:pPr>
              <w:pStyle w:val="yTableNAm"/>
              <w:tabs>
                <w:tab w:val="clear" w:pos="567"/>
                <w:tab w:val="left" w:pos="384"/>
              </w:tabs>
              <w:ind w:left="384" w:hanging="384"/>
              <w:rPr>
                <w:rFonts w:ascii="Arial" w:hAnsi="Arial" w:cs="Arial"/>
                <w:sz w:val="18"/>
                <w:szCs w:val="18"/>
              </w:rPr>
            </w:pPr>
            <w:r>
              <w:rPr>
                <w:rFonts w:ascii="Arial" w:hAnsi="Arial" w:cs="Arial"/>
                <w:sz w:val="18"/>
                <w:szCs w:val="18"/>
              </w:rPr>
              <w:t>The fee covers —</w:t>
            </w:r>
          </w:p>
          <w:p>
            <w:pPr>
              <w:pStyle w:val="yTableNAm"/>
              <w:tabs>
                <w:tab w:val="clear" w:pos="567"/>
                <w:tab w:val="left" w:pos="384"/>
              </w:tabs>
              <w:ind w:left="384" w:hanging="384"/>
              <w:rPr>
                <w:rFonts w:ascii="Arial" w:hAnsi="Arial" w:cs="Arial"/>
                <w:sz w:val="18"/>
                <w:szCs w:val="18"/>
              </w:rPr>
            </w:pPr>
            <w:r>
              <w:rPr>
                <w:rFonts w:ascii="Arial" w:hAnsi="Arial" w:cs="Arial"/>
                <w:sz w:val="18"/>
                <w:szCs w:val="18"/>
              </w:rPr>
              <w:t>(a)</w:t>
            </w:r>
            <w:r>
              <w:rPr>
                <w:rFonts w:ascii="Arial" w:hAnsi="Arial" w:cs="Arial"/>
                <w:sz w:val="18"/>
                <w:szCs w:val="18"/>
              </w:rPr>
              <w:tab/>
              <w:t>all documents filed in support of the application; and</w:t>
            </w:r>
          </w:p>
          <w:p>
            <w:pPr>
              <w:pStyle w:val="yTableNAm"/>
              <w:tabs>
                <w:tab w:val="clear" w:pos="567"/>
                <w:tab w:val="left" w:pos="384"/>
              </w:tabs>
              <w:ind w:left="384" w:hanging="384"/>
              <w:rPr>
                <w:rFonts w:ascii="Arial" w:hAnsi="Arial" w:cs="Arial"/>
                <w:sz w:val="18"/>
                <w:szCs w:val="18"/>
              </w:rPr>
            </w:pPr>
            <w:r>
              <w:rPr>
                <w:rFonts w:ascii="Arial" w:hAnsi="Arial" w:cs="Arial"/>
                <w:sz w:val="18"/>
                <w:szCs w:val="18"/>
              </w:rPr>
              <w:t>(b)</w:t>
            </w:r>
            <w:r>
              <w:rPr>
                <w:rFonts w:ascii="Arial" w:hAnsi="Arial" w:cs="Arial"/>
                <w:sz w:val="18"/>
                <w:szCs w:val="18"/>
              </w:rPr>
              <w:tab/>
              <w:t>preparation of the necessary photographic copies of documents including a will (if any) required for the grant and Court files; and</w:t>
            </w:r>
          </w:p>
          <w:p>
            <w:pPr>
              <w:pStyle w:val="yTableNAm"/>
              <w:tabs>
                <w:tab w:val="clear" w:pos="567"/>
                <w:tab w:val="left" w:pos="384"/>
              </w:tabs>
              <w:ind w:left="384" w:hanging="384"/>
              <w:rPr>
                <w:rFonts w:ascii="Arial" w:hAnsi="Arial" w:cs="Arial"/>
                <w:sz w:val="18"/>
                <w:szCs w:val="18"/>
              </w:rPr>
            </w:pPr>
            <w:r>
              <w:rPr>
                <w:rFonts w:ascii="Arial" w:hAnsi="Arial" w:cs="Arial"/>
                <w:sz w:val="18"/>
                <w:szCs w:val="18"/>
              </w:rPr>
              <w:t>(c)</w:t>
            </w:r>
            <w:r>
              <w:rPr>
                <w:rFonts w:ascii="Arial" w:hAnsi="Arial" w:cs="Arial"/>
                <w:sz w:val="18"/>
                <w:szCs w:val="18"/>
              </w:rPr>
              <w:tab/>
              <w:t>the issue of the grant.</w:t>
            </w:r>
          </w:p>
        </w:tc>
      </w:tr>
      <w:tr>
        <w:trPr>
          <w:cantSplit/>
        </w:trPr>
        <w:tc>
          <w:tcPr>
            <w:tcW w:w="709" w:type="dxa"/>
            <w:tcBorders>
              <w:top w:val="nil"/>
              <w:left w:val="nil"/>
              <w:bottom w:val="nil"/>
              <w:right w:val="nil"/>
            </w:tcBorders>
          </w:tcPr>
          <w:p>
            <w:pPr>
              <w:pStyle w:val="yTableNAm"/>
            </w:pPr>
            <w:r>
              <w:t>2.</w:t>
            </w:r>
          </w:p>
        </w:tc>
        <w:tc>
          <w:tcPr>
            <w:tcW w:w="4961" w:type="dxa"/>
            <w:tcBorders>
              <w:top w:val="nil"/>
              <w:left w:val="nil"/>
              <w:bottom w:val="nil"/>
              <w:right w:val="nil"/>
            </w:tcBorders>
          </w:tcPr>
          <w:p>
            <w:pPr>
              <w:pStyle w:val="yTableNAm"/>
            </w:pPr>
            <w:r>
              <w:t>For depositing a will of a deceased person in the Registry (including renunciation of executor)</w:t>
            </w:r>
          </w:p>
        </w:tc>
        <w:tc>
          <w:tcPr>
            <w:tcW w:w="1382" w:type="dxa"/>
            <w:tcBorders>
              <w:top w:val="nil"/>
              <w:left w:val="nil"/>
              <w:bottom w:val="nil"/>
              <w:right w:val="nil"/>
            </w:tcBorders>
            <w:vAlign w:val="bottom"/>
          </w:tcPr>
          <w:p>
            <w:pPr>
              <w:pStyle w:val="yTableNAm"/>
            </w:pPr>
            <w:r>
              <w:t>96.50</w:t>
            </w:r>
          </w:p>
        </w:tc>
      </w:tr>
      <w:tr>
        <w:trPr>
          <w:cantSplit/>
        </w:trPr>
        <w:tc>
          <w:tcPr>
            <w:tcW w:w="709" w:type="dxa"/>
            <w:tcBorders>
              <w:top w:val="nil"/>
              <w:left w:val="nil"/>
              <w:bottom w:val="nil"/>
              <w:right w:val="nil"/>
            </w:tcBorders>
          </w:tcPr>
          <w:p>
            <w:pPr>
              <w:pStyle w:val="yTableNAm"/>
            </w:pPr>
            <w:r>
              <w:t>3.</w:t>
            </w:r>
          </w:p>
        </w:tc>
        <w:tc>
          <w:tcPr>
            <w:tcW w:w="4961" w:type="dxa"/>
            <w:tcBorders>
              <w:top w:val="nil"/>
              <w:left w:val="nil"/>
              <w:bottom w:val="nil"/>
              <w:right w:val="nil"/>
            </w:tcBorders>
          </w:tcPr>
          <w:p>
            <w:pPr>
              <w:pStyle w:val="yTableNAm"/>
            </w:pPr>
            <w:r>
              <w:t xml:space="preserve">For depositing a will or instrument under the </w:t>
            </w:r>
            <w:r>
              <w:rPr>
                <w:i/>
                <w:iCs/>
              </w:rPr>
              <w:t>Wills Act 1970</w:t>
            </w:r>
            <w:r>
              <w:t xml:space="preserve"> s. 44(1) </w:t>
            </w:r>
          </w:p>
        </w:tc>
        <w:tc>
          <w:tcPr>
            <w:tcW w:w="1382" w:type="dxa"/>
            <w:tcBorders>
              <w:top w:val="nil"/>
              <w:left w:val="nil"/>
              <w:bottom w:val="nil"/>
              <w:right w:val="nil"/>
            </w:tcBorders>
            <w:vAlign w:val="bottom"/>
          </w:tcPr>
          <w:p>
            <w:pPr>
              <w:pStyle w:val="yTableNAm"/>
            </w:pPr>
            <w:r>
              <w:t>96.50</w:t>
            </w:r>
          </w:p>
        </w:tc>
      </w:tr>
      <w:tr>
        <w:trPr>
          <w:cantSplit/>
        </w:trPr>
        <w:tc>
          <w:tcPr>
            <w:tcW w:w="709" w:type="dxa"/>
            <w:tcBorders>
              <w:top w:val="nil"/>
              <w:left w:val="nil"/>
              <w:bottom w:val="nil"/>
              <w:right w:val="nil"/>
            </w:tcBorders>
          </w:tcPr>
          <w:p>
            <w:pPr>
              <w:pStyle w:val="yTableNAm"/>
            </w:pPr>
            <w:r>
              <w:t>4.</w:t>
            </w:r>
          </w:p>
        </w:tc>
        <w:tc>
          <w:tcPr>
            <w:tcW w:w="4961" w:type="dxa"/>
            <w:tcBorders>
              <w:top w:val="nil"/>
              <w:left w:val="nil"/>
              <w:bottom w:val="nil"/>
              <w:right w:val="nil"/>
            </w:tcBorders>
          </w:tcPr>
          <w:p>
            <w:pPr>
              <w:pStyle w:val="yTableNAm"/>
              <w:tabs>
                <w:tab w:val="clear" w:pos="567"/>
                <w:tab w:val="left" w:pos="438"/>
              </w:tabs>
              <w:ind w:left="452" w:hanging="452"/>
            </w:pPr>
            <w:r>
              <w:t>(a)</w:t>
            </w:r>
            <w:r>
              <w:tab/>
              <w:t xml:space="preserve">For the supply of copies of a will or other document, including marking as an office copy if required — for each page </w:t>
            </w:r>
          </w:p>
        </w:tc>
        <w:tc>
          <w:tcPr>
            <w:tcW w:w="1382" w:type="dxa"/>
            <w:tcBorders>
              <w:top w:val="nil"/>
              <w:left w:val="nil"/>
              <w:bottom w:val="nil"/>
              <w:right w:val="nil"/>
            </w:tcBorders>
            <w:vAlign w:val="bottom"/>
          </w:tcPr>
          <w:p>
            <w:pPr>
              <w:pStyle w:val="yTableNAm"/>
            </w:pPr>
            <w:r>
              <w:t>2.05</w:t>
            </w:r>
          </w:p>
        </w:tc>
      </w:tr>
      <w:tr>
        <w:trPr>
          <w:cantSplit/>
        </w:trPr>
        <w:tc>
          <w:tcPr>
            <w:tcW w:w="709" w:type="dxa"/>
            <w:tcBorders>
              <w:top w:val="nil"/>
              <w:left w:val="nil"/>
              <w:bottom w:val="nil"/>
              <w:right w:val="nil"/>
            </w:tcBorders>
          </w:tcPr>
          <w:p>
            <w:pPr>
              <w:pStyle w:val="yTableNAm"/>
            </w:pPr>
          </w:p>
        </w:tc>
        <w:tc>
          <w:tcPr>
            <w:tcW w:w="4961" w:type="dxa"/>
            <w:tcBorders>
              <w:top w:val="nil"/>
              <w:left w:val="nil"/>
              <w:bottom w:val="nil"/>
              <w:right w:val="nil"/>
            </w:tcBorders>
          </w:tcPr>
          <w:p>
            <w:pPr>
              <w:pStyle w:val="yTableNAm"/>
              <w:tabs>
                <w:tab w:val="clear" w:pos="567"/>
                <w:tab w:val="left" w:pos="438"/>
              </w:tabs>
              <w:ind w:left="452" w:hanging="452"/>
            </w:pPr>
            <w:r>
              <w:t>(b)</w:t>
            </w:r>
            <w:r>
              <w:tab/>
              <w:t xml:space="preserve">For certifying under seal that a copy of a document is a true copy — an additional </w:t>
            </w:r>
            <w:r>
              <w:br/>
              <w:t>fee of</w:t>
            </w:r>
          </w:p>
        </w:tc>
        <w:tc>
          <w:tcPr>
            <w:tcW w:w="1382" w:type="dxa"/>
            <w:tcBorders>
              <w:top w:val="nil"/>
              <w:left w:val="nil"/>
              <w:bottom w:val="nil"/>
              <w:right w:val="nil"/>
            </w:tcBorders>
            <w:vAlign w:val="bottom"/>
          </w:tcPr>
          <w:p>
            <w:pPr>
              <w:pStyle w:val="yTableNAm"/>
            </w:pPr>
            <w:r>
              <w:t>23.50</w:t>
            </w:r>
          </w:p>
        </w:tc>
      </w:tr>
      <w:tr>
        <w:trPr>
          <w:cantSplit/>
        </w:trPr>
        <w:tc>
          <w:tcPr>
            <w:tcW w:w="709" w:type="dxa"/>
            <w:tcBorders>
              <w:top w:val="nil"/>
              <w:left w:val="nil"/>
              <w:bottom w:val="nil"/>
              <w:right w:val="nil"/>
            </w:tcBorders>
          </w:tcPr>
          <w:p>
            <w:pPr>
              <w:pStyle w:val="yTableNAm"/>
            </w:pPr>
            <w:r>
              <w:t>5.</w:t>
            </w:r>
          </w:p>
        </w:tc>
        <w:tc>
          <w:tcPr>
            <w:tcW w:w="4961" w:type="dxa"/>
            <w:tcBorders>
              <w:top w:val="nil"/>
              <w:left w:val="nil"/>
              <w:bottom w:val="nil"/>
              <w:right w:val="nil"/>
            </w:tcBorders>
          </w:tcPr>
          <w:p>
            <w:pPr>
              <w:pStyle w:val="yTableNAm"/>
              <w:tabs>
                <w:tab w:val="clear" w:pos="567"/>
                <w:tab w:val="left" w:pos="438"/>
              </w:tabs>
              <w:ind w:left="452" w:hanging="452"/>
            </w:pPr>
            <w:r>
              <w:t>(a)</w:t>
            </w:r>
            <w:r>
              <w:tab/>
              <w:t>For an exemplification of a grant (in addition to the fee payable under item 4(a))</w:t>
            </w:r>
          </w:p>
        </w:tc>
        <w:tc>
          <w:tcPr>
            <w:tcW w:w="1382" w:type="dxa"/>
            <w:tcBorders>
              <w:top w:val="nil"/>
              <w:left w:val="nil"/>
              <w:bottom w:val="nil"/>
              <w:right w:val="nil"/>
            </w:tcBorders>
            <w:vAlign w:val="bottom"/>
          </w:tcPr>
          <w:p>
            <w:pPr>
              <w:pStyle w:val="yTableNAm"/>
            </w:pPr>
            <w:r>
              <w:t>121.50</w:t>
            </w:r>
          </w:p>
        </w:tc>
      </w:tr>
      <w:tr>
        <w:trPr>
          <w:cantSplit/>
        </w:trPr>
        <w:tc>
          <w:tcPr>
            <w:tcW w:w="709" w:type="dxa"/>
            <w:tcBorders>
              <w:top w:val="nil"/>
              <w:left w:val="nil"/>
              <w:bottom w:val="nil"/>
              <w:right w:val="nil"/>
            </w:tcBorders>
          </w:tcPr>
          <w:p>
            <w:pPr>
              <w:pStyle w:val="yTableNAm"/>
            </w:pPr>
          </w:p>
        </w:tc>
        <w:tc>
          <w:tcPr>
            <w:tcW w:w="4961" w:type="dxa"/>
            <w:tcBorders>
              <w:top w:val="nil"/>
              <w:left w:val="nil"/>
              <w:bottom w:val="nil"/>
              <w:right w:val="nil"/>
            </w:tcBorders>
          </w:tcPr>
          <w:p>
            <w:pPr>
              <w:pStyle w:val="yTableNAm"/>
              <w:tabs>
                <w:tab w:val="clear" w:pos="567"/>
                <w:tab w:val="left" w:pos="438"/>
              </w:tabs>
              <w:ind w:left="452" w:hanging="452"/>
            </w:pPr>
            <w:r>
              <w:t>(b)</w:t>
            </w:r>
            <w:r>
              <w:tab/>
              <w:t>For settling and sealing a citation or a subpoena</w:t>
            </w:r>
          </w:p>
        </w:tc>
        <w:tc>
          <w:tcPr>
            <w:tcW w:w="1382" w:type="dxa"/>
            <w:tcBorders>
              <w:top w:val="nil"/>
              <w:left w:val="nil"/>
              <w:bottom w:val="nil"/>
              <w:right w:val="nil"/>
            </w:tcBorders>
            <w:vAlign w:val="bottom"/>
          </w:tcPr>
          <w:p>
            <w:pPr>
              <w:pStyle w:val="yTableNAm"/>
            </w:pPr>
            <w:r>
              <w:t>121.50</w:t>
            </w:r>
          </w:p>
        </w:tc>
      </w:tr>
      <w:tr>
        <w:trPr>
          <w:cantSplit/>
        </w:trPr>
        <w:tc>
          <w:tcPr>
            <w:tcW w:w="709" w:type="dxa"/>
            <w:tcBorders>
              <w:top w:val="nil"/>
              <w:left w:val="nil"/>
              <w:right w:val="nil"/>
            </w:tcBorders>
          </w:tcPr>
          <w:p>
            <w:pPr>
              <w:pStyle w:val="yTableNAm"/>
            </w:pPr>
            <w:r>
              <w:t>6.</w:t>
            </w:r>
          </w:p>
        </w:tc>
        <w:tc>
          <w:tcPr>
            <w:tcW w:w="4961" w:type="dxa"/>
            <w:tcBorders>
              <w:top w:val="nil"/>
              <w:left w:val="nil"/>
              <w:right w:val="nil"/>
            </w:tcBorders>
          </w:tcPr>
          <w:p>
            <w:pPr>
              <w:pStyle w:val="yTableNAm"/>
            </w:pPr>
            <w:r>
              <w:t xml:space="preserve">For a search for and inspection of a document or file of documents </w:t>
            </w:r>
          </w:p>
        </w:tc>
        <w:tc>
          <w:tcPr>
            <w:tcW w:w="1382" w:type="dxa"/>
            <w:tcBorders>
              <w:top w:val="nil"/>
              <w:left w:val="nil"/>
              <w:right w:val="nil"/>
            </w:tcBorders>
            <w:vAlign w:val="bottom"/>
          </w:tcPr>
          <w:p>
            <w:pPr>
              <w:pStyle w:val="yTableNAm"/>
            </w:pPr>
            <w:r>
              <w:t>49.00</w:t>
            </w:r>
          </w:p>
        </w:tc>
      </w:tr>
    </w:tbl>
    <w:p>
      <w:pPr>
        <w:pStyle w:val="yFootnotesection"/>
      </w:pPr>
      <w:r>
        <w:tab/>
        <w:t>[Schedule 3 inserted: Gazette 28 Jun 2019 p. 2641</w:t>
      </w:r>
      <w:r>
        <w:noBreakHyphen/>
        <w:t>2.]</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75" w:name="_Toc15561489"/>
      <w:bookmarkStart w:id="76" w:name="_Toc15561516"/>
      <w:bookmarkStart w:id="77" w:name="_Toc15562163"/>
      <w:bookmarkStart w:id="78" w:name="_Toc15562518"/>
      <w:bookmarkStart w:id="79" w:name="_Toc15562883"/>
      <w:bookmarkStart w:id="80" w:name="_Toc19787858"/>
      <w:bookmarkStart w:id="81" w:name="_Toc25656898"/>
      <w:r>
        <w:rPr>
          <w:rStyle w:val="CharSchNo"/>
        </w:rPr>
        <w:t>Schedule 4</w:t>
      </w:r>
      <w:r>
        <w:t xml:space="preserve"> — </w:t>
      </w:r>
      <w:r>
        <w:rPr>
          <w:rStyle w:val="CharSchText"/>
        </w:rPr>
        <w:t>Forms</w:t>
      </w:r>
      <w:bookmarkEnd w:id="75"/>
      <w:bookmarkEnd w:id="76"/>
      <w:bookmarkEnd w:id="77"/>
      <w:bookmarkEnd w:id="78"/>
      <w:bookmarkEnd w:id="79"/>
      <w:bookmarkEnd w:id="80"/>
      <w:bookmarkEnd w:id="81"/>
    </w:p>
    <w:p>
      <w:pPr>
        <w:pStyle w:val="yShoulderClause"/>
        <w:spacing w:after="120"/>
      </w:pPr>
      <w:r>
        <w:rPr>
          <w:szCs w:val="22"/>
        </w:rPr>
        <w:t>[r. 4A(1) and 8(2)]</w:t>
      </w:r>
      <w:r>
        <w:t xml:space="preserve"> </w:t>
      </w:r>
    </w:p>
    <w:p>
      <w:pPr>
        <w:pStyle w:val="yFootnoteheading"/>
        <w:spacing w:after="80"/>
      </w:pPr>
      <w:r>
        <w:tab/>
        <w:t>[Heading amended: Gazette 14 Jun 2016 p. 1981.]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3189"/>
      </w:tblGrid>
      <w:tr>
        <w:trPr>
          <w:cantSplit/>
        </w:trPr>
        <w:tc>
          <w:tcPr>
            <w:tcW w:w="6946" w:type="dxa"/>
            <w:gridSpan w:val="4"/>
            <w:tcBorders>
              <w:bottom w:val="nil"/>
            </w:tcBorders>
          </w:tcPr>
          <w:p>
            <w:pPr>
              <w:pStyle w:val="yTableNAm"/>
              <w:jc w:val="center"/>
              <w:rPr>
                <w:rStyle w:val="CharSClsNo"/>
                <w:b/>
              </w:rPr>
            </w:pPr>
            <w:r>
              <w:rPr>
                <w:rStyle w:val="CharSClsNo"/>
                <w:b/>
              </w:rPr>
              <w:t>Form 1</w:t>
            </w:r>
          </w:p>
        </w:tc>
      </w:tr>
      <w:tr>
        <w:trPr>
          <w:cantSplit/>
        </w:trPr>
        <w:tc>
          <w:tcPr>
            <w:tcW w:w="6946"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757" w:type="dxa"/>
            <w:gridSpan w:val="3"/>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189" w:type="dxa"/>
          </w:tcPr>
          <w:p>
            <w:pPr>
              <w:pStyle w:val="yTableNAm"/>
            </w:pPr>
            <w:r>
              <w:t>No.         of  2   </w:t>
            </w:r>
          </w:p>
        </w:tc>
      </w:tr>
      <w:tr>
        <w:trPr>
          <w:cantSplit/>
        </w:trPr>
        <w:tc>
          <w:tcPr>
            <w:tcW w:w="6946"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946" w:type="dxa"/>
            <w:gridSpan w:val="4"/>
          </w:tcPr>
          <w:p>
            <w:pPr>
              <w:pStyle w:val="yTableNAm"/>
              <w:tabs>
                <w:tab w:val="left" w:pos="3710"/>
              </w:tabs>
            </w:pPr>
            <w:r>
              <w:rPr>
                <w:b/>
              </w:rPr>
              <w:t>Defendant/Respondent*:</w:t>
            </w:r>
            <w:r>
              <w:rPr>
                <w:b/>
              </w:rPr>
              <w:tab/>
            </w:r>
            <w:r>
              <w:t>......................................................</w:t>
            </w:r>
          </w:p>
          <w:p>
            <w:pPr>
              <w:pStyle w:val="yTableNAm"/>
              <w:tabs>
                <w:tab w:val="left" w:pos="3710"/>
              </w:tabs>
              <w:spacing w:before="0"/>
            </w:pPr>
            <w:r>
              <w:rPr>
                <w:sz w:val="20"/>
              </w:rPr>
              <w:t>(*strike out word that is not applicable)</w:t>
            </w:r>
          </w:p>
        </w:tc>
      </w:tr>
      <w:tr>
        <w:trPr>
          <w:cantSplit/>
        </w:trPr>
        <w:tc>
          <w:tcPr>
            <w:tcW w:w="1843" w:type="dxa"/>
            <w:vMerge w:val="restart"/>
            <w:tcBorders>
              <w:bottom w:val="nil"/>
            </w:tcBorders>
          </w:tcPr>
          <w:p>
            <w:pPr>
              <w:pStyle w:val="yTableNAm"/>
              <w:rPr>
                <w:b/>
                <w:bCs/>
              </w:rPr>
            </w:pPr>
            <w:r>
              <w:rPr>
                <w:b/>
                <w:bCs/>
              </w:rPr>
              <w:t>Applicant:</w:t>
            </w:r>
          </w:p>
        </w:tc>
        <w:tc>
          <w:tcPr>
            <w:tcW w:w="5103" w:type="dxa"/>
            <w:gridSpan w:val="3"/>
            <w:tcBorders>
              <w:bottom w:val="single" w:sz="4" w:space="0" w:color="auto"/>
            </w:tcBorders>
          </w:tcPr>
          <w:p>
            <w:pPr>
              <w:pStyle w:val="yTableNAm"/>
            </w:pPr>
            <w:r>
              <w:t>........................................................................................</w:t>
            </w:r>
          </w:p>
          <w:p>
            <w:pPr>
              <w:pStyle w:val="yTableNAm"/>
              <w:spacing w:before="0"/>
            </w:pPr>
            <w:r>
              <w:t>Full name</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Address</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843" w:type="dxa"/>
            <w:vMerge/>
            <w:tcBorders>
              <w:bottom w:val="single" w:sz="4" w:space="0" w:color="auto"/>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946"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694" w:type="dxa"/>
            <w:gridSpan w:val="2"/>
          </w:tcPr>
          <w:p>
            <w:pPr>
              <w:pStyle w:val="yTableNAm"/>
              <w:rPr>
                <w:b/>
                <w:bCs/>
              </w:rPr>
            </w:pPr>
            <w:r>
              <w:rPr>
                <w:b/>
                <w:bCs/>
              </w:rPr>
              <w:t>Signature of applicant:</w:t>
            </w:r>
          </w:p>
        </w:tc>
        <w:tc>
          <w:tcPr>
            <w:tcW w:w="4252" w:type="dxa"/>
            <w:gridSpan w:val="2"/>
          </w:tcPr>
          <w:p>
            <w:pPr>
              <w:pStyle w:val="yTableNAm"/>
            </w:pPr>
          </w:p>
        </w:tc>
      </w:tr>
      <w:tr>
        <w:trPr>
          <w:cantSplit/>
        </w:trPr>
        <w:tc>
          <w:tcPr>
            <w:tcW w:w="2694" w:type="dxa"/>
            <w:gridSpan w:val="2"/>
          </w:tcPr>
          <w:p>
            <w:pPr>
              <w:pStyle w:val="yTableNAm"/>
              <w:rPr>
                <w:b/>
                <w:bCs/>
              </w:rPr>
            </w:pPr>
            <w:r>
              <w:rPr>
                <w:b/>
                <w:bCs/>
              </w:rPr>
              <w:t>Date:</w:t>
            </w:r>
          </w:p>
        </w:tc>
        <w:tc>
          <w:tcPr>
            <w:tcW w:w="4252" w:type="dxa"/>
            <w:gridSpan w:val="2"/>
          </w:tcPr>
          <w:p>
            <w:pPr>
              <w:pStyle w:val="yTableNAm"/>
            </w:pPr>
          </w:p>
        </w:tc>
      </w:tr>
      <w:tr>
        <w:trPr>
          <w:cantSplit/>
        </w:trPr>
        <w:tc>
          <w:tcPr>
            <w:tcW w:w="6946" w:type="dxa"/>
            <w:gridSpan w:val="4"/>
            <w:tcBorders>
              <w:bottom w:val="single" w:sz="4" w:space="0" w:color="auto"/>
            </w:tcBorders>
          </w:tcPr>
          <w:p>
            <w:pPr>
              <w:pStyle w:val="yTableNAm"/>
              <w:rPr>
                <w:i/>
                <w:sz w:val="16"/>
              </w:rPr>
            </w:pPr>
            <w:r>
              <w:rPr>
                <w:i/>
                <w:sz w:val="16"/>
                <w:szCs w:val="16"/>
              </w:rPr>
              <w:t>Note:  A person who makes a statement or representation in this application that the person knows or has reason to believe is false or misleading in a material particular commits an offence under the Supreme Court (Fees) Regulations 2002 regulation 8B(1).</w:t>
            </w:r>
          </w:p>
        </w:tc>
      </w:tr>
      <w:tr>
        <w:trPr>
          <w:cantSplit/>
        </w:trPr>
        <w:tc>
          <w:tcPr>
            <w:tcW w:w="6946" w:type="dxa"/>
            <w:gridSpan w:val="4"/>
            <w:tcBorders>
              <w:bottom w:val="single" w:sz="4" w:space="0" w:color="auto"/>
            </w:tcBorders>
          </w:tcPr>
          <w:p>
            <w:pPr>
              <w:pStyle w:val="yTableNAm"/>
            </w:pPr>
            <w:r>
              <w:rPr>
                <w:i/>
                <w:sz w:val="16"/>
                <w:szCs w:val="16"/>
                <w:vertAlign w:val="superscript"/>
              </w:rPr>
              <w:t>1</w:t>
            </w:r>
            <w:r>
              <w:rPr>
                <w:i/>
                <w:sz w:val="16"/>
                <w:szCs w:val="16"/>
              </w:rPr>
              <w:t xml:space="preserve"> Under the Supreme Court (Fees) Regulations 2002 a small business is — </w:t>
            </w:r>
          </w:p>
          <w:p>
            <w:pPr>
              <w:pStyle w:val="yTableNAm"/>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rPr>
                <w:i/>
                <w:sz w:val="16"/>
              </w:rPr>
            </w:pPr>
            <w:r>
              <w:rPr>
                <w:i/>
                <w:sz w:val="16"/>
                <w:szCs w:val="16"/>
              </w:rPr>
              <w:t>a corporation that has less than 20 full</w:t>
            </w:r>
            <w:r>
              <w:rPr>
                <w:i/>
                <w:sz w:val="16"/>
                <w:szCs w:val="16"/>
              </w:rPr>
              <w:noBreakHyphen/>
              <w:t>time equivalent employees and that is not a subsidiary of a corporation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 or</w:t>
            </w:r>
          </w:p>
          <w:p>
            <w:pPr>
              <w:pStyle w:val="yTableNAm"/>
              <w:rPr>
                <w:i/>
                <w:sz w:val="16"/>
                <w:szCs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rPr>
                <w:i/>
                <w:sz w:val="16"/>
              </w:rPr>
            </w:pPr>
            <w:r>
              <w:rPr>
                <w:i/>
                <w:sz w:val="16"/>
                <w:szCs w:val="16"/>
                <w:vertAlign w:val="superscript"/>
              </w:rPr>
              <w:t>2</w:t>
            </w:r>
            <w:r>
              <w:rPr>
                <w:i/>
                <w:sz w:val="16"/>
                <w:szCs w:val="16"/>
              </w:rPr>
              <w:t xml:space="preserve"> Under the Supreme Court (Fees) Regulations 2002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keepLines w:val="0"/>
        <w:spacing w:after="120"/>
      </w:pPr>
      <w:r>
        <w:tab/>
        <w:t>[Form 1 amended: Gazette 30 Dec 2003 p. 5700; 23 Jun 2005 p. 2700; 14 Jun 2016 p. 1981.]</w:t>
      </w:r>
    </w:p>
    <w:tbl>
      <w:tblPr>
        <w:tblStyle w:val="TableGrid"/>
        <w:tblW w:w="7055" w:type="dxa"/>
        <w:tblInd w:w="108" w:type="dxa"/>
        <w:tblLayout w:type="fixed"/>
        <w:tblLook w:val="04A0" w:firstRow="1" w:lastRow="0" w:firstColumn="1" w:lastColumn="0" w:noHBand="0" w:noVBand="1"/>
      </w:tblPr>
      <w:tblGrid>
        <w:gridCol w:w="1555"/>
        <w:gridCol w:w="281"/>
        <w:gridCol w:w="191"/>
        <w:gridCol w:w="228"/>
        <w:gridCol w:w="157"/>
        <w:gridCol w:w="140"/>
        <w:gridCol w:w="143"/>
        <w:gridCol w:w="74"/>
        <w:gridCol w:w="6"/>
        <w:gridCol w:w="9"/>
        <w:gridCol w:w="335"/>
        <w:gridCol w:w="86"/>
        <w:gridCol w:w="47"/>
        <w:gridCol w:w="301"/>
        <w:gridCol w:w="162"/>
        <w:gridCol w:w="44"/>
        <w:gridCol w:w="69"/>
        <w:gridCol w:w="80"/>
        <w:gridCol w:w="585"/>
        <w:gridCol w:w="33"/>
        <w:gridCol w:w="422"/>
        <w:gridCol w:w="159"/>
        <w:gridCol w:w="122"/>
        <w:gridCol w:w="22"/>
        <w:gridCol w:w="502"/>
        <w:gridCol w:w="14"/>
        <w:gridCol w:w="19"/>
        <w:gridCol w:w="47"/>
        <w:gridCol w:w="221"/>
        <w:gridCol w:w="183"/>
        <w:gridCol w:w="818"/>
      </w:tblGrid>
      <w:tr>
        <w:tc>
          <w:tcPr>
            <w:tcW w:w="7055" w:type="dxa"/>
            <w:gridSpan w:val="31"/>
          </w:tcPr>
          <w:p>
            <w:pPr>
              <w:pStyle w:val="yTableNAm"/>
              <w:jc w:val="center"/>
              <w:rPr>
                <w:b/>
              </w:rPr>
            </w:pPr>
            <w:r>
              <w:rPr>
                <w:rStyle w:val="CharSClsNo"/>
                <w:b/>
              </w:rPr>
              <w:t>Form 2</w:t>
            </w:r>
          </w:p>
          <w:p>
            <w:pPr>
              <w:pStyle w:val="yTableNAm"/>
              <w:jc w:val="center"/>
              <w:rPr>
                <w:b/>
              </w:rPr>
            </w:pPr>
            <w:r>
              <w:rPr>
                <w:b/>
              </w:rPr>
              <w:t>APPLICATION TO REDUCE FEE</w:t>
            </w:r>
          </w:p>
        </w:tc>
      </w:tr>
      <w:tr>
        <w:tc>
          <w:tcPr>
            <w:tcW w:w="3759" w:type="dxa"/>
            <w:gridSpan w:val="16"/>
          </w:tcPr>
          <w:p>
            <w:pPr>
              <w:pStyle w:val="yTableNAm"/>
            </w:pPr>
            <w:r>
              <w:rPr>
                <w:bCs/>
              </w:rPr>
              <w:t>In the Supreme Court of Western Australia</w:t>
            </w:r>
          </w:p>
        </w:tc>
        <w:tc>
          <w:tcPr>
            <w:tcW w:w="3296" w:type="dxa"/>
            <w:gridSpan w:val="15"/>
          </w:tcPr>
          <w:p>
            <w:pPr>
              <w:pStyle w:val="yTableNAm"/>
            </w:pPr>
            <w:r>
              <w:rPr>
                <w:bCs/>
              </w:rPr>
              <w:t xml:space="preserve">No. </w:t>
            </w:r>
            <w:r>
              <w:rPr>
                <w:bCs/>
              </w:rPr>
              <w:tab/>
            </w:r>
            <w:r>
              <w:rPr>
                <w:bCs/>
              </w:rPr>
              <w:tab/>
              <w:t>of  2</w:t>
            </w:r>
          </w:p>
        </w:tc>
      </w:tr>
      <w:tr>
        <w:tc>
          <w:tcPr>
            <w:tcW w:w="7055" w:type="dxa"/>
            <w:gridSpan w:val="31"/>
          </w:tcPr>
          <w:p>
            <w:pPr>
              <w:pStyle w:val="yTableNAm"/>
              <w:tabs>
                <w:tab w:val="left" w:pos="3710"/>
              </w:tabs>
            </w:pPr>
            <w:r>
              <w:rPr>
                <w:b/>
              </w:rPr>
              <w:t>Plaintiff/Appellant*:</w:t>
            </w:r>
          </w:p>
          <w:p>
            <w:pPr>
              <w:pStyle w:val="yTableNAm"/>
              <w:tabs>
                <w:tab w:val="left" w:pos="3710"/>
              </w:tabs>
              <w:spacing w:before="0"/>
            </w:pPr>
            <w:r>
              <w:rPr>
                <w:sz w:val="20"/>
              </w:rPr>
              <w:t>(*strike out word that is not applicable)</w:t>
            </w:r>
          </w:p>
        </w:tc>
      </w:tr>
      <w:tr>
        <w:tc>
          <w:tcPr>
            <w:tcW w:w="7055" w:type="dxa"/>
            <w:gridSpan w:val="31"/>
          </w:tcPr>
          <w:p>
            <w:pPr>
              <w:pStyle w:val="yTableNAm"/>
              <w:tabs>
                <w:tab w:val="left" w:pos="3710"/>
              </w:tabs>
            </w:pPr>
            <w:r>
              <w:rPr>
                <w:b/>
              </w:rPr>
              <w:t>Defendant/Respondent*:</w:t>
            </w:r>
          </w:p>
          <w:p>
            <w:pPr>
              <w:pStyle w:val="yTableNAm"/>
              <w:tabs>
                <w:tab w:val="left" w:pos="3710"/>
              </w:tabs>
              <w:spacing w:before="0"/>
            </w:pPr>
            <w:r>
              <w:rPr>
                <w:sz w:val="20"/>
              </w:rPr>
              <w:t>(*strike out word that is not applicable)</w:t>
            </w:r>
          </w:p>
        </w:tc>
      </w:tr>
      <w:tr>
        <w:tc>
          <w:tcPr>
            <w:tcW w:w="7055" w:type="dxa"/>
            <w:gridSpan w:val="31"/>
          </w:tcPr>
          <w:p>
            <w:pPr>
              <w:pStyle w:val="yTableNAm"/>
            </w:pPr>
            <w:r>
              <w:t>Fee type for which request is made:</w:t>
            </w:r>
          </w:p>
        </w:tc>
      </w:tr>
      <w:tr>
        <w:tc>
          <w:tcPr>
            <w:tcW w:w="2027" w:type="dxa"/>
            <w:gridSpan w:val="3"/>
          </w:tcPr>
          <w:p>
            <w:pPr>
              <w:pStyle w:val="yTableNAm"/>
              <w:tabs>
                <w:tab w:val="clear" w:pos="567"/>
              </w:tabs>
              <w:ind w:left="284" w:hanging="284"/>
            </w:pPr>
            <w:r>
              <w:rPr>
                <w:rFonts w:ascii="MS Mincho" w:eastAsia="MS Mincho" w:hAnsi="MS Mincho" w:cs="MS Mincho" w:hint="eastAsia"/>
              </w:rPr>
              <w:t>❑</w:t>
            </w:r>
            <w:r>
              <w:t xml:space="preserve"> Application fee</w:t>
            </w:r>
          </w:p>
        </w:tc>
        <w:tc>
          <w:tcPr>
            <w:tcW w:w="1526" w:type="dxa"/>
            <w:gridSpan w:val="11"/>
          </w:tcPr>
          <w:p>
            <w:pPr>
              <w:pStyle w:val="yTableNAm"/>
            </w:pPr>
            <w:r>
              <w:rPr>
                <w:rFonts w:ascii="MS Mincho" w:eastAsia="MS Mincho" w:hAnsi="MS Mincho" w:cs="MS Mincho" w:hint="eastAsia"/>
              </w:rPr>
              <w:t>❑</w:t>
            </w:r>
            <w:r>
              <w:t xml:space="preserve"> Hearing fee</w:t>
            </w:r>
          </w:p>
        </w:tc>
        <w:tc>
          <w:tcPr>
            <w:tcW w:w="1698" w:type="dxa"/>
            <w:gridSpan w:val="10"/>
          </w:tcPr>
          <w:p>
            <w:pPr>
              <w:pStyle w:val="yTableNAm"/>
              <w:tabs>
                <w:tab w:val="clear" w:pos="567"/>
              </w:tabs>
              <w:ind w:left="308" w:hanging="308"/>
            </w:pPr>
            <w:r>
              <w:rPr>
                <w:rFonts w:ascii="MS Mincho" w:eastAsia="MS Mincho" w:hAnsi="MS Mincho" w:cs="MS Mincho" w:hint="eastAsia"/>
              </w:rPr>
              <w:t>❑</w:t>
            </w:r>
            <w:r>
              <w:t xml:space="preserve"> Transcription fee</w:t>
            </w:r>
          </w:p>
        </w:tc>
        <w:tc>
          <w:tcPr>
            <w:tcW w:w="1804" w:type="dxa"/>
            <w:gridSpan w:val="7"/>
          </w:tcPr>
          <w:p>
            <w:pPr>
              <w:pStyle w:val="yTableNAm"/>
              <w:tabs>
                <w:tab w:val="clear" w:pos="567"/>
              </w:tabs>
              <w:ind w:left="311" w:hanging="311"/>
            </w:pPr>
            <w:r>
              <w:rPr>
                <w:rFonts w:ascii="MS Mincho" w:eastAsia="MS Mincho" w:hAnsi="MS Mincho" w:cs="MS Mincho" w:hint="eastAsia"/>
              </w:rPr>
              <w:t>❑</w:t>
            </w:r>
            <w:r>
              <w:t xml:space="preserve"> Other (please describe below)</w:t>
            </w:r>
          </w:p>
          <w:p>
            <w:pPr>
              <w:pStyle w:val="yTableNAm"/>
            </w:pPr>
          </w:p>
        </w:tc>
      </w:tr>
      <w:tr>
        <w:trPr>
          <w:trHeight w:val="742"/>
        </w:trPr>
        <w:tc>
          <w:tcPr>
            <w:tcW w:w="3119" w:type="dxa"/>
            <w:gridSpan w:val="11"/>
            <w:vMerge w:val="restart"/>
          </w:tcPr>
          <w:p>
            <w:pPr>
              <w:pStyle w:val="yTableNAm"/>
            </w:pPr>
            <w:r>
              <w:t xml:space="preserve">Concession Card Holder:  </w:t>
            </w: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yTableNAm"/>
            </w:pPr>
            <w:r>
              <w:t>Pension Concession Card No:</w:t>
            </w:r>
          </w:p>
        </w:tc>
        <w:tc>
          <w:tcPr>
            <w:tcW w:w="1826" w:type="dxa"/>
            <w:gridSpan w:val="8"/>
          </w:tcPr>
          <w:p>
            <w:pPr>
              <w:pStyle w:val="yTableNAm"/>
            </w:pPr>
            <w:r>
              <w:br/>
              <w:t>______________</w:t>
            </w:r>
          </w:p>
        </w:tc>
      </w:tr>
      <w:tr>
        <w:trPr>
          <w:trHeight w:val="743"/>
        </w:trPr>
        <w:tc>
          <w:tcPr>
            <w:tcW w:w="3119" w:type="dxa"/>
            <w:gridSpan w:val="11"/>
            <w:vMerge/>
          </w:tcPr>
          <w:p>
            <w:pPr>
              <w:pStyle w:val="zyTableNAm"/>
            </w:pPr>
          </w:p>
        </w:tc>
        <w:tc>
          <w:tcPr>
            <w:tcW w:w="2110" w:type="dxa"/>
            <w:gridSpan w:val="12"/>
          </w:tcPr>
          <w:p>
            <w:pPr>
              <w:pStyle w:val="yTableNAm"/>
            </w:pPr>
            <w:r>
              <w:t>Health Care Card No:</w:t>
            </w:r>
          </w:p>
        </w:tc>
        <w:tc>
          <w:tcPr>
            <w:tcW w:w="1826" w:type="dxa"/>
            <w:gridSpan w:val="8"/>
          </w:tcPr>
          <w:p>
            <w:pPr>
              <w:pStyle w:val="yTableNAm"/>
            </w:pPr>
            <w:r>
              <w:br/>
              <w:t>______________</w:t>
            </w:r>
          </w:p>
        </w:tc>
      </w:tr>
      <w:tr>
        <w:tc>
          <w:tcPr>
            <w:tcW w:w="3119" w:type="dxa"/>
            <w:gridSpan w:val="11"/>
          </w:tcPr>
          <w:p>
            <w:pPr>
              <w:pStyle w:val="yTableNAm"/>
            </w:pPr>
            <w:r>
              <w:t>Grant of Legal Aid under a legal aid scheme or service</w:t>
            </w:r>
          </w:p>
          <w:p>
            <w:pPr>
              <w:pStyle w:val="yTableNAm"/>
            </w:pP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zyTableNAm"/>
              <w:jc w:val="center"/>
            </w:pPr>
          </w:p>
        </w:tc>
        <w:tc>
          <w:tcPr>
            <w:tcW w:w="1826" w:type="dxa"/>
            <w:gridSpan w:val="8"/>
          </w:tcPr>
          <w:p>
            <w:pPr>
              <w:pStyle w:val="yTableNAm"/>
            </w:pPr>
          </w:p>
        </w:tc>
      </w:tr>
      <w:tr>
        <w:tc>
          <w:tcPr>
            <w:tcW w:w="2412" w:type="dxa"/>
            <w:gridSpan w:val="5"/>
            <w:vMerge w:val="restart"/>
            <w:vAlign w:val="center"/>
          </w:tcPr>
          <w:p>
            <w:pPr>
              <w:pStyle w:val="yTableNAm"/>
              <w:keepNext/>
            </w:pPr>
            <w:r>
              <w:rPr>
                <w:b/>
              </w:rPr>
              <w:t>Applicant Details:</w:t>
            </w:r>
          </w:p>
        </w:tc>
        <w:tc>
          <w:tcPr>
            <w:tcW w:w="1303" w:type="dxa"/>
            <w:gridSpan w:val="10"/>
          </w:tcPr>
          <w:p>
            <w:pPr>
              <w:pStyle w:val="yTableNAm"/>
              <w:keepNext/>
            </w:pPr>
            <w:r>
              <w:rPr>
                <w:b/>
              </w:rPr>
              <w:t>Full Name:</w:t>
            </w:r>
          </w:p>
        </w:tc>
        <w:tc>
          <w:tcPr>
            <w:tcW w:w="3340" w:type="dxa"/>
            <w:gridSpan w:val="16"/>
          </w:tcPr>
          <w:p>
            <w:pPr>
              <w:pStyle w:val="yTableNAm"/>
              <w:keepNext/>
            </w:pPr>
          </w:p>
        </w:tc>
      </w:tr>
      <w:tr>
        <w:tc>
          <w:tcPr>
            <w:tcW w:w="2412" w:type="dxa"/>
            <w:gridSpan w:val="5"/>
            <w:vMerge/>
            <w:vAlign w:val="center"/>
          </w:tcPr>
          <w:p>
            <w:pPr>
              <w:pStyle w:val="zyTableNAm"/>
              <w:keepNext/>
            </w:pPr>
          </w:p>
        </w:tc>
        <w:tc>
          <w:tcPr>
            <w:tcW w:w="4643" w:type="dxa"/>
            <w:gridSpan w:val="26"/>
          </w:tcPr>
          <w:p>
            <w:pPr>
              <w:pStyle w:val="yTableNAm"/>
              <w:keepNext/>
            </w:pPr>
            <w:r>
              <w:t>Please indicate your party type:</w:t>
            </w:r>
          </w:p>
          <w:p>
            <w:pPr>
              <w:pStyle w:val="yTableNAm"/>
              <w:keepNext/>
            </w:pPr>
            <w:r>
              <w:rPr>
                <w:rFonts w:ascii="MS Mincho" w:eastAsia="MS Mincho" w:hAnsi="MS Mincho" w:cs="MS Mincho" w:hint="eastAsia"/>
              </w:rPr>
              <w:t>❑</w:t>
            </w:r>
            <w:r>
              <w:t xml:space="preserve">  Individual    </w:t>
            </w:r>
            <w:r>
              <w:rPr>
                <w:rFonts w:ascii="MS Mincho" w:eastAsia="MS Mincho" w:hAnsi="MS Mincho" w:cs="MS Mincho" w:hint="eastAsia"/>
              </w:rPr>
              <w:t>❑</w:t>
            </w:r>
            <w:r>
              <w:t xml:space="preserve">  Entity</w:t>
            </w:r>
          </w:p>
        </w:tc>
      </w:tr>
      <w:tr>
        <w:tc>
          <w:tcPr>
            <w:tcW w:w="2412" w:type="dxa"/>
            <w:gridSpan w:val="5"/>
            <w:vMerge/>
            <w:vAlign w:val="center"/>
          </w:tcPr>
          <w:p>
            <w:pPr>
              <w:pStyle w:val="zyTableNAm"/>
            </w:pPr>
          </w:p>
        </w:tc>
        <w:tc>
          <w:tcPr>
            <w:tcW w:w="1303" w:type="dxa"/>
            <w:gridSpan w:val="10"/>
          </w:tcPr>
          <w:p>
            <w:pPr>
              <w:pStyle w:val="yTableNAm"/>
            </w:pPr>
            <w:r>
              <w:rPr>
                <w:b/>
              </w:rPr>
              <w:t>Address:</w:t>
            </w:r>
          </w:p>
        </w:tc>
        <w:tc>
          <w:tcPr>
            <w:tcW w:w="3340" w:type="dxa"/>
            <w:gridSpan w:val="16"/>
          </w:tcPr>
          <w:p>
            <w:pPr>
              <w:pStyle w:val="yTableNAm"/>
            </w:pPr>
          </w:p>
        </w:tc>
      </w:tr>
      <w:tr>
        <w:tc>
          <w:tcPr>
            <w:tcW w:w="2412" w:type="dxa"/>
            <w:gridSpan w:val="5"/>
            <w:vMerge/>
            <w:vAlign w:val="center"/>
          </w:tcPr>
          <w:p>
            <w:pPr>
              <w:pStyle w:val="zyTableNAm"/>
            </w:pPr>
          </w:p>
        </w:tc>
        <w:tc>
          <w:tcPr>
            <w:tcW w:w="1303" w:type="dxa"/>
            <w:gridSpan w:val="10"/>
          </w:tcPr>
          <w:p>
            <w:pPr>
              <w:pStyle w:val="yTableNAm"/>
            </w:pPr>
            <w:r>
              <w:rPr>
                <w:b/>
              </w:rPr>
              <w:t>Date of Birth:</w:t>
            </w:r>
          </w:p>
        </w:tc>
        <w:tc>
          <w:tcPr>
            <w:tcW w:w="3340" w:type="dxa"/>
            <w:gridSpan w:val="16"/>
          </w:tcPr>
          <w:p>
            <w:pPr>
              <w:pStyle w:val="yTableNAm"/>
            </w:pPr>
          </w:p>
        </w:tc>
      </w:tr>
      <w:tr>
        <w:tc>
          <w:tcPr>
            <w:tcW w:w="7055" w:type="dxa"/>
            <w:gridSpan w:val="31"/>
          </w:tcPr>
          <w:p>
            <w:pPr>
              <w:pStyle w:val="yTableNAm"/>
            </w:pPr>
            <w:r>
              <w:rPr>
                <w:szCs w:val="22"/>
              </w:rPr>
              <w:t>Please</w:t>
            </w:r>
            <w:r>
              <w:t xml:space="preserve"> give supporting reasons for your request (attach a separate page if required).  </w:t>
            </w:r>
            <w:r>
              <w:rPr>
                <w:u w:val="single"/>
              </w:rPr>
              <w:t>If the reasons include financial hardship you must complete the information on the following pages</w:t>
            </w:r>
            <w:r>
              <w:t>.</w:t>
            </w:r>
          </w:p>
        </w:tc>
      </w:tr>
      <w:tr>
        <w:tc>
          <w:tcPr>
            <w:tcW w:w="7055" w:type="dxa"/>
            <w:gridSpan w:val="31"/>
          </w:tcPr>
          <w:p>
            <w:pPr>
              <w:pStyle w:val="yTableNAm"/>
            </w:pPr>
          </w:p>
        </w:tc>
      </w:tr>
      <w:tr>
        <w:tc>
          <w:tcPr>
            <w:tcW w:w="7055" w:type="dxa"/>
            <w:gridSpan w:val="31"/>
          </w:tcPr>
          <w:p>
            <w:pPr>
              <w:pStyle w:val="yTableNAm"/>
            </w:pPr>
            <w:r>
              <w:rPr>
                <w:b/>
              </w:rPr>
              <w:t>I certify that the above information and disclosures in this form are true and correct.</w:t>
            </w:r>
          </w:p>
        </w:tc>
      </w:tr>
      <w:tr>
        <w:tc>
          <w:tcPr>
            <w:tcW w:w="3908" w:type="dxa"/>
            <w:gridSpan w:val="18"/>
          </w:tcPr>
          <w:p>
            <w:pPr>
              <w:pStyle w:val="yTableNAm"/>
            </w:pPr>
          </w:p>
          <w:p>
            <w:pPr>
              <w:pStyle w:val="yTableNAm"/>
            </w:pPr>
          </w:p>
          <w:p>
            <w:pPr>
              <w:pStyle w:val="yTableNAm"/>
            </w:pPr>
          </w:p>
          <w:p>
            <w:pPr>
              <w:pStyle w:val="yTableNAm"/>
              <w:rPr>
                <w:i/>
              </w:rPr>
            </w:pPr>
            <w:r>
              <w:rPr>
                <w:i/>
              </w:rPr>
              <w:t>Applicant’s Signature</w:t>
            </w:r>
          </w:p>
        </w:tc>
        <w:tc>
          <w:tcPr>
            <w:tcW w:w="3147" w:type="dxa"/>
            <w:gridSpan w:val="13"/>
          </w:tcPr>
          <w:p>
            <w:pPr>
              <w:pStyle w:val="yTableNAm"/>
            </w:pPr>
          </w:p>
          <w:p>
            <w:pPr>
              <w:pStyle w:val="yTableNAm"/>
            </w:pPr>
          </w:p>
          <w:p>
            <w:pPr>
              <w:pStyle w:val="yTableNAm"/>
            </w:pPr>
          </w:p>
          <w:p>
            <w:pPr>
              <w:pStyle w:val="yTableNAm"/>
            </w:pPr>
            <w:r>
              <w:t>Dated:</w:t>
            </w:r>
          </w:p>
        </w:tc>
      </w:tr>
      <w:tr>
        <w:tc>
          <w:tcPr>
            <w:tcW w:w="7055" w:type="dxa"/>
            <w:gridSpan w:val="31"/>
            <w:tcBorders>
              <w:bottom w:val="single" w:sz="4" w:space="0" w:color="auto"/>
            </w:tcBorders>
          </w:tcPr>
          <w:p>
            <w:pPr>
              <w:pStyle w:val="yTableNAm"/>
            </w:pPr>
            <w:r>
              <w:rPr>
                <w:i/>
              </w:rPr>
              <w:t>*</w:t>
            </w:r>
            <w:r>
              <w:rPr>
                <w:b/>
                <w:i/>
              </w:rPr>
              <w:t>Note:</w:t>
            </w:r>
            <w:r>
              <w:rPr>
                <w:i/>
              </w:rPr>
              <w:t xml:space="preserve">  A person who makes a statement or representation in this application that the person knows or has reason to believe is false or misleading in a material particular commits an offence under the Supreme Court (Fees) Regulations 2002 regulation 8B(1).</w:t>
            </w:r>
          </w:p>
        </w:tc>
      </w:tr>
      <w:tr>
        <w:trPr>
          <w:trHeight w:val="188"/>
        </w:trPr>
        <w:tc>
          <w:tcPr>
            <w:tcW w:w="2769" w:type="dxa"/>
            <w:gridSpan w:val="8"/>
            <w:tcBorders>
              <w:top w:val="single" w:sz="4" w:space="0" w:color="auto"/>
              <w:left w:val="single" w:sz="4" w:space="0" w:color="auto"/>
              <w:bottom w:val="single" w:sz="4" w:space="0" w:color="auto"/>
              <w:right w:val="nil"/>
            </w:tcBorders>
          </w:tcPr>
          <w:p>
            <w:pPr>
              <w:pStyle w:val="zyTableNAm"/>
              <w:rPr>
                <w:i/>
              </w:rPr>
            </w:pPr>
          </w:p>
        </w:tc>
        <w:tc>
          <w:tcPr>
            <w:tcW w:w="2338" w:type="dxa"/>
            <w:gridSpan w:val="14"/>
            <w:tcBorders>
              <w:top w:val="single" w:sz="4" w:space="0" w:color="auto"/>
              <w:left w:val="nil"/>
              <w:bottom w:val="single" w:sz="4" w:space="0" w:color="auto"/>
              <w:right w:val="nil"/>
            </w:tcBorders>
          </w:tcPr>
          <w:p>
            <w:pPr>
              <w:pStyle w:val="zyTableNAm"/>
            </w:pPr>
          </w:p>
        </w:tc>
        <w:tc>
          <w:tcPr>
            <w:tcW w:w="1948" w:type="dxa"/>
            <w:gridSpan w:val="9"/>
            <w:tcBorders>
              <w:top w:val="single" w:sz="4" w:space="0" w:color="auto"/>
              <w:left w:val="nil"/>
              <w:bottom w:val="single" w:sz="4" w:space="0" w:color="auto"/>
              <w:right w:val="single" w:sz="4" w:space="0" w:color="auto"/>
            </w:tcBorders>
          </w:tcPr>
          <w:p>
            <w:pPr>
              <w:pStyle w:val="yTableNAm"/>
            </w:pPr>
            <w:r>
              <w:t>COURT SEAL</w:t>
            </w:r>
          </w:p>
        </w:tc>
      </w:tr>
      <w:tr>
        <w:trPr>
          <w:trHeight w:val="188"/>
        </w:trPr>
        <w:tc>
          <w:tcPr>
            <w:tcW w:w="7055" w:type="dxa"/>
            <w:gridSpan w:val="31"/>
            <w:tcBorders>
              <w:top w:val="single" w:sz="4" w:space="0" w:color="auto"/>
              <w:left w:val="single" w:sz="4" w:space="0" w:color="auto"/>
              <w:bottom w:val="single" w:sz="4" w:space="0" w:color="auto"/>
              <w:right w:val="single" w:sz="4" w:space="0" w:color="auto"/>
            </w:tcBorders>
            <w:shd w:val="clear" w:color="auto" w:fill="BFBFBF" w:themeFill="background1" w:themeFillShade="BF"/>
          </w:tcPr>
          <w:p>
            <w:pPr>
              <w:pStyle w:val="yTableNAm"/>
            </w:pPr>
            <w:r>
              <w:rPr>
                <w:b/>
              </w:rPr>
              <w:t>FINANCIAL</w:t>
            </w:r>
            <w:r>
              <w:t xml:space="preserve"> </w:t>
            </w:r>
            <w:r>
              <w:rPr>
                <w:b/>
              </w:rPr>
              <w:t>DETAILS</w:t>
            </w:r>
            <w:r>
              <w:t xml:space="preserve">: </w:t>
            </w:r>
            <w:r>
              <w:rPr>
                <w:b/>
              </w:rPr>
              <w:t>APPLICANT WHO IS</w:t>
            </w:r>
            <w:r>
              <w:t xml:space="preserve"> </w:t>
            </w:r>
            <w:r>
              <w:rPr>
                <w:b/>
              </w:rPr>
              <w:t>AN</w:t>
            </w:r>
            <w:r>
              <w:t xml:space="preserve"> </w:t>
            </w:r>
            <w:r>
              <w:rPr>
                <w:b/>
              </w:rPr>
              <w:t>INDIVIDUAL</w:t>
            </w:r>
          </w:p>
        </w:tc>
      </w:tr>
      <w:tr>
        <w:trPr>
          <w:trHeight w:val="18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individual.</w:t>
            </w: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Occupation:</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Employer’s Address:</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1"/>
              </w:tabs>
            </w:pPr>
            <w:r>
              <w:rPr>
                <w:b/>
              </w:rPr>
              <w:t>Marital Status:</w:t>
            </w:r>
            <w:r>
              <w:tab/>
            </w:r>
            <w:r>
              <w:rPr>
                <w:rFonts w:ascii="MS Mincho" w:eastAsia="MS Mincho" w:hAnsi="MS Mincho" w:cs="MS Mincho" w:hint="eastAsia"/>
              </w:rPr>
              <w:t>❑</w:t>
            </w:r>
            <w:r>
              <w:t xml:space="preserve">   single      </w:t>
            </w:r>
            <w:r>
              <w:rPr>
                <w:rFonts w:ascii="MS Mincho" w:eastAsia="MS Mincho" w:hAnsi="MS Mincho" w:cs="MS Mincho" w:hint="eastAsia"/>
              </w:rPr>
              <w:t>❑</w:t>
            </w:r>
            <w:r>
              <w:t xml:space="preserve">   married      </w:t>
            </w:r>
            <w:r>
              <w:rPr>
                <w:rFonts w:ascii="MS Mincho" w:eastAsia="MS Mincho" w:hAnsi="MS Mincho" w:cs="MS Mincho" w:hint="eastAsia"/>
              </w:rPr>
              <w:t>❑</w:t>
            </w:r>
            <w:r>
              <w:t xml:space="preserve">   partner </w:t>
            </w:r>
            <w:r>
              <w:br/>
            </w:r>
            <w:r>
              <w:rPr>
                <w:rFonts w:ascii="MS Mincho" w:eastAsia="MS Mincho" w:hAnsi="MS Mincho" w:cs="MS Mincho"/>
              </w:rPr>
              <w:tab/>
            </w:r>
            <w:r>
              <w:rPr>
                <w:rFonts w:ascii="MS Mincho" w:eastAsia="MS Mincho" w:hAnsi="MS Mincho" w:cs="MS Mincho" w:hint="eastAsia"/>
              </w:rPr>
              <w:t>❑</w:t>
            </w:r>
            <w:r>
              <w:t xml:space="preserve">   de facto   </w:t>
            </w:r>
            <w:r>
              <w:rPr>
                <w:rFonts w:ascii="MS Mincho" w:eastAsia="MS Mincho" w:hAnsi="MS Mincho" w:cs="MS Mincho" w:hint="eastAsia"/>
              </w:rPr>
              <w:t>❑</w:t>
            </w:r>
            <w:r>
              <w:t xml:space="preserve">   separated</w:t>
            </w:r>
          </w:p>
        </w:tc>
      </w:tr>
      <w:tr>
        <w:trPr>
          <w:trHeight w:val="73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3"/>
              </w:tabs>
            </w:pPr>
            <w:r>
              <w:rPr>
                <w:b/>
              </w:rPr>
              <w:t>Dependants:</w:t>
            </w:r>
            <w:r>
              <w:tab/>
            </w:r>
            <w:r>
              <w:rPr>
                <w:rFonts w:ascii="MS Mincho" w:eastAsia="MS Mincho" w:hAnsi="MS Mincho" w:cs="MS Mincho" w:hint="eastAsia"/>
              </w:rPr>
              <w:t>❑</w:t>
            </w:r>
            <w:r>
              <w:t xml:space="preserve">   dependant wife/husband/partner/de facto </w:t>
            </w:r>
            <w:r>
              <w:br/>
            </w:r>
            <w:r>
              <w:tab/>
              <w:t>____(number of) dependant children</w:t>
            </w:r>
          </w:p>
        </w:tc>
      </w:tr>
      <w:tr>
        <w:trPr>
          <w:trHeight w:val="567"/>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INCOME AND FINANCIAL ASSETS DETAILS</w:t>
            </w:r>
          </w:p>
        </w:tc>
      </w:tr>
      <w:tr>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Income / financial assets (net)</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Wage / salary / benefit</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Money in financial institution</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Cash</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Income from investments</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Other income</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Money loaned and to be repaid</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EXPENDITURE DETAILS</w:t>
            </w:r>
          </w:p>
        </w:tc>
      </w:tr>
      <w:tr>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Expenditure</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528"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0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Rent / board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Mortgage payment</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Maintenance for dependants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xml:space="preserve">$  _______ </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Food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Utilities (gas / electricity)</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Telephone</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Water</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Rates and taxes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Court orders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Credit card/s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851"/>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Other debts (provide details)</w:t>
            </w:r>
          </w:p>
          <w:p>
            <w:pPr>
              <w:pStyle w:val="yTableNAm"/>
            </w:pPr>
            <w:r>
              <w:t>______________________</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737"/>
        </w:trPr>
        <w:tc>
          <w:tcPr>
            <w:tcW w:w="2412"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INCOME</w:t>
            </w:r>
          </w:p>
        </w:tc>
        <w:tc>
          <w:tcPr>
            <w:tcW w:w="141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________</w:t>
            </w:r>
          </w:p>
        </w:tc>
        <w:tc>
          <w:tcPr>
            <w:tcW w:w="1939"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EXPENDITURE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w:t>
            </w:r>
          </w:p>
        </w:tc>
      </w:tr>
      <w:tr>
        <w:trPr>
          <w:trHeight w:val="490"/>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ASSETS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VALUE</w:t>
            </w:r>
          </w:p>
        </w:tc>
      </w:tr>
      <w:tr>
        <w:trPr>
          <w:trHeight w:val="20"/>
        </w:trPr>
        <w:tc>
          <w:tcPr>
            <w:tcW w:w="5767"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House or other property (provide addresses)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p>
          <w:p>
            <w:pPr>
              <w:pStyle w:val="yTableNAm"/>
            </w:pPr>
            <w:r>
              <w:t>$  ______</w:t>
            </w:r>
          </w:p>
        </w:tc>
      </w:tr>
      <w:tr>
        <w:trPr>
          <w:trHeight w:val="20"/>
        </w:trPr>
        <w:tc>
          <w:tcPr>
            <w:tcW w:w="2255" w:type="dxa"/>
            <w:gridSpan w:val="4"/>
            <w:vMerge w:val="restart"/>
            <w:tcBorders>
              <w:top w:val="single" w:sz="4" w:space="0" w:color="auto"/>
              <w:left w:val="single" w:sz="4" w:space="0" w:color="auto"/>
              <w:right w:val="single" w:sz="4" w:space="0" w:color="auto"/>
            </w:tcBorders>
            <w:shd w:val="clear" w:color="auto" w:fill="auto"/>
          </w:tcPr>
          <w:p>
            <w:pPr>
              <w:pStyle w:val="yTableNAm"/>
            </w:pPr>
            <w:r>
              <w:t>Motor Vehicles (car, utility, motorcycle, truck etc.)</w:t>
            </w: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1</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2255" w:type="dxa"/>
            <w:gridSpan w:val="4"/>
            <w:vMerge/>
            <w:tcBorders>
              <w:left w:val="single" w:sz="4" w:space="0" w:color="auto"/>
              <w:bottom w:val="single" w:sz="4" w:space="0" w:color="auto"/>
              <w:right w:val="single" w:sz="4" w:space="0" w:color="auto"/>
            </w:tcBorders>
            <w:shd w:val="clear" w:color="auto" w:fill="auto"/>
          </w:tcPr>
          <w:p>
            <w:pPr>
              <w:pStyle w:val="zyTableNAm"/>
            </w:pP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2</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5767"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Other assets (provide details)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_______</w:t>
            </w:r>
          </w:p>
        </w:tc>
      </w:tr>
      <w:tr>
        <w:trPr>
          <w:trHeight w:val="715"/>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t>TOTAL ASSET VALUE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t>$  ______</w:t>
            </w:r>
          </w:p>
        </w:tc>
      </w:tr>
      <w:tr>
        <w:trPr>
          <w:trHeight w:val="715"/>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keepNext/>
            </w:pPr>
            <w:r>
              <w:rPr>
                <w:b/>
              </w:rPr>
              <w:t>HOME CONTENTS</w:t>
            </w:r>
            <w:r>
              <w:t xml:space="preserve"> (please complete appropriate box where applicable)</w:t>
            </w:r>
          </w:p>
        </w:tc>
      </w:tr>
      <w:tr>
        <w:trPr>
          <w:trHeight w:val="1304"/>
        </w:trPr>
        <w:tc>
          <w:tcPr>
            <w:tcW w:w="1555" w:type="dxa"/>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Television</w:t>
            </w:r>
            <w:r>
              <w:rPr>
                <w:sz w:val="20"/>
              </w:rPr>
              <w:br/>
            </w:r>
            <w:r>
              <w:rPr>
                <w:sz w:val="20"/>
              </w:rPr>
              <w:br/>
            </w:r>
          </w:p>
          <w:p>
            <w:pPr>
              <w:pStyle w:val="yTableNAm"/>
              <w:keepNext/>
            </w:pPr>
            <w:r>
              <w:t>$ ______</w:t>
            </w:r>
          </w:p>
        </w:tc>
        <w:tc>
          <w:tcPr>
            <w:tcW w:w="997"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DVD player</w:t>
            </w:r>
            <w:r>
              <w:rPr>
                <w:sz w:val="20"/>
              </w:rPr>
              <w:br/>
            </w:r>
          </w:p>
          <w:p>
            <w:pPr>
              <w:pStyle w:val="yTableNAm"/>
              <w:keepNext/>
            </w:pPr>
            <w:r>
              <w:t>$ _____</w:t>
            </w:r>
          </w:p>
        </w:tc>
        <w:tc>
          <w:tcPr>
            <w:tcW w:w="127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Computers</w:t>
            </w:r>
            <w:r>
              <w:rPr>
                <w:sz w:val="20"/>
              </w:rPr>
              <w:br/>
            </w:r>
            <w:r>
              <w:rPr>
                <w:sz w:val="20"/>
              </w:rPr>
              <w:br/>
            </w:r>
          </w:p>
          <w:p>
            <w:pPr>
              <w:pStyle w:val="yTableNAm"/>
              <w:keepNext/>
            </w:pPr>
            <w:r>
              <w:t>$ ______</w:t>
            </w:r>
          </w:p>
        </w:tc>
        <w:tc>
          <w:tcPr>
            <w:tcW w:w="1120" w:type="dxa"/>
            <w:gridSpan w:val="4"/>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 xml:space="preserve">Other </w:t>
            </w:r>
            <w:r>
              <w:rPr>
                <w:sz w:val="20"/>
              </w:rPr>
              <w:br/>
              <w:t>electronic</w:t>
            </w:r>
            <w:r>
              <w:rPr>
                <w:sz w:val="20"/>
              </w:rPr>
              <w:br/>
              <w:t>devices</w:t>
            </w:r>
          </w:p>
          <w:p>
            <w:pPr>
              <w:pStyle w:val="yTableNAm"/>
              <w:keepNext/>
            </w:pPr>
            <w:r>
              <w:t>$ ______</w:t>
            </w:r>
          </w:p>
        </w:tc>
        <w:tc>
          <w:tcPr>
            <w:tcW w:w="1289" w:type="dxa"/>
            <w:gridSpan w:val="9"/>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Dishwasher</w:t>
            </w:r>
            <w:r>
              <w:rPr>
                <w:sz w:val="20"/>
              </w:rPr>
              <w:br/>
            </w:r>
            <w:r>
              <w:rPr>
                <w:sz w:val="20"/>
              </w:rPr>
              <w:br/>
            </w:r>
          </w:p>
          <w:p>
            <w:pPr>
              <w:pStyle w:val="yTableNAm"/>
              <w:keepNext/>
            </w:pPr>
            <w:r>
              <w:t>$ _______</w:t>
            </w:r>
          </w:p>
        </w:tc>
        <w:tc>
          <w:tcPr>
            <w:tcW w:w="818" w:type="dxa"/>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Micro</w:t>
            </w:r>
            <w:r>
              <w:rPr>
                <w:sz w:val="20"/>
              </w:rPr>
              <w:br/>
              <w:t>wave</w:t>
            </w:r>
            <w:r>
              <w:rPr>
                <w:sz w:val="20"/>
              </w:rPr>
              <w:br/>
            </w:r>
          </w:p>
          <w:p>
            <w:pPr>
              <w:pStyle w:val="yTableNAm"/>
              <w:keepNext/>
            </w:pPr>
            <w:r>
              <w:t>$ ___</w:t>
            </w:r>
          </w:p>
        </w:tc>
      </w:tr>
      <w:tr>
        <w:trPr>
          <w:trHeight w:val="1531"/>
        </w:trPr>
        <w:tc>
          <w:tcPr>
            <w:tcW w:w="1836" w:type="dxa"/>
            <w:gridSpan w:val="2"/>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Furniture</w:t>
            </w:r>
            <w:r>
              <w:rPr>
                <w:sz w:val="20"/>
              </w:rPr>
              <w:br/>
            </w:r>
            <w:r>
              <w:rPr>
                <w:sz w:val="20"/>
              </w:rPr>
              <w:br/>
            </w:r>
            <w:r>
              <w:rPr>
                <w:sz w:val="20"/>
              </w:rPr>
              <w:br/>
            </w:r>
          </w:p>
          <w:p>
            <w:pPr>
              <w:pStyle w:val="yTableNAm"/>
            </w:pPr>
            <w:r>
              <w:t>$ _______</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Collection of coins, stamps etc.</w:t>
            </w:r>
            <w:r>
              <w:rPr>
                <w:sz w:val="20"/>
              </w:rPr>
              <w:br/>
            </w:r>
          </w:p>
          <w:p>
            <w:pPr>
              <w:pStyle w:val="yTableNAm"/>
            </w:pPr>
            <w:r>
              <w:t>$ ________</w:t>
            </w:r>
          </w:p>
        </w:tc>
        <w:tc>
          <w:tcPr>
            <w:tcW w:w="1274" w:type="dxa"/>
            <w:gridSpan w:val="7"/>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collectables</w:t>
            </w:r>
            <w:r>
              <w:rPr>
                <w:sz w:val="20"/>
              </w:rPr>
              <w:br/>
            </w:r>
            <w:r>
              <w:rPr>
                <w:sz w:val="20"/>
              </w:rPr>
              <w:br/>
            </w:r>
          </w:p>
          <w:p>
            <w:pPr>
              <w:pStyle w:val="yTableNAm"/>
            </w:pPr>
            <w:r>
              <w:t>$ _______</w:t>
            </w:r>
          </w:p>
        </w:tc>
        <w:tc>
          <w:tcPr>
            <w:tcW w:w="1307" w:type="dxa"/>
            <w:gridSpan w:val="8"/>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assets</w:t>
            </w:r>
            <w:r>
              <w:rPr>
                <w:sz w:val="20"/>
              </w:rPr>
              <w:br/>
            </w:r>
            <w:r>
              <w:rPr>
                <w:sz w:val="20"/>
              </w:rPr>
              <w:br/>
            </w:r>
            <w:r>
              <w:rPr>
                <w:sz w:val="20"/>
              </w:rPr>
              <w:br/>
            </w:r>
          </w:p>
          <w:p>
            <w:pPr>
              <w:pStyle w:val="yTableNAm"/>
            </w:pPr>
            <w:r>
              <w:t>$ ________</w:t>
            </w:r>
          </w:p>
        </w:tc>
        <w:tc>
          <w:tcPr>
            <w:tcW w:w="1222"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Interests in business or company</w:t>
            </w:r>
            <w:r>
              <w:rPr>
                <w:sz w:val="20"/>
              </w:rPr>
              <w:br/>
            </w:r>
          </w:p>
          <w:p>
            <w:pPr>
              <w:pStyle w:val="yTableNAm"/>
            </w:pPr>
            <w:r>
              <w:t>$ _______</w:t>
            </w:r>
          </w:p>
        </w:tc>
      </w:tr>
      <w:tr>
        <w:trPr>
          <w:trHeight w:val="723"/>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LIABILITIES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TOTAL</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Mortgage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Other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Time to Pay Order:</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767" w:type="dxa"/>
            <w:gridSpan w:val="2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 LIABILITIES</w:t>
            </w:r>
          </w:p>
        </w:tc>
        <w:tc>
          <w:tcPr>
            <w:tcW w:w="1288" w:type="dxa"/>
            <w:gridSpan w:val="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r>
        <w:trPr>
          <w:trHeight w:val="188"/>
        </w:trPr>
        <w:tc>
          <w:tcPr>
            <w:tcW w:w="7055" w:type="dxa"/>
            <w:gridSpan w:val="31"/>
            <w:tcBorders>
              <w:top w:val="single" w:sz="4" w:space="0" w:color="auto"/>
              <w:left w:val="single" w:sz="4" w:space="0" w:color="auto"/>
              <w:bottom w:val="nil"/>
              <w:right w:val="single" w:sz="4" w:space="0" w:color="auto"/>
            </w:tcBorders>
            <w:shd w:val="clear" w:color="auto" w:fill="D9D9D9" w:themeFill="background1" w:themeFillShade="D9"/>
          </w:tcPr>
          <w:p>
            <w:pPr>
              <w:pStyle w:val="yTableNAm"/>
            </w:pPr>
            <w:r>
              <w:rPr>
                <w:b/>
              </w:rPr>
              <w:t>FINANCIAL</w:t>
            </w:r>
            <w:r>
              <w:t xml:space="preserve"> </w:t>
            </w:r>
            <w:r>
              <w:rPr>
                <w:b/>
              </w:rPr>
              <w:t>DETAIL: APPLICANT WHO IS NOT AN</w:t>
            </w:r>
            <w:r>
              <w:t xml:space="preserve"> </w:t>
            </w:r>
            <w:r>
              <w:rPr>
                <w:b/>
              </w:rPr>
              <w:t>INDIVIDUAL</w:t>
            </w:r>
          </w:p>
        </w:tc>
      </w:tr>
      <w:tr>
        <w:trPr>
          <w:cantSplit/>
          <w:trHeight w:val="18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entity.</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Income</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Assets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Liabilities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753" w:type="dxa"/>
            <w:gridSpan w:val="2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w:t>
            </w:r>
          </w:p>
        </w:tc>
        <w:tc>
          <w:tcPr>
            <w:tcW w:w="1302" w:type="dxa"/>
            <w:gridSpan w:val="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bl>
    <w:p>
      <w:pPr>
        <w:pStyle w:val="yFootnotesection"/>
        <w:keepLines w:val="0"/>
        <w:spacing w:after="120"/>
        <w:rPr>
          <w:sz w:val="16"/>
          <w:szCs w:val="16"/>
        </w:rPr>
      </w:pPr>
      <w:r>
        <w:tab/>
        <w:t>[Form 2 inserted: Gazette 14 Jun 2016 p. 1982</w:t>
      </w:r>
      <w:r>
        <w:noBreakHyphen/>
        <w:t>6; amended: Gazette 20 Jul 2018 p. 2630.]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23"/>
      </w:tblGrid>
      <w:tr>
        <w:tc>
          <w:tcPr>
            <w:tcW w:w="7088" w:type="dxa"/>
            <w:gridSpan w:val="4"/>
          </w:tcPr>
          <w:p>
            <w:pPr>
              <w:pStyle w:val="yTableNAm"/>
              <w:keepNext/>
              <w:jc w:val="center"/>
            </w:pPr>
            <w:r>
              <w:rPr>
                <w:rStyle w:val="CharSClsNo"/>
                <w:b/>
              </w:rPr>
              <w:t>Form 3</w:t>
            </w:r>
          </w:p>
          <w:p>
            <w:pPr>
              <w:pStyle w:val="yTableNAm"/>
              <w:keepNext/>
              <w:jc w:val="center"/>
              <w:rPr>
                <w:b/>
                <w:bCs/>
              </w:rPr>
            </w:pPr>
            <w:r>
              <w:rPr>
                <w:b/>
                <w:bCs/>
              </w:rPr>
              <w:t>Application for determination of dispute about fees</w:t>
            </w:r>
          </w:p>
        </w:tc>
      </w:tr>
      <w:tr>
        <w:trPr>
          <w:cantSplit/>
        </w:trPr>
        <w:tc>
          <w:tcPr>
            <w:tcW w:w="3757" w:type="dxa"/>
            <w:gridSpan w:val="2"/>
          </w:tcPr>
          <w:p>
            <w:pPr>
              <w:pStyle w:val="yTableNAm"/>
              <w:keepNext/>
            </w:pPr>
            <w:r>
              <w:t xml:space="preserve">In the Supreme Court of </w:t>
            </w:r>
            <w:smartTag w:uri="urn:schemas-microsoft-com:office:smarttags" w:element="State">
              <w:smartTag w:uri="urn:schemas-microsoft-com:office:smarttags" w:element="place">
                <w:r>
                  <w:t>Western Australia</w:t>
                </w:r>
              </w:smartTag>
            </w:smartTag>
          </w:p>
        </w:tc>
        <w:tc>
          <w:tcPr>
            <w:tcW w:w="3331" w:type="dxa"/>
            <w:gridSpan w:val="2"/>
          </w:tcPr>
          <w:p>
            <w:pPr>
              <w:pStyle w:val="yTableNAm"/>
              <w:keepNext/>
            </w:pPr>
            <w:r>
              <w:t xml:space="preserve">No.       of             20    </w:t>
            </w:r>
          </w:p>
        </w:tc>
      </w:tr>
      <w:tr>
        <w:trPr>
          <w:cantSplit/>
        </w:trPr>
        <w:tc>
          <w:tcPr>
            <w:tcW w:w="7088" w:type="dxa"/>
            <w:gridSpan w:val="4"/>
          </w:tcPr>
          <w:p>
            <w:pPr>
              <w:pStyle w:val="yTableNAm"/>
              <w:keepNext/>
              <w:tabs>
                <w:tab w:val="left" w:pos="3470"/>
              </w:tabs>
            </w:pPr>
            <w:r>
              <w:rPr>
                <w:b/>
                <w:bCs/>
              </w:rPr>
              <w:t>Plaintiff/Appellant*:</w:t>
            </w:r>
            <w:r>
              <w:tab/>
              <w:t>.............................................................</w:t>
            </w:r>
          </w:p>
          <w:p>
            <w:pPr>
              <w:pStyle w:val="yTableNAm"/>
              <w:keepNext/>
              <w:tabs>
                <w:tab w:val="left" w:pos="3470"/>
              </w:tabs>
              <w:spacing w:before="0"/>
            </w:pPr>
            <w:r>
              <w:rPr>
                <w:sz w:val="20"/>
              </w:rPr>
              <w:t>(*strike out word that is not applicable)</w:t>
            </w:r>
          </w:p>
        </w:tc>
      </w:tr>
      <w:tr>
        <w:trPr>
          <w:cantSplit/>
        </w:trPr>
        <w:tc>
          <w:tcPr>
            <w:tcW w:w="7088"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843" w:type="dxa"/>
          </w:tcPr>
          <w:p>
            <w:pPr>
              <w:pStyle w:val="yTableNAm"/>
              <w:rPr>
                <w:b/>
                <w:bCs/>
              </w:rPr>
            </w:pPr>
            <w:r>
              <w:rPr>
                <w:b/>
                <w:bCs/>
              </w:rPr>
              <w:t>Application:</w:t>
            </w:r>
          </w:p>
        </w:tc>
        <w:tc>
          <w:tcPr>
            <w:tcW w:w="5245"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843" w:type="dxa"/>
            <w:vMerge w:val="restart"/>
          </w:tcPr>
          <w:p>
            <w:pPr>
              <w:pStyle w:val="yTableNAm"/>
              <w:rPr>
                <w:b/>
                <w:bCs/>
              </w:rPr>
            </w:pPr>
            <w:r>
              <w:rPr>
                <w:b/>
                <w:bCs/>
              </w:rPr>
              <w:t>Applicant:</w:t>
            </w:r>
          </w:p>
        </w:tc>
        <w:tc>
          <w:tcPr>
            <w:tcW w:w="5245" w:type="dxa"/>
            <w:gridSpan w:val="3"/>
          </w:tcPr>
          <w:p>
            <w:pPr>
              <w:pStyle w:val="yTableNAm"/>
            </w:pPr>
            <w:r>
              <w:t>...........................................................................................</w:t>
            </w:r>
            <w:r>
              <w:br/>
              <w:t>Full name</w:t>
            </w:r>
          </w:p>
        </w:tc>
      </w:tr>
      <w:tr>
        <w:trPr>
          <w:cantSplit/>
        </w:trPr>
        <w:tc>
          <w:tcPr>
            <w:tcW w:w="1843" w:type="dxa"/>
            <w:vMerge/>
          </w:tcPr>
          <w:p>
            <w:pPr>
              <w:pStyle w:val="yTableNAm"/>
            </w:pPr>
          </w:p>
        </w:tc>
        <w:tc>
          <w:tcPr>
            <w:tcW w:w="5245" w:type="dxa"/>
            <w:gridSpan w:val="3"/>
          </w:tcPr>
          <w:p>
            <w:pPr>
              <w:pStyle w:val="yTableNAm"/>
            </w:pPr>
            <w:r>
              <w:t>...........................................................................................</w:t>
            </w:r>
            <w:r>
              <w:br/>
              <w:t>Address</w:t>
            </w:r>
          </w:p>
        </w:tc>
      </w:tr>
      <w:tr>
        <w:trPr>
          <w:cantSplit/>
        </w:trPr>
        <w:tc>
          <w:tcPr>
            <w:tcW w:w="1843" w:type="dxa"/>
            <w:vMerge/>
          </w:tcPr>
          <w:p>
            <w:pPr>
              <w:pStyle w:val="yTableNAm"/>
            </w:pPr>
          </w:p>
        </w:tc>
        <w:tc>
          <w:tcPr>
            <w:tcW w:w="2622" w:type="dxa"/>
            <w:gridSpan w:val="2"/>
          </w:tcPr>
          <w:p>
            <w:pPr>
              <w:pStyle w:val="yTableNAm"/>
            </w:pPr>
            <w:r>
              <w:t>...........................................</w:t>
            </w:r>
            <w:r>
              <w:br/>
              <w:t>Date of birth</w:t>
            </w:r>
          </w:p>
        </w:tc>
        <w:tc>
          <w:tcPr>
            <w:tcW w:w="2623" w:type="dxa"/>
          </w:tcPr>
          <w:p>
            <w:pPr>
              <w:pStyle w:val="yTableNAm"/>
            </w:pPr>
            <w:r>
              <w:t>...........................................</w:t>
            </w:r>
            <w:r>
              <w:br/>
              <w:t>MDL No.</w:t>
            </w:r>
          </w:p>
        </w:tc>
      </w:tr>
      <w:tr>
        <w:trPr>
          <w:cantSplit/>
        </w:trPr>
        <w:tc>
          <w:tcPr>
            <w:tcW w:w="1843" w:type="dxa"/>
            <w:vMerge w:val="restart"/>
          </w:tcPr>
          <w:p>
            <w:pPr>
              <w:pStyle w:val="yTableNAm"/>
              <w:rPr>
                <w:b/>
                <w:bCs/>
              </w:rPr>
            </w:pPr>
            <w:r>
              <w:rPr>
                <w:b/>
                <w:bCs/>
              </w:rPr>
              <w:t>Disputed fee:</w:t>
            </w:r>
          </w:p>
        </w:tc>
        <w:tc>
          <w:tcPr>
            <w:tcW w:w="5245"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843" w:type="dxa"/>
            <w:vMerge/>
          </w:tcPr>
          <w:p>
            <w:pPr>
              <w:pStyle w:val="yTableNAm"/>
            </w:pPr>
          </w:p>
        </w:tc>
        <w:tc>
          <w:tcPr>
            <w:tcW w:w="5245"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843" w:type="dxa"/>
            <w:vMerge/>
          </w:tcPr>
          <w:p>
            <w:pPr>
              <w:pStyle w:val="yTableNAm"/>
            </w:pPr>
          </w:p>
        </w:tc>
        <w:tc>
          <w:tcPr>
            <w:tcW w:w="5245"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 xml:space="preserve"> .......................................................</w:t>
            </w:r>
          </w:p>
          <w:p>
            <w:pPr>
              <w:pStyle w:val="yTableNAm"/>
              <w:spacing w:before="80"/>
            </w:pPr>
            <w:r>
              <w:tab/>
              <w:t>.................................................................................</w:t>
            </w:r>
          </w:p>
        </w:tc>
      </w:tr>
      <w:tr>
        <w:trPr>
          <w:cantSplit/>
        </w:trPr>
        <w:tc>
          <w:tcPr>
            <w:tcW w:w="7088"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843" w:type="dxa"/>
          </w:tcPr>
          <w:p>
            <w:pPr>
              <w:pStyle w:val="yTableNAm"/>
              <w:rPr>
                <w:b/>
                <w:bCs/>
              </w:rPr>
            </w:pPr>
            <w:r>
              <w:rPr>
                <w:b/>
                <w:bCs/>
              </w:rPr>
              <w:t>Signature of applicant:</w:t>
            </w:r>
          </w:p>
        </w:tc>
        <w:tc>
          <w:tcPr>
            <w:tcW w:w="5245" w:type="dxa"/>
            <w:gridSpan w:val="3"/>
          </w:tcPr>
          <w:p>
            <w:pPr>
              <w:pStyle w:val="yTableNAm"/>
            </w:pPr>
            <w:r>
              <w:br/>
              <w:t>...........................................................................................</w:t>
            </w:r>
          </w:p>
        </w:tc>
      </w:tr>
      <w:tr>
        <w:trPr>
          <w:cantSplit/>
        </w:trPr>
        <w:tc>
          <w:tcPr>
            <w:tcW w:w="1843" w:type="dxa"/>
          </w:tcPr>
          <w:p>
            <w:pPr>
              <w:pStyle w:val="yTableNAm"/>
              <w:rPr>
                <w:b/>
                <w:bCs/>
              </w:rPr>
            </w:pPr>
            <w:r>
              <w:rPr>
                <w:b/>
                <w:bCs/>
              </w:rPr>
              <w:t>Date:</w:t>
            </w:r>
          </w:p>
        </w:tc>
        <w:tc>
          <w:tcPr>
            <w:tcW w:w="5245" w:type="dxa"/>
            <w:gridSpan w:val="3"/>
          </w:tcPr>
          <w:p>
            <w:pPr>
              <w:pStyle w:val="yTableNAm"/>
            </w:pPr>
            <w:r>
              <w:rPr>
                <w:rFonts w:eastAsia="MS Mincho"/>
              </w:rPr>
              <w:t xml:space="preserve">         /         /20      </w:t>
            </w:r>
          </w:p>
        </w:tc>
      </w:tr>
    </w:tbl>
    <w:p>
      <w:pPr>
        <w:pStyle w:val="yFootnotesection"/>
      </w:pPr>
      <w:r>
        <w:tab/>
        <w:t>[Form 3 inserted: Gazette 28 Apr 2005 p. 1763; amended: Gazette 23 Jun 2005 p. 2701.]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pPr>
      <w:bookmarkStart w:id="82" w:name="_Toc15561490"/>
      <w:bookmarkStart w:id="83" w:name="_Toc15561517"/>
      <w:bookmarkStart w:id="84" w:name="_Toc15562164"/>
      <w:bookmarkStart w:id="85" w:name="_Toc15562519"/>
      <w:bookmarkStart w:id="86" w:name="_Toc15562884"/>
      <w:bookmarkStart w:id="87" w:name="_Toc19787859"/>
      <w:bookmarkStart w:id="88" w:name="_Toc25656899"/>
      <w:r>
        <w:t>Notes</w:t>
      </w:r>
      <w:bookmarkEnd w:id="82"/>
      <w:bookmarkEnd w:id="83"/>
      <w:bookmarkEnd w:id="84"/>
      <w:bookmarkEnd w:id="85"/>
      <w:bookmarkEnd w:id="86"/>
      <w:bookmarkEnd w:id="87"/>
      <w:bookmarkEnd w:id="88"/>
    </w:p>
    <w:p>
      <w:pPr>
        <w:pStyle w:val="nSubsection"/>
      </w:pPr>
      <w:r>
        <w:rPr>
          <w:vertAlign w:val="superscript"/>
        </w:rPr>
        <w:t>1</w:t>
      </w:r>
      <w:r>
        <w:tab/>
        <w:t xml:space="preserve">This reprint is a compilation as at 9 November 2019 of the </w:t>
      </w:r>
      <w:r>
        <w:rPr>
          <w:i/>
          <w:noProof/>
        </w:rPr>
        <w:t>Supreme Court (Fees) Regulations 2002</w:t>
      </w:r>
      <w:r>
        <w:t xml:space="preserve"> and includes the amendments made by the other written laws referred to in the following table.  The table also contains information about any reprint.</w:t>
      </w:r>
    </w:p>
    <w:p>
      <w:pPr>
        <w:pStyle w:val="nHeading3"/>
      </w:pPr>
      <w:bookmarkStart w:id="89" w:name="_Toc19787860"/>
      <w:bookmarkStart w:id="90" w:name="_Toc25656900"/>
      <w:r>
        <w:t>Compilation table</w:t>
      </w:r>
      <w:bookmarkEnd w:id="89"/>
      <w:bookmarkEnd w:id="90"/>
    </w:p>
    <w:tbl>
      <w:tblPr>
        <w:tblW w:w="7087" w:type="dxa"/>
        <w:tblInd w:w="84"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Supreme Court (Fees) Regulations 2002</w:t>
            </w:r>
          </w:p>
        </w:tc>
        <w:tc>
          <w:tcPr>
            <w:tcW w:w="1276" w:type="dxa"/>
            <w:tcBorders>
              <w:top w:val="single" w:sz="8" w:space="0" w:color="auto"/>
            </w:tcBorders>
          </w:tcPr>
          <w:p>
            <w:pPr>
              <w:pStyle w:val="nTable"/>
              <w:spacing w:after="40"/>
            </w:pPr>
            <w:r>
              <w:t>27 Dec 2001 p. 6583-616</w:t>
            </w:r>
          </w:p>
        </w:tc>
        <w:tc>
          <w:tcPr>
            <w:tcW w:w="2693" w:type="dxa"/>
            <w:tcBorders>
              <w:top w:val="single" w:sz="8" w:space="0" w:color="auto"/>
            </w:tcBorders>
          </w:tcPr>
          <w:p>
            <w:pPr>
              <w:pStyle w:val="nTable"/>
              <w:spacing w:after="40"/>
            </w:pPr>
            <w:r>
              <w:t>1 Jan 2002 (see r. 2)</w:t>
            </w:r>
          </w:p>
        </w:tc>
      </w:tr>
      <w:tr>
        <w:tc>
          <w:tcPr>
            <w:tcW w:w="3118" w:type="dxa"/>
          </w:tcPr>
          <w:p>
            <w:pPr>
              <w:pStyle w:val="nTable"/>
              <w:spacing w:after="40"/>
              <w:rPr>
                <w:i/>
              </w:rPr>
            </w:pPr>
            <w:r>
              <w:rPr>
                <w:i/>
              </w:rPr>
              <w:t>Supreme Court (Fees) Amendment Regulations 2002</w:t>
            </w:r>
          </w:p>
        </w:tc>
        <w:tc>
          <w:tcPr>
            <w:tcW w:w="1276" w:type="dxa"/>
          </w:tcPr>
          <w:p>
            <w:pPr>
              <w:pStyle w:val="nTable"/>
              <w:spacing w:after="40"/>
            </w:pPr>
            <w:r>
              <w:t>15 Feb 2002 p. 643</w:t>
            </w:r>
          </w:p>
        </w:tc>
        <w:tc>
          <w:tcPr>
            <w:tcW w:w="2693" w:type="dxa"/>
          </w:tcPr>
          <w:p>
            <w:pPr>
              <w:pStyle w:val="nTable"/>
              <w:spacing w:after="40"/>
            </w:pPr>
            <w:r>
              <w:t>15 Feb 2002</w:t>
            </w:r>
          </w:p>
        </w:tc>
      </w:tr>
      <w:tr>
        <w:trPr>
          <w:cantSplit/>
        </w:trPr>
        <w:tc>
          <w:tcPr>
            <w:tcW w:w="3118" w:type="dxa"/>
          </w:tcPr>
          <w:p>
            <w:pPr>
              <w:pStyle w:val="nTable"/>
              <w:spacing w:after="40"/>
              <w:ind w:right="113"/>
              <w:rPr>
                <w:i/>
                <w:spacing w:val="-2"/>
              </w:rPr>
            </w:pPr>
            <w:r>
              <w:rPr>
                <w:i/>
              </w:rPr>
              <w:t>Equality of Status Subsidiary Legislation Amendment Regulations 2003</w:t>
            </w:r>
            <w:r>
              <w:t xml:space="preserve"> Pt. 38</w:t>
            </w:r>
          </w:p>
        </w:tc>
        <w:tc>
          <w:tcPr>
            <w:tcW w:w="1276" w:type="dxa"/>
          </w:tcPr>
          <w:p>
            <w:pPr>
              <w:pStyle w:val="nTable"/>
              <w:spacing w:after="40"/>
              <w:rPr>
                <w:spacing w:val="-2"/>
              </w:rPr>
            </w:pPr>
            <w:r>
              <w:t>30 Jun 2003 p. 2581</w:t>
            </w:r>
            <w:r>
              <w:noBreakHyphen/>
              <w:t>638</w:t>
            </w:r>
          </w:p>
        </w:tc>
        <w:tc>
          <w:tcPr>
            <w:tcW w:w="2693" w:type="dxa"/>
          </w:tcPr>
          <w:p>
            <w:pPr>
              <w:pStyle w:val="nTable"/>
              <w:spacing w:after="40"/>
              <w:rPr>
                <w:spacing w:val="-2"/>
              </w:rPr>
            </w:pPr>
            <w:r>
              <w:t xml:space="preserve">1 Jul 2003 (see r. 2 and </w:t>
            </w:r>
            <w:r>
              <w:rPr>
                <w:i/>
              </w:rPr>
              <w:t xml:space="preserve">Gazette </w:t>
            </w:r>
            <w:r>
              <w:t>30 Jun 2003 p. 2579</w:t>
            </w:r>
            <w:r>
              <w:rPr>
                <w:iCs/>
              </w:rPr>
              <w:t>)</w:t>
            </w:r>
          </w:p>
        </w:tc>
      </w:tr>
      <w:tr>
        <w:trPr>
          <w:cantSplit/>
        </w:trPr>
        <w:tc>
          <w:tcPr>
            <w:tcW w:w="3118" w:type="dxa"/>
          </w:tcPr>
          <w:p>
            <w:pPr>
              <w:pStyle w:val="nTable"/>
              <w:spacing w:after="40"/>
              <w:ind w:right="113"/>
              <w:rPr>
                <w:i/>
              </w:rPr>
            </w:pPr>
            <w:r>
              <w:rPr>
                <w:i/>
              </w:rPr>
              <w:t>Supreme Court (Fees) Amendment Regulations 2003</w:t>
            </w:r>
          </w:p>
        </w:tc>
        <w:tc>
          <w:tcPr>
            <w:tcW w:w="1276" w:type="dxa"/>
          </w:tcPr>
          <w:p>
            <w:pPr>
              <w:pStyle w:val="nTable"/>
              <w:spacing w:after="40"/>
            </w:pPr>
            <w:r>
              <w:t>30 Dec 2003 p. 5693-701</w:t>
            </w:r>
          </w:p>
        </w:tc>
        <w:tc>
          <w:tcPr>
            <w:tcW w:w="2693" w:type="dxa"/>
          </w:tcPr>
          <w:p>
            <w:pPr>
              <w:pStyle w:val="nTable"/>
              <w:spacing w:after="40"/>
              <w:rPr>
                <w:i/>
              </w:rPr>
            </w:pPr>
            <w:r>
              <w:t>1 Jan 2004 (see r. 2)</w:t>
            </w:r>
          </w:p>
        </w:tc>
      </w:tr>
      <w:tr>
        <w:trPr>
          <w:cantSplit/>
        </w:trPr>
        <w:tc>
          <w:tcPr>
            <w:tcW w:w="3118" w:type="dxa"/>
          </w:tcPr>
          <w:p>
            <w:pPr>
              <w:pStyle w:val="nTable"/>
              <w:spacing w:after="40"/>
              <w:ind w:right="113"/>
              <w:rPr>
                <w:i/>
              </w:rPr>
            </w:pPr>
            <w:r>
              <w:rPr>
                <w:i/>
              </w:rPr>
              <w:t>Supreme Court (Fees) Amendment Regulations 2005</w:t>
            </w:r>
          </w:p>
        </w:tc>
        <w:tc>
          <w:tcPr>
            <w:tcW w:w="1276" w:type="dxa"/>
          </w:tcPr>
          <w:p>
            <w:pPr>
              <w:pStyle w:val="nTable"/>
              <w:spacing w:after="40"/>
            </w:pPr>
            <w:r>
              <w:t>28 Apr 2005 p. 1758-63</w:t>
            </w:r>
          </w:p>
        </w:tc>
        <w:tc>
          <w:tcPr>
            <w:tcW w:w="2693" w:type="dxa"/>
          </w:tcPr>
          <w:p>
            <w:pPr>
              <w:pStyle w:val="nTable"/>
              <w:spacing w:after="40"/>
            </w:pPr>
            <w:r>
              <w:t xml:space="preserve">1 May 2005 (see r. 2 and </w:t>
            </w:r>
            <w:r>
              <w:rPr>
                <w:i/>
                <w:iCs/>
              </w:rPr>
              <w:t>Gazette</w:t>
            </w:r>
            <w:r>
              <w:t xml:space="preserve"> 31 Dec 2004 p. 7128)</w:t>
            </w:r>
          </w:p>
        </w:tc>
      </w:tr>
      <w:tr>
        <w:trPr>
          <w:cantSplit/>
        </w:trPr>
        <w:tc>
          <w:tcPr>
            <w:tcW w:w="3118" w:type="dxa"/>
          </w:tcPr>
          <w:p>
            <w:pPr>
              <w:pStyle w:val="nTable"/>
              <w:spacing w:after="40"/>
              <w:ind w:right="113"/>
              <w:rPr>
                <w:i/>
              </w:rPr>
            </w:pPr>
            <w:r>
              <w:rPr>
                <w:i/>
              </w:rPr>
              <w:t>Supreme Court (Fees) Amendment Regulations (No. 2) 2005</w:t>
            </w:r>
          </w:p>
        </w:tc>
        <w:tc>
          <w:tcPr>
            <w:tcW w:w="1276" w:type="dxa"/>
          </w:tcPr>
          <w:p>
            <w:pPr>
              <w:pStyle w:val="nTable"/>
              <w:spacing w:after="40"/>
            </w:pPr>
            <w:r>
              <w:t>23 Jun 2005 p. 2693-701</w:t>
            </w:r>
          </w:p>
        </w:tc>
        <w:tc>
          <w:tcPr>
            <w:tcW w:w="2693" w:type="dxa"/>
          </w:tcPr>
          <w:p>
            <w:pPr>
              <w:pStyle w:val="nTable"/>
              <w:spacing w:after="40"/>
            </w:pPr>
            <w:r>
              <w:t>1 Jul 2005 (see r. 2)</w:t>
            </w:r>
          </w:p>
        </w:tc>
      </w:tr>
      <w:tr>
        <w:trPr>
          <w:cantSplit/>
        </w:trPr>
        <w:tc>
          <w:tcPr>
            <w:tcW w:w="3118" w:type="dxa"/>
          </w:tcPr>
          <w:p>
            <w:pPr>
              <w:pStyle w:val="nTable"/>
              <w:spacing w:after="40"/>
              <w:ind w:right="113"/>
              <w:rPr>
                <w:i/>
              </w:rPr>
            </w:pPr>
            <w:r>
              <w:rPr>
                <w:i/>
              </w:rPr>
              <w:t>Supreme Court (Fees) Amendment Regulations 2006</w:t>
            </w:r>
          </w:p>
        </w:tc>
        <w:tc>
          <w:tcPr>
            <w:tcW w:w="1276" w:type="dxa"/>
          </w:tcPr>
          <w:p>
            <w:pPr>
              <w:pStyle w:val="nTable"/>
              <w:spacing w:after="40"/>
            </w:pPr>
            <w:r>
              <w:t>23 Jun 2006 p. 2184</w:t>
            </w:r>
            <w:r>
              <w:noBreakHyphen/>
              <w:t>7</w:t>
            </w:r>
          </w:p>
        </w:tc>
        <w:tc>
          <w:tcPr>
            <w:tcW w:w="2693" w:type="dxa"/>
          </w:tcPr>
          <w:p>
            <w:pPr>
              <w:pStyle w:val="nTable"/>
              <w:spacing w:after="40"/>
            </w:pPr>
            <w:r>
              <w:t>1 Jul 2006 (see r. 2)</w:t>
            </w:r>
          </w:p>
        </w:tc>
      </w:tr>
      <w:tr>
        <w:trPr>
          <w:cantSplit/>
        </w:trPr>
        <w:tc>
          <w:tcPr>
            <w:tcW w:w="7087" w:type="dxa"/>
            <w:gridSpan w:val="3"/>
          </w:tcPr>
          <w:p>
            <w:pPr>
              <w:pStyle w:val="nTable"/>
              <w:spacing w:after="40"/>
            </w:pPr>
            <w:r>
              <w:rPr>
                <w:b/>
                <w:bCs/>
              </w:rPr>
              <w:t xml:space="preserve">Reprint 1: The </w:t>
            </w:r>
            <w:r>
              <w:rPr>
                <w:b/>
                <w:bCs/>
                <w:i/>
              </w:rPr>
              <w:t>Supreme Court (Fees) Regulations 2002</w:t>
            </w:r>
            <w:r>
              <w:rPr>
                <w:b/>
                <w:bCs/>
              </w:rPr>
              <w:t xml:space="preserve"> as at 18 Aug 2006</w:t>
            </w:r>
            <w:r>
              <w:t xml:space="preserve"> (includes amendments listed above)</w:t>
            </w:r>
          </w:p>
        </w:tc>
      </w:tr>
      <w:tr>
        <w:trPr>
          <w:cantSplit/>
        </w:trPr>
        <w:tc>
          <w:tcPr>
            <w:tcW w:w="3118" w:type="dxa"/>
          </w:tcPr>
          <w:p>
            <w:pPr>
              <w:pStyle w:val="nTable"/>
              <w:spacing w:after="40"/>
              <w:ind w:right="113"/>
              <w:rPr>
                <w:i/>
              </w:rPr>
            </w:pPr>
            <w:r>
              <w:rPr>
                <w:i/>
              </w:rPr>
              <w:t>Supreme Court (Fees) Amendment Regulations 2007</w:t>
            </w:r>
          </w:p>
        </w:tc>
        <w:tc>
          <w:tcPr>
            <w:tcW w:w="1276" w:type="dxa"/>
          </w:tcPr>
          <w:p>
            <w:pPr>
              <w:pStyle w:val="nTable"/>
              <w:spacing w:after="40"/>
            </w:pPr>
            <w:r>
              <w:t>26 Jun 2007 p. 3042-4</w:t>
            </w:r>
          </w:p>
        </w:tc>
        <w:tc>
          <w:tcPr>
            <w:tcW w:w="2693" w:type="dxa"/>
          </w:tcPr>
          <w:p>
            <w:pPr>
              <w:pStyle w:val="nTable"/>
              <w:spacing w:after="40"/>
            </w:pPr>
            <w:r>
              <w:t>r. 1 and 2: 26 Jun 2007 (see r. 2(a));</w:t>
            </w:r>
            <w:r>
              <w:br/>
              <w:t>Regulations other than r. 1 and 2: 1 Jul 2007 (see r. 2(b)(i))</w:t>
            </w:r>
          </w:p>
        </w:tc>
      </w:tr>
      <w:tr>
        <w:trPr>
          <w:cantSplit/>
        </w:trPr>
        <w:tc>
          <w:tcPr>
            <w:tcW w:w="3118" w:type="dxa"/>
          </w:tcPr>
          <w:p>
            <w:pPr>
              <w:pStyle w:val="nTable"/>
              <w:spacing w:after="40"/>
              <w:ind w:right="113"/>
              <w:rPr>
                <w:i/>
              </w:rPr>
            </w:pPr>
            <w:r>
              <w:rPr>
                <w:i/>
              </w:rPr>
              <w:t>Supreme Court (Fees) Amendment Regulations 2008</w:t>
            </w:r>
          </w:p>
        </w:tc>
        <w:tc>
          <w:tcPr>
            <w:tcW w:w="1276" w:type="dxa"/>
          </w:tcPr>
          <w:p>
            <w:pPr>
              <w:pStyle w:val="nTable"/>
              <w:spacing w:after="40"/>
            </w:pPr>
            <w:r>
              <w:t>8 Feb 2008 p. 313-14</w:t>
            </w:r>
          </w:p>
        </w:tc>
        <w:tc>
          <w:tcPr>
            <w:tcW w:w="2693" w:type="dxa"/>
          </w:tcPr>
          <w:p>
            <w:pPr>
              <w:pStyle w:val="nTable"/>
              <w:spacing w:after="40"/>
            </w:pPr>
            <w:r>
              <w:t>r. 1 and 2: 8 Feb 2008 (see r. 2(a));</w:t>
            </w:r>
            <w:r>
              <w:br/>
              <w:t xml:space="preserve">Regulations other than r. 1 and 2: 9 Feb 2008 (see r. 2(b) and </w:t>
            </w:r>
            <w:r>
              <w:rPr>
                <w:i/>
                <w:iCs/>
              </w:rPr>
              <w:t>Gazette</w:t>
            </w:r>
            <w:r>
              <w:t xml:space="preserve"> 8 Feb 2008 p. 313)</w:t>
            </w:r>
          </w:p>
        </w:tc>
      </w:tr>
      <w:tr>
        <w:trPr>
          <w:cantSplit/>
        </w:trPr>
        <w:tc>
          <w:tcPr>
            <w:tcW w:w="3118" w:type="dxa"/>
          </w:tcPr>
          <w:p>
            <w:pPr>
              <w:pStyle w:val="nTable"/>
              <w:spacing w:after="40"/>
              <w:ind w:right="113"/>
              <w:rPr>
                <w:i/>
              </w:rPr>
            </w:pPr>
            <w:r>
              <w:rPr>
                <w:i/>
              </w:rPr>
              <w:t>Supreme Court (Fees) Amendment Regulations (No. 2) 2008</w:t>
            </w:r>
          </w:p>
        </w:tc>
        <w:tc>
          <w:tcPr>
            <w:tcW w:w="1276" w:type="dxa"/>
          </w:tcPr>
          <w:p>
            <w:pPr>
              <w:pStyle w:val="nTable"/>
              <w:spacing w:after="40"/>
            </w:pPr>
            <w:r>
              <w:t>27 Jun 2008 p. 3059-62</w:t>
            </w:r>
          </w:p>
        </w:tc>
        <w:tc>
          <w:tcPr>
            <w:tcW w:w="2693" w:type="dxa"/>
          </w:tcPr>
          <w:p>
            <w:pPr>
              <w:pStyle w:val="nTable"/>
              <w:spacing w:after="40"/>
            </w:pPr>
            <w:r>
              <w:rPr>
                <w:snapToGrid w:val="0"/>
              </w:rPr>
              <w:t>r. 1 and 2: 27 Jun 2008 (see r. 2(a));</w:t>
            </w:r>
            <w:r>
              <w:rPr>
                <w:snapToGrid w:val="0"/>
              </w:rPr>
              <w:br/>
              <w:t>Regulations other than r. 1 and 2: 1 Jul 2008 (see r. 2(b))</w:t>
            </w:r>
          </w:p>
        </w:tc>
      </w:tr>
      <w:tr>
        <w:trPr>
          <w:cantSplit/>
        </w:trPr>
        <w:tc>
          <w:tcPr>
            <w:tcW w:w="3118" w:type="dxa"/>
          </w:tcPr>
          <w:p>
            <w:pPr>
              <w:pStyle w:val="nTable"/>
              <w:spacing w:after="40"/>
              <w:ind w:right="113"/>
              <w:rPr>
                <w:i/>
              </w:rPr>
            </w:pPr>
            <w:r>
              <w:rPr>
                <w:i/>
              </w:rPr>
              <w:t>Supreme Court (Fees) Amendment Regulations 2009</w:t>
            </w:r>
          </w:p>
        </w:tc>
        <w:tc>
          <w:tcPr>
            <w:tcW w:w="1276" w:type="dxa"/>
          </w:tcPr>
          <w:p>
            <w:pPr>
              <w:pStyle w:val="nTable"/>
              <w:spacing w:after="40"/>
            </w:pPr>
            <w:r>
              <w:t>9 Jun 2009 p. 1921</w:t>
            </w:r>
            <w:r>
              <w:noBreakHyphen/>
              <w:t>2</w:t>
            </w:r>
          </w:p>
        </w:tc>
        <w:tc>
          <w:tcPr>
            <w:tcW w:w="2693" w:type="dxa"/>
          </w:tcPr>
          <w:p>
            <w:pPr>
              <w:pStyle w:val="nTable"/>
              <w:spacing w:after="40"/>
              <w:rPr>
                <w:snapToGrid w:val="0"/>
              </w:rPr>
            </w:pPr>
            <w:r>
              <w:rPr>
                <w:snapToGrid w:val="0"/>
                <w:spacing w:val="-2"/>
              </w:rPr>
              <w:t>r. 1 and 2: 9 Jun 2009 (see r. 2(a));</w:t>
            </w:r>
            <w:r>
              <w:rPr>
                <w:snapToGrid w:val="0"/>
                <w:spacing w:val="-2"/>
              </w:rPr>
              <w:br/>
              <w:t>Regulations other than r. 1 and 2: 10 Jun 2009 (see r. 2(b))</w:t>
            </w:r>
          </w:p>
        </w:tc>
      </w:tr>
      <w:tr>
        <w:trPr>
          <w:cantSplit/>
        </w:trPr>
        <w:tc>
          <w:tcPr>
            <w:tcW w:w="3118" w:type="dxa"/>
          </w:tcPr>
          <w:p>
            <w:pPr>
              <w:pStyle w:val="nTable"/>
              <w:spacing w:after="40"/>
              <w:ind w:right="113"/>
              <w:rPr>
                <w:i/>
              </w:rPr>
            </w:pPr>
            <w:r>
              <w:rPr>
                <w:i/>
              </w:rPr>
              <w:t>Supreme Court (Fees) Amendment Regulations (No. 2) 2009</w:t>
            </w:r>
          </w:p>
        </w:tc>
        <w:tc>
          <w:tcPr>
            <w:tcW w:w="1276" w:type="dxa"/>
          </w:tcPr>
          <w:p>
            <w:pPr>
              <w:pStyle w:val="nTable"/>
              <w:spacing w:after="40"/>
            </w:pPr>
            <w:r>
              <w:t>4 Sep 2009 p. 3461-72</w:t>
            </w:r>
          </w:p>
        </w:tc>
        <w:tc>
          <w:tcPr>
            <w:tcW w:w="2693" w:type="dxa"/>
          </w:tcPr>
          <w:p>
            <w:pPr>
              <w:pStyle w:val="nTable"/>
              <w:spacing w:after="40"/>
              <w:rPr>
                <w:snapToGrid w:val="0"/>
                <w:spacing w:val="-2"/>
              </w:rPr>
            </w:pPr>
            <w:r>
              <w:rPr>
                <w:snapToGrid w:val="0"/>
                <w:spacing w:val="-2"/>
              </w:rPr>
              <w:t>r. 1 and 2: 4 Sep 2009 (see r. 2(a));</w:t>
            </w:r>
            <w:r>
              <w:rPr>
                <w:snapToGrid w:val="0"/>
                <w:spacing w:val="-2"/>
              </w:rPr>
              <w:br/>
              <w:t>Regulations other than r. 1 and 2: 5 Sep 2009 (see r. 2(b))</w:t>
            </w:r>
          </w:p>
        </w:tc>
      </w:tr>
      <w:tr>
        <w:trPr>
          <w:cantSplit/>
        </w:trPr>
        <w:tc>
          <w:tcPr>
            <w:tcW w:w="7087" w:type="dxa"/>
            <w:gridSpan w:val="3"/>
          </w:tcPr>
          <w:p>
            <w:pPr>
              <w:pStyle w:val="nTable"/>
              <w:spacing w:after="40"/>
              <w:rPr>
                <w:snapToGrid w:val="0"/>
                <w:spacing w:val="-2"/>
              </w:rPr>
            </w:pPr>
            <w:r>
              <w:rPr>
                <w:b/>
                <w:bCs/>
              </w:rPr>
              <w:t xml:space="preserve">Reprint 2: The </w:t>
            </w:r>
            <w:r>
              <w:rPr>
                <w:b/>
                <w:bCs/>
                <w:i/>
              </w:rPr>
              <w:t>Supreme Court (Fees) Regulations 2002</w:t>
            </w:r>
            <w:r>
              <w:rPr>
                <w:b/>
                <w:bCs/>
              </w:rPr>
              <w:t xml:space="preserve"> as at 13 Nov 2009</w:t>
            </w:r>
            <w:r>
              <w:t xml:space="preserve"> (includes amendments listed above)</w:t>
            </w:r>
          </w:p>
        </w:tc>
      </w:tr>
      <w:tr>
        <w:trPr>
          <w:cantSplit/>
        </w:trPr>
        <w:tc>
          <w:tcPr>
            <w:tcW w:w="3118" w:type="dxa"/>
          </w:tcPr>
          <w:p>
            <w:pPr>
              <w:pStyle w:val="nTable"/>
              <w:spacing w:after="40"/>
              <w:ind w:right="113"/>
              <w:rPr>
                <w:i/>
              </w:rPr>
            </w:pPr>
            <w:r>
              <w:rPr>
                <w:i/>
              </w:rPr>
              <w:t>Supreme Court (Fees) Amendment Regulations 2010</w:t>
            </w:r>
          </w:p>
        </w:tc>
        <w:tc>
          <w:tcPr>
            <w:tcW w:w="1276" w:type="dxa"/>
          </w:tcPr>
          <w:p>
            <w:pPr>
              <w:pStyle w:val="nTable"/>
              <w:spacing w:after="40"/>
            </w:pPr>
            <w:r>
              <w:t>30 Jul 2010 p. 3496-7</w:t>
            </w:r>
          </w:p>
        </w:tc>
        <w:tc>
          <w:tcPr>
            <w:tcW w:w="2693" w:type="dxa"/>
          </w:tcPr>
          <w:p>
            <w:pPr>
              <w:pStyle w:val="nTable"/>
              <w:spacing w:after="40"/>
              <w:rPr>
                <w:snapToGrid w:val="0"/>
              </w:rPr>
            </w:pPr>
            <w:r>
              <w:rPr>
                <w:snapToGrid w:val="0"/>
              </w:rPr>
              <w:t xml:space="preserve">r. 1 and 2: </w:t>
            </w:r>
            <w:r>
              <w:t>30 Jul 2010</w:t>
            </w:r>
            <w:r>
              <w:rPr>
                <w:snapToGrid w:val="0"/>
              </w:rPr>
              <w:t xml:space="preserve"> (see r. 2(a));</w:t>
            </w:r>
            <w:r>
              <w:rPr>
                <w:snapToGrid w:val="0"/>
              </w:rPr>
              <w:br/>
              <w:t xml:space="preserve">Regulations other than r. 1 and 2: </w:t>
            </w:r>
            <w:r>
              <w:t>31 Jul 2010</w:t>
            </w:r>
            <w:r>
              <w:rPr>
                <w:snapToGrid w:val="0"/>
              </w:rPr>
              <w:t xml:space="preserve"> (see r. 2(b))</w:t>
            </w:r>
          </w:p>
        </w:tc>
      </w:tr>
      <w:tr>
        <w:trPr>
          <w:cantSplit/>
        </w:trPr>
        <w:tc>
          <w:tcPr>
            <w:tcW w:w="3118" w:type="dxa"/>
          </w:tcPr>
          <w:p>
            <w:pPr>
              <w:pStyle w:val="nTable"/>
              <w:spacing w:after="40"/>
              <w:ind w:right="113"/>
              <w:rPr>
                <w:i/>
              </w:rPr>
            </w:pPr>
            <w:r>
              <w:rPr>
                <w:i/>
              </w:rPr>
              <w:t>Supreme Court (Fees) Amendment Regulations 2011</w:t>
            </w:r>
          </w:p>
        </w:tc>
        <w:tc>
          <w:tcPr>
            <w:tcW w:w="1276" w:type="dxa"/>
          </w:tcPr>
          <w:p>
            <w:pPr>
              <w:pStyle w:val="nTable"/>
              <w:spacing w:after="40"/>
            </w:pPr>
            <w:r>
              <w:t>8 Mar 2011 p. 781</w:t>
            </w:r>
            <w:r>
              <w:noBreakHyphen/>
              <w:t>4</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rPr>
          <w:cantSplit/>
        </w:trPr>
        <w:tc>
          <w:tcPr>
            <w:tcW w:w="3118" w:type="dxa"/>
          </w:tcPr>
          <w:p>
            <w:pPr>
              <w:pStyle w:val="nTable"/>
              <w:spacing w:after="40"/>
              <w:ind w:right="113"/>
              <w:rPr>
                <w:i/>
              </w:rPr>
            </w:pPr>
            <w:r>
              <w:rPr>
                <w:i/>
              </w:rPr>
              <w:t>Supreme Court (Fees) Amendment Regulations (No. 2) 2011</w:t>
            </w:r>
          </w:p>
        </w:tc>
        <w:tc>
          <w:tcPr>
            <w:tcW w:w="1276" w:type="dxa"/>
          </w:tcPr>
          <w:p>
            <w:pPr>
              <w:pStyle w:val="nTable"/>
              <w:spacing w:after="40"/>
            </w:pPr>
            <w:r>
              <w:t>20 Dec 2011 p. 5376-9</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rPr>
          <w:cantSplit/>
        </w:trPr>
        <w:tc>
          <w:tcPr>
            <w:tcW w:w="3118" w:type="dxa"/>
          </w:tcPr>
          <w:p>
            <w:pPr>
              <w:pStyle w:val="nTable"/>
              <w:spacing w:after="40"/>
              <w:ind w:right="113"/>
              <w:rPr>
                <w:i/>
              </w:rPr>
            </w:pPr>
            <w:r>
              <w:rPr>
                <w:i/>
              </w:rPr>
              <w:t>Supreme Court (Fees) Amendment Regulations 2012</w:t>
            </w:r>
          </w:p>
        </w:tc>
        <w:tc>
          <w:tcPr>
            <w:tcW w:w="1276" w:type="dxa"/>
          </w:tcPr>
          <w:p>
            <w:pPr>
              <w:pStyle w:val="nTable"/>
              <w:spacing w:after="40"/>
            </w:pPr>
            <w:r>
              <w:t>27 Mar 2012 p. 1508</w:t>
            </w:r>
          </w:p>
        </w:tc>
        <w:tc>
          <w:tcPr>
            <w:tcW w:w="2693" w:type="dxa"/>
          </w:tcPr>
          <w:p>
            <w:pPr>
              <w:pStyle w:val="nTable"/>
              <w:spacing w:after="40"/>
              <w:rPr>
                <w:snapToGrid w:val="0"/>
              </w:rPr>
            </w:pPr>
            <w:r>
              <w:rPr>
                <w:snapToGrid w:val="0"/>
              </w:rPr>
              <w:t>r. 1 and 2: 27 Mar 2012 (see r. 2(a));</w:t>
            </w:r>
            <w:r>
              <w:rPr>
                <w:snapToGrid w:val="0"/>
              </w:rPr>
              <w:br/>
              <w:t>Regulations other than r. 1 and 2: 28 Mar 2012 (see r. 2(b))</w:t>
            </w:r>
          </w:p>
        </w:tc>
      </w:tr>
      <w:tr>
        <w:trPr>
          <w:cantSplit/>
        </w:trPr>
        <w:tc>
          <w:tcPr>
            <w:tcW w:w="3118" w:type="dxa"/>
          </w:tcPr>
          <w:p>
            <w:pPr>
              <w:pStyle w:val="nTable"/>
              <w:spacing w:after="40"/>
              <w:ind w:right="113"/>
              <w:rPr>
                <w:i/>
              </w:rPr>
            </w:pPr>
            <w:r>
              <w:rPr>
                <w:i/>
              </w:rPr>
              <w:t>Supreme Court (Fees) Amendment Regulations (No. 3) 2012</w:t>
            </w:r>
          </w:p>
        </w:tc>
        <w:tc>
          <w:tcPr>
            <w:tcW w:w="1276" w:type="dxa"/>
          </w:tcPr>
          <w:p>
            <w:pPr>
              <w:pStyle w:val="nTable"/>
              <w:spacing w:after="40"/>
            </w:pPr>
            <w:r>
              <w:t>30 Nov 2012 p. 5784</w:t>
            </w:r>
            <w:r>
              <w:noBreakHyphen/>
              <w:t>8</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rPr>
          <w:cantSplit/>
        </w:trPr>
        <w:tc>
          <w:tcPr>
            <w:tcW w:w="3118" w:type="dxa"/>
          </w:tcPr>
          <w:p>
            <w:pPr>
              <w:pStyle w:val="nTable"/>
              <w:spacing w:after="40"/>
              <w:ind w:right="113"/>
              <w:rPr>
                <w:i/>
              </w:rPr>
            </w:pPr>
            <w:r>
              <w:rPr>
                <w:i/>
              </w:rPr>
              <w:t>Supreme Court (Fees) Amendment Regulations 2013</w:t>
            </w:r>
          </w:p>
        </w:tc>
        <w:tc>
          <w:tcPr>
            <w:tcW w:w="1276" w:type="dxa"/>
          </w:tcPr>
          <w:p>
            <w:pPr>
              <w:pStyle w:val="nTable"/>
              <w:spacing w:after="40"/>
            </w:pPr>
            <w:r>
              <w:t>19 Jul 2013 p. 3268-9</w:t>
            </w:r>
          </w:p>
        </w:tc>
        <w:tc>
          <w:tcPr>
            <w:tcW w:w="2693" w:type="dxa"/>
          </w:tcPr>
          <w:p>
            <w:pPr>
              <w:pStyle w:val="nTable"/>
              <w:spacing w:after="40"/>
              <w:rPr>
                <w:snapToGrid w:val="0"/>
              </w:rPr>
            </w:pPr>
            <w:r>
              <w:t>r. 1 and 2: 19 Jul 2013 (see r. 2(a));</w:t>
            </w:r>
            <w:r>
              <w:br/>
              <w:t xml:space="preserve">Regulations other than r. 1 and 2: 7 Aug 2013 (see r. 2(b) and </w:t>
            </w:r>
            <w:r>
              <w:rPr>
                <w:i/>
              </w:rPr>
              <w:t>Gazette</w:t>
            </w:r>
            <w:r>
              <w:t xml:space="preserve"> 6 Aug 2013 p. 3677)</w:t>
            </w:r>
          </w:p>
        </w:tc>
      </w:tr>
      <w:tr>
        <w:trPr>
          <w:cantSplit/>
        </w:trPr>
        <w:tc>
          <w:tcPr>
            <w:tcW w:w="3118" w:type="dxa"/>
          </w:tcPr>
          <w:p>
            <w:pPr>
              <w:pStyle w:val="nTable"/>
              <w:spacing w:after="40"/>
              <w:ind w:right="113"/>
              <w:rPr>
                <w:i/>
              </w:rPr>
            </w:pPr>
            <w:r>
              <w:rPr>
                <w:i/>
              </w:rPr>
              <w:t>Supreme Court (Fees) Amendment Regulations (No. 2) 2013</w:t>
            </w:r>
          </w:p>
        </w:tc>
        <w:tc>
          <w:tcPr>
            <w:tcW w:w="1276" w:type="dxa"/>
          </w:tcPr>
          <w:p>
            <w:pPr>
              <w:pStyle w:val="nTable"/>
              <w:spacing w:after="40"/>
            </w:pPr>
            <w:r>
              <w:t>15 Nov 2013 p. 5239-42</w:t>
            </w:r>
          </w:p>
        </w:tc>
        <w:tc>
          <w:tcPr>
            <w:tcW w:w="2693" w:type="dxa"/>
          </w:tcPr>
          <w:p>
            <w:pPr>
              <w:pStyle w:val="nTable"/>
              <w:spacing w:after="40"/>
            </w:pPr>
            <w:r>
              <w:rPr>
                <w:snapToGrid w:val="0"/>
              </w:rPr>
              <w:t>r. 1 and 2: 15 Nov 2013 (see r. 2(a));</w:t>
            </w:r>
            <w:r>
              <w:rPr>
                <w:snapToGrid w:val="0"/>
              </w:rPr>
              <w:br/>
              <w:t>Regulations other than r. 1 and 2: 16 Nov 2013 (see r. 2(b))</w:t>
            </w:r>
          </w:p>
        </w:tc>
      </w:tr>
      <w:tr>
        <w:trPr>
          <w:cantSplit/>
        </w:trPr>
        <w:tc>
          <w:tcPr>
            <w:tcW w:w="3118" w:type="dxa"/>
          </w:tcPr>
          <w:p>
            <w:pPr>
              <w:pStyle w:val="nTable"/>
              <w:spacing w:after="40"/>
              <w:ind w:right="113"/>
              <w:rPr>
                <w:i/>
              </w:rPr>
            </w:pPr>
            <w:r>
              <w:rPr>
                <w:i/>
              </w:rPr>
              <w:t>Supreme Court (Fees) Amendment Regulations (No. 2) 2014</w:t>
            </w:r>
          </w:p>
        </w:tc>
        <w:tc>
          <w:tcPr>
            <w:tcW w:w="1276" w:type="dxa"/>
          </w:tcPr>
          <w:p>
            <w:pPr>
              <w:pStyle w:val="nTable"/>
              <w:spacing w:after="40"/>
            </w:pPr>
            <w:r>
              <w:t>27 Jun 2014 p. 2347-50</w:t>
            </w:r>
          </w:p>
        </w:tc>
        <w:tc>
          <w:tcPr>
            <w:tcW w:w="2693" w:type="dxa"/>
          </w:tcPr>
          <w:p>
            <w:pPr>
              <w:pStyle w:val="nTable"/>
              <w:spacing w:after="40"/>
              <w:rPr>
                <w:snapToGrid w:val="0"/>
              </w:rPr>
            </w:pPr>
            <w:r>
              <w:rPr>
                <w:snapToGrid w:val="0"/>
              </w:rPr>
              <w:t>r. 1 and 2: 27 Jun 2014 (see r. 2(a));</w:t>
            </w:r>
            <w:r>
              <w:rPr>
                <w:snapToGrid w:val="0"/>
              </w:rPr>
              <w:br/>
              <w:t>Regulations other than r. 1 and 2: 1 Jul 2014 (see r. 2(b)(i))</w:t>
            </w:r>
          </w:p>
        </w:tc>
      </w:tr>
      <w:tr>
        <w:trPr>
          <w:cantSplit/>
        </w:trPr>
        <w:tc>
          <w:tcPr>
            <w:tcW w:w="3118" w:type="dxa"/>
          </w:tcPr>
          <w:p>
            <w:pPr>
              <w:pStyle w:val="nTable"/>
              <w:spacing w:after="40"/>
              <w:ind w:right="113"/>
              <w:rPr>
                <w:i/>
              </w:rPr>
            </w:pPr>
            <w:r>
              <w:rPr>
                <w:i/>
              </w:rPr>
              <w:t>Supreme Court (Fees) Amendment Regulations (No. 3) 2014</w:t>
            </w:r>
          </w:p>
        </w:tc>
        <w:tc>
          <w:tcPr>
            <w:tcW w:w="1276" w:type="dxa"/>
          </w:tcPr>
          <w:p>
            <w:pPr>
              <w:pStyle w:val="nTable"/>
              <w:spacing w:after="40"/>
            </w:pPr>
            <w:r>
              <w:t>11 Jul 2014 p. 2437-8</w:t>
            </w:r>
          </w:p>
        </w:tc>
        <w:tc>
          <w:tcPr>
            <w:tcW w:w="2693" w:type="dxa"/>
          </w:tcPr>
          <w:p>
            <w:pPr>
              <w:pStyle w:val="nTable"/>
              <w:spacing w:after="40"/>
              <w:rPr>
                <w:snapToGrid w:val="0"/>
              </w:rPr>
            </w:pPr>
            <w:r>
              <w:rPr>
                <w:snapToGrid w:val="0"/>
              </w:rPr>
              <w:t>r. 1 and 2: 11 Jul 2014 (see r. 2(a));</w:t>
            </w:r>
            <w:r>
              <w:rPr>
                <w:snapToGrid w:val="0"/>
              </w:rPr>
              <w:br/>
              <w:t>Regulations other than r. 1 and 2: 12 Jul 2014 (see r. 2(b)(ii))</w:t>
            </w:r>
          </w:p>
        </w:tc>
      </w:tr>
      <w:tr>
        <w:trPr>
          <w:cantSplit/>
        </w:trPr>
        <w:tc>
          <w:tcPr>
            <w:tcW w:w="7087" w:type="dxa"/>
            <w:gridSpan w:val="3"/>
            <w:shd w:val="clear" w:color="auto" w:fill="auto"/>
          </w:tcPr>
          <w:p>
            <w:pPr>
              <w:pStyle w:val="nTable"/>
              <w:spacing w:after="40"/>
              <w:rPr>
                <w:snapToGrid w:val="0"/>
              </w:rPr>
            </w:pPr>
            <w:r>
              <w:rPr>
                <w:b/>
                <w:bCs/>
              </w:rPr>
              <w:t xml:space="preserve">Reprint 3: The </w:t>
            </w:r>
            <w:r>
              <w:rPr>
                <w:b/>
                <w:bCs/>
                <w:i/>
              </w:rPr>
              <w:t>Supreme Court (Fees) Regulations 2002</w:t>
            </w:r>
            <w:r>
              <w:rPr>
                <w:b/>
                <w:bCs/>
              </w:rPr>
              <w:t xml:space="preserve"> as at 1 Aug 2014</w:t>
            </w:r>
            <w:r>
              <w:t xml:space="preserve"> </w:t>
            </w:r>
            <w:r>
              <w:br/>
              <w:t>(includes amendments listed above)</w:t>
            </w:r>
          </w:p>
        </w:tc>
      </w:tr>
      <w:tr>
        <w:trPr>
          <w:cantSplit/>
        </w:trPr>
        <w:tc>
          <w:tcPr>
            <w:tcW w:w="3118" w:type="dxa"/>
          </w:tcPr>
          <w:p>
            <w:pPr>
              <w:pStyle w:val="nTable"/>
              <w:spacing w:after="40"/>
              <w:ind w:right="113"/>
              <w:rPr>
                <w:i/>
              </w:rPr>
            </w:pPr>
            <w:r>
              <w:rPr>
                <w:i/>
              </w:rPr>
              <w:t>Supreme Court (Fees) Amendment Regulations (No. 2) 2015</w:t>
            </w:r>
          </w:p>
        </w:tc>
        <w:tc>
          <w:tcPr>
            <w:tcW w:w="1276" w:type="dxa"/>
          </w:tcPr>
          <w:p>
            <w:pPr>
              <w:pStyle w:val="nTable"/>
              <w:spacing w:after="40"/>
            </w:pPr>
            <w:r>
              <w:t>19 Jun 2015 p. 2130</w:t>
            </w:r>
            <w:r>
              <w:noBreakHyphen/>
              <w:t>4</w:t>
            </w:r>
          </w:p>
        </w:tc>
        <w:tc>
          <w:tcPr>
            <w:tcW w:w="2693" w:type="dxa"/>
          </w:tcPr>
          <w:p>
            <w:pPr>
              <w:pStyle w:val="nTable"/>
              <w:spacing w:after="40"/>
              <w:rPr>
                <w:snapToGrid w:val="0"/>
              </w:rPr>
            </w:pPr>
            <w:r>
              <w:rPr>
                <w:snapToGrid w:val="0"/>
              </w:rPr>
              <w:t>r. 1 and 2: 19 Jun 2015 (see r. 2(a));</w:t>
            </w:r>
            <w:r>
              <w:rPr>
                <w:snapToGrid w:val="0"/>
              </w:rPr>
              <w:br/>
              <w:t>Regulations other than r. 1 and 2: 1 Jul 2015 (see r. 2(b)(i))</w:t>
            </w:r>
          </w:p>
        </w:tc>
      </w:tr>
      <w:tr>
        <w:trPr>
          <w:cantSplit/>
        </w:trPr>
        <w:tc>
          <w:tcPr>
            <w:tcW w:w="3118" w:type="dxa"/>
          </w:tcPr>
          <w:p>
            <w:pPr>
              <w:pStyle w:val="nTable"/>
              <w:spacing w:after="40"/>
              <w:ind w:right="113"/>
              <w:rPr>
                <w:i/>
              </w:rPr>
            </w:pPr>
            <w:r>
              <w:rPr>
                <w:i/>
              </w:rPr>
              <w:t>Attorney General Regulations Amendment (Fees) Regulations 2016</w:t>
            </w:r>
            <w:r>
              <w:t xml:space="preserve"> Pt. 10</w:t>
            </w:r>
          </w:p>
        </w:tc>
        <w:tc>
          <w:tcPr>
            <w:tcW w:w="1276" w:type="dxa"/>
          </w:tcPr>
          <w:p>
            <w:pPr>
              <w:pStyle w:val="nTable"/>
              <w:spacing w:after="40"/>
            </w:pPr>
            <w:r>
              <w:t>14 Jun 2016 p. 1849</w:t>
            </w:r>
            <w:r>
              <w:noBreakHyphen/>
              <w:t>986</w:t>
            </w:r>
          </w:p>
        </w:tc>
        <w:tc>
          <w:tcPr>
            <w:tcW w:w="2693" w:type="dxa"/>
          </w:tcPr>
          <w:p>
            <w:pPr>
              <w:pStyle w:val="nTable"/>
              <w:spacing w:after="40"/>
              <w:rPr>
                <w:snapToGrid w:val="0"/>
              </w:rPr>
            </w:pPr>
            <w:r>
              <w:t>4 Jul 2016 (see r. 2(b))</w:t>
            </w:r>
          </w:p>
        </w:tc>
      </w:tr>
      <w:tr>
        <w:tc>
          <w:tcPr>
            <w:tcW w:w="3118" w:type="dxa"/>
            <w:shd w:val="clear" w:color="auto" w:fill="auto"/>
          </w:tcPr>
          <w:p>
            <w:pPr>
              <w:pStyle w:val="nTable"/>
              <w:spacing w:after="40"/>
            </w:pPr>
            <w:r>
              <w:rPr>
                <w:i/>
              </w:rPr>
              <w:t xml:space="preserve">Attorney General Regulations Amendment (Fees and Charges) Regulations 2017 </w:t>
            </w:r>
            <w:r>
              <w:t>Pt. 10</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bCs/>
                <w:snapToGrid w:val="0"/>
                <w:spacing w:val="-2"/>
              </w:rPr>
              <w:t xml:space="preserve"> (see r. 2(b)(ii))</w:t>
            </w:r>
          </w:p>
        </w:tc>
      </w:tr>
      <w:tr>
        <w:tc>
          <w:tcPr>
            <w:tcW w:w="3118" w:type="dxa"/>
            <w:shd w:val="clear" w:color="auto" w:fill="auto"/>
          </w:tcPr>
          <w:p>
            <w:pPr>
              <w:pStyle w:val="nTable"/>
              <w:spacing w:after="40"/>
              <w:rPr>
                <w:i/>
              </w:rPr>
            </w:pPr>
            <w:r>
              <w:rPr>
                <w:i/>
              </w:rPr>
              <w:t>Supreme Court (Fees) Amendment Regulations 2017</w:t>
            </w:r>
          </w:p>
        </w:tc>
        <w:tc>
          <w:tcPr>
            <w:tcW w:w="1276" w:type="dxa"/>
            <w:shd w:val="clear" w:color="auto" w:fill="auto"/>
          </w:tcPr>
          <w:p>
            <w:pPr>
              <w:pStyle w:val="nTable"/>
              <w:spacing w:after="40"/>
            </w:pPr>
            <w:r>
              <w:t>19 Sep 2017 p. 4885</w:t>
            </w:r>
            <w:r>
              <w:noBreakHyphen/>
              <w:t>6</w:t>
            </w:r>
          </w:p>
        </w:tc>
        <w:tc>
          <w:tcPr>
            <w:tcW w:w="2693" w:type="dxa"/>
            <w:shd w:val="clear" w:color="auto" w:fill="auto"/>
          </w:tcPr>
          <w:p>
            <w:pPr>
              <w:pStyle w:val="nTable"/>
              <w:spacing w:after="40"/>
              <w:rPr>
                <w:bCs/>
                <w:snapToGrid w:val="0"/>
              </w:rPr>
            </w:pPr>
            <w:r>
              <w:rPr>
                <w:snapToGrid w:val="0"/>
              </w:rPr>
              <w:t xml:space="preserve">r. 1 and 2: </w:t>
            </w:r>
            <w:r>
              <w:t xml:space="preserve">19 Sep 2017 </w:t>
            </w:r>
            <w:r>
              <w:rPr>
                <w:snapToGrid w:val="0"/>
              </w:rPr>
              <w:t>(see r. 2(a));</w:t>
            </w:r>
            <w:r>
              <w:rPr>
                <w:snapToGrid w:val="0"/>
              </w:rPr>
              <w:br/>
              <w:t>Regulations other than r. 1 and 2: 20</w:t>
            </w:r>
            <w:r>
              <w:t xml:space="preserve"> Sep 2017 </w:t>
            </w:r>
            <w:r>
              <w:rPr>
                <w:snapToGrid w:val="0"/>
              </w:rPr>
              <w:t>(see r. 2(b))</w:t>
            </w:r>
          </w:p>
        </w:tc>
      </w:tr>
      <w:tr>
        <w:tc>
          <w:tcPr>
            <w:tcW w:w="3118" w:type="dxa"/>
            <w:shd w:val="clear" w:color="auto" w:fill="auto"/>
          </w:tcPr>
          <w:p>
            <w:pPr>
              <w:pStyle w:val="nTable"/>
              <w:spacing w:after="40"/>
              <w:rPr>
                <w:i/>
              </w:rPr>
            </w:pPr>
            <w:r>
              <w:rPr>
                <w:i/>
              </w:rPr>
              <w:t>Attorney General Regulations Amendment (Bailiff Fees) Regulations 2018</w:t>
            </w:r>
            <w:r>
              <w:t xml:space="preserve"> Pt. 6</w:t>
            </w:r>
          </w:p>
        </w:tc>
        <w:tc>
          <w:tcPr>
            <w:tcW w:w="1276" w:type="dxa"/>
            <w:shd w:val="clear" w:color="auto" w:fill="auto"/>
          </w:tcPr>
          <w:p>
            <w:pPr>
              <w:pStyle w:val="nTable"/>
              <w:spacing w:after="40"/>
            </w:pPr>
            <w:r>
              <w:t>9 Feb 2018 p. 401</w:t>
            </w:r>
            <w:r>
              <w:noBreakHyphen/>
              <w:t>5</w:t>
            </w:r>
          </w:p>
        </w:tc>
        <w:tc>
          <w:tcPr>
            <w:tcW w:w="2693" w:type="dxa"/>
            <w:shd w:val="clear" w:color="auto" w:fill="auto"/>
          </w:tcPr>
          <w:p>
            <w:pPr>
              <w:pStyle w:val="nTable"/>
              <w:spacing w:after="40"/>
              <w:rPr>
                <w:snapToGrid w:val="0"/>
              </w:rPr>
            </w:pPr>
            <w:r>
              <w:rPr>
                <w:bCs/>
                <w:snapToGrid w:val="0"/>
              </w:rPr>
              <w:t>10 Feb 2018 (see r. 2(b))</w:t>
            </w:r>
          </w:p>
        </w:tc>
      </w:tr>
      <w:tr>
        <w:tc>
          <w:tcPr>
            <w:tcW w:w="3118" w:type="dxa"/>
            <w:shd w:val="clear" w:color="auto" w:fill="auto"/>
          </w:tcPr>
          <w:p>
            <w:pPr>
              <w:pStyle w:val="nTable"/>
              <w:spacing w:after="40"/>
              <w:rPr>
                <w:i/>
              </w:rPr>
            </w:pPr>
            <w:r>
              <w:rPr>
                <w:i/>
              </w:rPr>
              <w:t>Attorney General Regulations Amendment (Fees and Charges) Regulations 2018</w:t>
            </w:r>
            <w:r>
              <w:t xml:space="preserve"> Pt. 10</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c>
          <w:tcPr>
            <w:tcW w:w="3118" w:type="dxa"/>
            <w:shd w:val="clear" w:color="auto" w:fill="auto"/>
          </w:tcPr>
          <w:p>
            <w:pPr>
              <w:pStyle w:val="nTable"/>
              <w:spacing w:after="40"/>
            </w:pPr>
            <w:r>
              <w:rPr>
                <w:i/>
              </w:rPr>
              <w:t>Justice Regulations Amendment (Fee Relief) Regulations 2018</w:t>
            </w:r>
            <w:r>
              <w:t xml:space="preserve"> Pt. 8</w:t>
            </w:r>
          </w:p>
        </w:tc>
        <w:tc>
          <w:tcPr>
            <w:tcW w:w="1276" w:type="dxa"/>
            <w:shd w:val="clear" w:color="auto" w:fill="auto"/>
          </w:tcPr>
          <w:p>
            <w:pPr>
              <w:pStyle w:val="nTable"/>
              <w:spacing w:after="40"/>
            </w:pPr>
            <w:r>
              <w:t>20 Jul 2018 p. 2621</w:t>
            </w:r>
            <w:r>
              <w:noBreakHyphen/>
              <w:t>30</w:t>
            </w:r>
          </w:p>
        </w:tc>
        <w:tc>
          <w:tcPr>
            <w:tcW w:w="2693" w:type="dxa"/>
            <w:shd w:val="clear" w:color="auto" w:fill="auto"/>
          </w:tcPr>
          <w:p>
            <w:pPr>
              <w:pStyle w:val="nTable"/>
              <w:spacing w:after="40"/>
              <w:rPr>
                <w:bCs/>
                <w:snapToGrid w:val="0"/>
              </w:rPr>
            </w:pPr>
            <w:r>
              <w:rPr>
                <w:bCs/>
                <w:snapToGrid w:val="0"/>
              </w:rPr>
              <w:t>21 Jul 2018 (see r. 2(b))</w:t>
            </w:r>
          </w:p>
        </w:tc>
      </w:tr>
      <w:tr>
        <w:tc>
          <w:tcPr>
            <w:tcW w:w="3118" w:type="dxa"/>
            <w:shd w:val="clear" w:color="auto" w:fill="auto"/>
          </w:tcPr>
          <w:p>
            <w:pPr>
              <w:pStyle w:val="nTable"/>
              <w:spacing w:after="40"/>
            </w:pPr>
            <w:r>
              <w:rPr>
                <w:i/>
              </w:rPr>
              <w:t xml:space="preserve">Attorney General Regulations Amendment (Transcript Fees) Regulations 2018 </w:t>
            </w:r>
            <w:r>
              <w:t>Pt. 7</w:t>
            </w:r>
          </w:p>
        </w:tc>
        <w:tc>
          <w:tcPr>
            <w:tcW w:w="1276" w:type="dxa"/>
            <w:shd w:val="clear" w:color="auto" w:fill="auto"/>
          </w:tcPr>
          <w:p>
            <w:pPr>
              <w:pStyle w:val="nTable"/>
              <w:spacing w:after="40"/>
            </w:pPr>
            <w:r>
              <w:t>7 Dec 2018 p. 4667</w:t>
            </w:r>
            <w:r>
              <w:noBreakHyphen/>
              <w:t>74</w:t>
            </w:r>
          </w:p>
        </w:tc>
        <w:tc>
          <w:tcPr>
            <w:tcW w:w="2693" w:type="dxa"/>
            <w:shd w:val="clear" w:color="auto" w:fill="auto"/>
          </w:tcPr>
          <w:p>
            <w:pPr>
              <w:pStyle w:val="nTable"/>
              <w:spacing w:after="40"/>
              <w:rPr>
                <w:bCs/>
                <w:snapToGrid w:val="0"/>
              </w:rPr>
            </w:pPr>
            <w:r>
              <w:t>18 Dec 2018 (see r. 2(b)(i))</w:t>
            </w:r>
          </w:p>
        </w:tc>
      </w:tr>
      <w:tr>
        <w:tc>
          <w:tcPr>
            <w:tcW w:w="3118" w:type="dxa"/>
            <w:shd w:val="clear" w:color="auto" w:fill="auto"/>
          </w:tcPr>
          <w:p>
            <w:pPr>
              <w:pStyle w:val="nTable"/>
              <w:spacing w:after="40"/>
              <w:rPr>
                <w:i/>
              </w:rPr>
            </w:pPr>
            <w:r>
              <w:rPr>
                <w:i/>
              </w:rPr>
              <w:t xml:space="preserve">Attorney General Regulations Amendment (Transcript Fees) Regulations 2019 </w:t>
            </w:r>
            <w:r>
              <w:t>Pt. 7</w:t>
            </w:r>
          </w:p>
        </w:tc>
        <w:tc>
          <w:tcPr>
            <w:tcW w:w="1276" w:type="dxa"/>
            <w:shd w:val="clear" w:color="auto" w:fill="auto"/>
          </w:tcPr>
          <w:p>
            <w:pPr>
              <w:pStyle w:val="nTable"/>
              <w:spacing w:after="40"/>
            </w:pPr>
            <w:r>
              <w:t>12 Mar 2019 p. 666</w:t>
            </w:r>
            <w:r>
              <w:noBreakHyphen/>
              <w:t>9</w:t>
            </w:r>
          </w:p>
        </w:tc>
        <w:tc>
          <w:tcPr>
            <w:tcW w:w="2693" w:type="dxa"/>
            <w:shd w:val="clear" w:color="auto" w:fill="auto"/>
          </w:tcPr>
          <w:p>
            <w:pPr>
              <w:pStyle w:val="nTable"/>
              <w:spacing w:after="40"/>
            </w:pPr>
            <w:r>
              <w:rPr>
                <w:bCs/>
                <w:snapToGrid w:val="0"/>
              </w:rPr>
              <w:t>13 Mar 2019 (see r. 2(b))</w:t>
            </w:r>
          </w:p>
        </w:tc>
      </w:tr>
      <w:tr>
        <w:tc>
          <w:tcPr>
            <w:tcW w:w="3118" w:type="dxa"/>
            <w:shd w:val="clear" w:color="auto" w:fill="auto"/>
          </w:tcPr>
          <w:p>
            <w:pPr>
              <w:pStyle w:val="nTable"/>
              <w:spacing w:after="40"/>
              <w:rPr>
                <w:i/>
              </w:rPr>
            </w:pPr>
            <w:r>
              <w:rPr>
                <w:i/>
              </w:rPr>
              <w:t>Attorney General Regulations Amendment (Fees and Charges) Regulations 2019</w:t>
            </w:r>
            <w:r>
              <w:t xml:space="preserve"> Pt. 12</w:t>
            </w:r>
          </w:p>
        </w:tc>
        <w:tc>
          <w:tcPr>
            <w:tcW w:w="1276" w:type="dxa"/>
            <w:shd w:val="clear" w:color="auto" w:fill="auto"/>
          </w:tcPr>
          <w:p>
            <w:pPr>
              <w:pStyle w:val="nTable"/>
              <w:spacing w:after="40"/>
            </w:pPr>
            <w:r>
              <w:t>28 Jun 2019 p. 2553</w:t>
            </w:r>
            <w:r>
              <w:noBreakHyphen/>
              <w:t>642</w:t>
            </w:r>
          </w:p>
        </w:tc>
        <w:tc>
          <w:tcPr>
            <w:tcW w:w="2693" w:type="dxa"/>
            <w:shd w:val="clear" w:color="auto" w:fill="auto"/>
          </w:tcPr>
          <w:p>
            <w:pPr>
              <w:pStyle w:val="nTable"/>
              <w:spacing w:after="40"/>
              <w:rPr>
                <w:bCs/>
                <w:snapToGrid w:val="0"/>
              </w:rPr>
            </w:pPr>
            <w:r>
              <w:t>1 Jul 2019 (see r. 2(b))</w:t>
            </w:r>
          </w:p>
        </w:tc>
      </w:tr>
      <w:tr>
        <w:tc>
          <w:tcPr>
            <w:tcW w:w="7087" w:type="dxa"/>
            <w:gridSpan w:val="3"/>
            <w:tcBorders>
              <w:bottom w:val="single" w:sz="8" w:space="0" w:color="auto"/>
            </w:tcBorders>
            <w:shd w:val="clear" w:color="auto" w:fill="auto"/>
          </w:tcPr>
          <w:p>
            <w:pPr>
              <w:pStyle w:val="nTable"/>
              <w:spacing w:after="40"/>
            </w:pPr>
            <w:r>
              <w:rPr>
                <w:b/>
              </w:rPr>
              <w:t xml:space="preserve">Reprint 4: The </w:t>
            </w:r>
            <w:r>
              <w:rPr>
                <w:b/>
                <w:i/>
                <w:noProof/>
              </w:rPr>
              <w:t>Supreme Court (Fees) Regulations 2002</w:t>
            </w:r>
            <w:r>
              <w:rPr>
                <w:b/>
              </w:rPr>
              <w:t xml:space="preserve"> as at 9 Nov 2019</w:t>
            </w:r>
            <w:r>
              <w:t xml:space="preserve"> (includes amendments listed above)</w:t>
            </w:r>
          </w:p>
        </w:tc>
      </w:tr>
    </w:tbl>
    <w:p/>
    <w:p>
      <w:pPr>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nHeading2"/>
        <w:rPr>
          <w:sz w:val="28"/>
        </w:rPr>
      </w:pPr>
      <w:bookmarkStart w:id="92" w:name="_Toc15562166"/>
      <w:bookmarkStart w:id="93" w:name="_Toc15562521"/>
      <w:bookmarkStart w:id="94" w:name="_Toc15562886"/>
      <w:bookmarkStart w:id="95" w:name="_Toc19787861"/>
      <w:bookmarkStart w:id="96" w:name="_Toc25656901"/>
      <w:r>
        <w:rPr>
          <w:sz w:val="28"/>
        </w:rPr>
        <w:t>Defined terms</w:t>
      </w:r>
      <w:bookmarkEnd w:id="92"/>
      <w:bookmarkEnd w:id="93"/>
      <w:bookmarkEnd w:id="94"/>
      <w:bookmarkEnd w:id="95"/>
      <w:bookmarkEnd w:id="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bilateral convention</w:t>
      </w:r>
      <w:r>
        <w:tab/>
        <w:t>5(1)</w:t>
      </w:r>
    </w:p>
    <w:p>
      <w:pPr>
        <w:pStyle w:val="DefinedTerms"/>
      </w:pPr>
      <w:r>
        <w:t>Centrelink</w:t>
      </w:r>
      <w:r>
        <w:tab/>
        <w:t>7(1)</w:t>
      </w:r>
    </w:p>
    <w:p>
      <w:pPr>
        <w:pStyle w:val="DefinedTerms"/>
      </w:pPr>
      <w:r>
        <w:t>corporation</w:t>
      </w:r>
      <w:r>
        <w:tab/>
        <w:t>3</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entity</w:t>
      </w:r>
      <w:r>
        <w:tab/>
        <w:t>3</w:t>
      </w:r>
    </w:p>
    <w:p>
      <w:pPr>
        <w:pStyle w:val="DefinedTerms"/>
      </w:pPr>
      <w:r>
        <w:t>entry fee</w:t>
      </w:r>
      <w:r>
        <w:tab/>
        <w:t>9(1)</w:t>
      </w:r>
    </w:p>
    <w:p>
      <w:pPr>
        <w:pStyle w:val="DefinedTerms"/>
      </w:pPr>
      <w:r>
        <w:t>evidence convention</w:t>
      </w:r>
      <w:r>
        <w:tab/>
        <w:t>5(1)</w:t>
      </w:r>
    </w:p>
    <w:p>
      <w:pPr>
        <w:pStyle w:val="DefinedTerms"/>
      </w:pPr>
      <w:r>
        <w:t>fee</w:t>
      </w:r>
      <w:r>
        <w:tab/>
        <w:t>9(1), 9A(1)</w:t>
      </w:r>
    </w:p>
    <w:p>
      <w:pPr>
        <w:pStyle w:val="DefinedTerms"/>
      </w:pPr>
      <w:r>
        <w:t>grant</w:t>
      </w:r>
      <w:r>
        <w:tab/>
        <w:t>Sch. 3</w:t>
      </w:r>
    </w:p>
    <w:p>
      <w:pPr>
        <w:pStyle w:val="DefinedTerms"/>
      </w:pPr>
      <w:r>
        <w:t>individual</w:t>
      </w:r>
      <w:r>
        <w:tab/>
        <w:t>3</w:t>
      </w:r>
    </w:p>
    <w:p>
      <w:pPr>
        <w:pStyle w:val="DefinedTerms"/>
      </w:pPr>
      <w:r>
        <w:t>non</w:t>
      </w:r>
      <w:r>
        <w:noBreakHyphen/>
        <w:t>profit association</w:t>
      </w:r>
      <w:r>
        <w:tab/>
        <w:t>3</w:t>
      </w:r>
    </w:p>
    <w:p>
      <w:pPr>
        <w:pStyle w:val="DefinedTerms"/>
      </w:pPr>
      <w:r>
        <w:t>person</w:t>
      </w:r>
      <w:r>
        <w:tab/>
        <w:t>3</w:t>
      </w:r>
    </w:p>
    <w:p>
      <w:pPr>
        <w:pStyle w:val="DefinedTerms"/>
      </w:pPr>
      <w:r>
        <w:t>Rules</w:t>
      </w:r>
      <w:r>
        <w:tab/>
        <w:t>3</w:t>
      </w:r>
    </w:p>
    <w:p>
      <w:pPr>
        <w:pStyle w:val="DefinedTerms"/>
      </w:pPr>
      <w:r>
        <w:t>small business</w:t>
      </w:r>
      <w:r>
        <w:tab/>
        <w:t>3</w:t>
      </w:r>
    </w:p>
    <w:p>
      <w:pPr>
        <w:pStyle w:val="DefinedTerms"/>
      </w:pPr>
      <w:r>
        <w:t>subsidiary</w:t>
      </w:r>
      <w:r>
        <w:tab/>
        <w:t>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9396"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29396"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2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r09QIAAIEGAAAOAAAAZHJzL2Uyb0RvYy54bWysVVtv2jAUfp+0/2D5nSahgTaooaKtmCZV&#10;a7V26rNxbLDq2J5tIGzaf9+xk1Bo97BO48E59rl/58LFZVNLtGHWCa1KnJ2kGDFFdSXUssTfHueD&#10;c4ycJ6oiUitW4h1z+HL68cPF1kzYUK+0rJhFYES5ydaUeOW9mSSJoytWE3eiDVPA5NrWxMPVLpPK&#10;ki1Yr2UyTNNxstW2MlZT5hy83rRMPI32OWfU33HumEeyxBCbj6eN5yKcyfSCTJaWmJWgXRjkH6Ko&#10;iVDgdG/qhniC1la8MVULarXT3J9QXSeac0FZzAGyydJX2TysiGExFwDHmT1M7v+ZpV829xaJCmqH&#10;kSI1lGi29itthd8FcLbGTUDmwYCUb650EwS7dwePIeeG2zp8IRsEfIB5t4eWNR7RoDQsTosxRhRY&#10;w3yUZWnEPnnRNtb5T0zXKBAltlC6iCjZ3DoPHkG0FwnOnJaimgsp48UuF9fSog2BMs/jLwQJKkdi&#10;UqFticenozRaVjrot3JSBTssdkzrD26NBzK+Qxaxmj+LbJinV8NiMB+fnw3yeT4aFGfp+SDNiqti&#10;nOZFfjP/Faxn+WQlqoqpW6FY31lZ/neV63q87YnYW0eBHyUVQNnnvpCEPr9NPTkOJyID2fXfmGUS&#10;St2WNFJ+J1nIXaqvjEOHxMqGhzibbO+SUMqUj00BeEfpIMUB2vcodvJBta3Ce5T3GtGzVn6vXAul&#10;baz2q7Cr5z5k3soDGAd5B9I3iyaORt53/EJXOxgEq6FBoc2doXMB8N8S5++JhcUBj7AM/R0cXGpo&#10;Nt1RGMFM/fjTe5CHrgAuRltYRCV239fEMozkZwWTXmR5HjZXvOSjsyFc7CFncchR6/pawxDANEN0&#10;kQzyXvYkt7p+gp05C16BRRQF3yX2PXnt2/UIO5ey2SwKwa4yxN+qB0OD6YByaLvH5olY0w2sh4b6&#10;ovuVRSav5raVDZpKw4bRXMShDji3qHb4w56Lbdnt5LBID+9R6uWfY/obAAD//wMAUEsDBBQABgAI&#10;AAAAIQAc1hNC3AAAAAQBAAAPAAAAZHJzL2Rvd25yZXYueG1sTI/BTsMwEETvSPyDtUjcqE0LVRSy&#10;qSokTlUPhFI4uvGSRI3XwXba8PcYLnBZaTSjmbfFarK9OJEPnWOE25kCQVw703GDsHt5uslAhKjZ&#10;6N4xIXxRgFV5eVHo3LgzP9Opio1IJRxyjdDGOORShrolq8PMDcTJ+3De6pikb6Tx+pzKbS/nSi2l&#10;1R2nhVYP9NhSfaxGi/C+7e63+836LavUWL1+TpvjYu8Rr6+m9QOISFP8C8MPfkKHMjEd3MgmiB4h&#10;PRJ/b/Lm6g7EAWGRLRXIspD/4ctvAAAA//8DAFBLAQItABQABgAIAAAAIQC2gziS/gAAAOEBAAAT&#10;AAAAAAAAAAAAAAAAAAAAAABbQ29udGVudF9UeXBlc10ueG1sUEsBAi0AFAAGAAgAAAAhADj9If/W&#10;AAAAlAEAAAsAAAAAAAAAAAAAAAAALwEAAF9yZWxzLy5yZWxzUEsBAi0AFAAGAAgAAAAhAPRb6vT1&#10;AgAAgQYAAA4AAAAAAAAAAAAAAAAALgIAAGRycy9lMm9Eb2MueG1sUEsBAi0AFAAGAAgAAAAhABzW&#10;E0LcAAAABAEAAA8AAAAAAAAAAAAAAAAATwUAAGRycy9kb3ducmV2LnhtbFBLBQYAAAAABAAEAPMA&#10;AABYBg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74" w:name="Schedule"/>
    <w:bookmarkEnd w:id="7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Probate 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Probate 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1" w:name="Compilation"/>
    <w:bookmarkEnd w:id="9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7" w:name="DefinedTerms"/>
    <w:bookmarkEnd w:id="97"/>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8" w:name="Coversheet"/>
    <w:bookmarkEnd w:id="9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29F4C048"/>
    <w:lvl w:ilvl="0">
      <w:start w:val="1"/>
      <w:numFmt w:val="bullet"/>
      <w:lvlText w:val=""/>
      <w:lvlJc w:val="left"/>
      <w:pPr>
        <w:tabs>
          <w:tab w:val="num" w:pos="1446"/>
        </w:tabs>
        <w:ind w:left="1446" w:hanging="567"/>
      </w:pPr>
      <w:rPr>
        <w:rFonts w:ascii="Symbol" w:hAnsi="Symbol" w:hint="default"/>
      </w:rPr>
    </w:lvl>
  </w:abstractNum>
  <w:abstractNum w:abstractNumId="18">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2"/>
  </w:num>
  <w:num w:numId="15">
    <w:abstractNumId w:val="13"/>
  </w:num>
  <w:num w:numId="16">
    <w:abstractNumId w:val="14"/>
  </w:num>
  <w:num w:numId="17">
    <w:abstractNumId w:val="18"/>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en-AU"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801141037"/>
    <w:docVar w:name="WAFER_20131129141527" w:val="RemoveTocBookmarks,RemoveUnusedBookmarks,RemoveLanguageTags,UsedStyles,ResetPageSize,RemoveBadVanishTags,RemoveDocumentProtection,ExtractDocX,RunningHeaders"/>
    <w:docVar w:name="WAFER_20131129141527_GUID" w:val="88298069-0d72-4f1e-af69-225188a9aaf7"/>
    <w:docVar w:name="WAFER_20140709112410" w:val="RemoveTocBookmarks,RemoveUnusedBookmarks,RemoveLanguageTags,UsedStyles,ResetPageSize"/>
    <w:docVar w:name="WAFER_20140709112410_GUID" w:val="8a02a48d-3b3c-457b-97dc-5b5830e54fef"/>
    <w:docVar w:name="WAFER_20140709112428" w:val="RemoveTocBookmarks,RunningHeaders"/>
    <w:docVar w:name="WAFER_20140709112428_GUID" w:val="17273ea3-daed-41cc-b96c-da3bb8ff2676"/>
    <w:docVar w:name="WAFER_20150630154453" w:val="ResetPageSize,UpdateArrangement,UpdateNTable"/>
    <w:docVar w:name="WAFER_20150630154453_GUID" w:val="de49853c-964f-42ef-9ca3-a375c4b37687"/>
    <w:docVar w:name="WAFER_20151106161120" w:val="UpdateStyles,UsedStyles"/>
    <w:docVar w:name="WAFER_20151106161120_GUID" w:val="ec8c7f4b-eb7c-4444-a8f5-e356cda980c5"/>
    <w:docVar w:name="WAFER_20160705091520" w:val="RemoveTocBookmarks,RemoveUnusedBookmarks,RemoveLanguageTags,UsedStyles,ResetPageSize"/>
    <w:docVar w:name="WAFER_20160705091520_GUID" w:val="d39c1029-40d7-4aa2-878c-78f94082cb58"/>
    <w:docVar w:name="WAFER_20180614130931" w:val="RemoveTocBookmarks,RemoveUnusedBookmarks,RemoveLanguageTags,UsedStyles,ResetPageSize"/>
    <w:docVar w:name="WAFER_20180614130931_GUID" w:val="0f5ac2fd-de01-4961-9327-9e770ee3c3fd"/>
    <w:docVar w:name="WAFER_20180625153420" w:val="RemoveTocBookmarks,RemoveUnusedBookmarks,RemoveLanguageTags,UsedStyles,ResetPageSize"/>
    <w:docVar w:name="WAFER_20180625153420_GUID" w:val="357433ed-4bd1-48ef-8608-75a7f4e75ec2"/>
    <w:docVar w:name="WAFER_20180719102739" w:val="RemoveTocBookmarks,RemoveUnusedBookmarks,RemoveLanguageTags,UsedStyles,ResetPageSize"/>
    <w:docVar w:name="WAFER_20180719102739_GUID" w:val="5344dab7-96bb-488b-b9f4-ac667aeab308"/>
    <w:docVar w:name="WAFER_20181206130549" w:val="RemoveTocBookmarks,RemoveUnusedBookmarks,RemoveLanguageTags,UsedStyles,ResetPageSize"/>
    <w:docVar w:name="WAFER_20181206130549_GUID" w:val="3ef84dd9-401d-499d-81ef-c758ef5527bd"/>
    <w:docVar w:name="WAFER_20190311140048" w:val="RemoveTocBookmarks,RemoveUnusedBookmarks,RemoveLanguageTags,UpdateStyles,UsedStyles,ResetPageSize"/>
    <w:docVar w:name="WAFER_20190311140048_GUID" w:val="7853859e-80ea-492c-9704-a548be68f30b"/>
    <w:docVar w:name="WAFER_20190709152226" w:val="RemoveTocBookmarks,RemoveUnusedBookmarks,RemoveLanguageTags,ResetPageSize,RunningHeaders,UpdateStyles,UsedStyles"/>
    <w:docVar w:name="WAFER_20190709152226_GUID" w:val="11222f35-bd49-4b8f-bf72-ae9650b0b556"/>
    <w:docVar w:name="WAFER_20190801141037" w:val="RemoveTocBookmarks,RemoveUnusedBookmarks,RemoveLanguageTags,ResetPageSize,RunningHeaders,UpdateStyles,UsedStyles"/>
    <w:docVar w:name="WAFER_20190801141037_GUID" w:val="f02a96a7-b4a8-482f-beb7-7f7901c1e3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2B75DA-C91A-4C8D-8E1B-3501980361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10132</Words>
  <Characters>48435</Characters>
  <Application>Microsoft Office Word</Application>
  <DocSecurity>0</DocSecurity>
  <Lines>2421</Lines>
  <Paragraphs>1394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57173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2002 - 04-00-00</dc:title>
  <dc:subject/>
  <dc:creator/>
  <cp:keywords/>
  <dc:description/>
  <cp:lastModifiedBy>svcMRProcess</cp:lastModifiedBy>
  <cp:revision>4</cp:revision>
  <cp:lastPrinted>2019-10-17T05:41:00Z</cp:lastPrinted>
  <dcterms:created xsi:type="dcterms:W3CDTF">2020-04-26T02:53:00Z</dcterms:created>
  <dcterms:modified xsi:type="dcterms:W3CDTF">2020-04-26T02:53:00Z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DocumentType">
    <vt:lpwstr>Reg</vt:lpwstr>
  </property>
  <property fmtid="{D5CDD505-2E9C-101B-9397-08002B2CF9AE}" pid="4" name="OwlsUID">
    <vt:i4>3576</vt:i4>
  </property>
  <property fmtid="{D5CDD505-2E9C-101B-9397-08002B2CF9AE}" pid="5" name="CommencementDate">
    <vt:lpwstr>20191109</vt:lpwstr>
  </property>
  <property fmtid="{D5CDD505-2E9C-101B-9397-08002B2CF9AE}" pid="6" name="AsAtDate">
    <vt:lpwstr>09 Nov 2019</vt:lpwstr>
  </property>
  <property fmtid="{D5CDD505-2E9C-101B-9397-08002B2CF9AE}" pid="7" name="Suffix">
    <vt:lpwstr>04-00-00</vt:lpwstr>
  </property>
  <property fmtid="{D5CDD505-2E9C-101B-9397-08002B2CF9AE}" pid="8" name="ReprintedAsAt">
    <vt:filetime>2019-11-08T16:00:00Z</vt:filetime>
  </property>
  <property fmtid="{D5CDD505-2E9C-101B-9397-08002B2CF9AE}" pid="9" name="ReprintNo">
    <vt:lpwstr>4</vt:lpwstr>
  </property>
</Properties>
</file>