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(Irrungadji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_Toc25845339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_Toc25845340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Irrungadji Aboriginal Community</w:t>
      </w:r>
      <w:r>
        <w:tab/>
      </w:r>
      <w:r>
        <w:fldChar w:fldCharType="begin"/>
      </w:r>
      <w:r>
        <w:instrText xml:space="preserve"> PAGEREF _Toc25845341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_Toc25845342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_Toc25845343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Irrungadji Aboriginal Community</w:t>
      </w:r>
      <w:r>
        <w:tab/>
      </w:r>
      <w:r>
        <w:fldChar w:fldCharType="begin"/>
      </w:r>
      <w:r>
        <w:instrText xml:space="preserve"> PAGEREF _Toc25845344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_Toc25845345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_Toc25845346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_Toc25845348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(Irrungadji Restricted Area) Regulations 2010</w:t>
      </w:r>
    </w:p>
    <w:p>
      <w:pPr>
        <w:pStyle w:val="Heading5"/>
      </w:pPr>
      <w:bookmarkStart w:id="3" w:name="_Toc25845339"/>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5" w:name="_Toc2584534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25845341"/>
      <w:r>
        <w:rPr>
          <w:rStyle w:val="CharSectno"/>
        </w:rPr>
        <w:t>3</w:t>
      </w:r>
      <w:r>
        <w:rPr>
          <w:snapToGrid w:val="0"/>
        </w:rPr>
        <w:t>.</w:t>
      </w:r>
      <w:r>
        <w:rPr>
          <w:snapToGrid w:val="0"/>
        </w:rPr>
        <w:tab/>
        <w:t>Term used: Irrungadji Aboriginal Community</w:t>
      </w:r>
      <w:bookmarkEnd w:id="6"/>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351 on Deposited Plan 405537 being the whole of the land in Record of Qualified Certificate of Crown Land Title Volume LR3021 Folio 707.</w:t>
      </w:r>
    </w:p>
    <w:p>
      <w:pPr>
        <w:pStyle w:val="Footnotesection"/>
      </w:pPr>
      <w:r>
        <w:tab/>
        <w:t>[Regulation 3 amended: Gazette 29 Nov 2019 p. 4106.]</w:t>
      </w:r>
    </w:p>
    <w:p>
      <w:pPr>
        <w:pStyle w:val="Ednotesection"/>
      </w:pPr>
      <w:r>
        <w:t>[</w:t>
      </w:r>
      <w:r>
        <w:rPr>
          <w:b/>
        </w:rPr>
        <w:t>4.</w:t>
      </w:r>
      <w:r>
        <w:tab/>
        <w:t>Deleted: Gazette 28 Oct 2016 p. 4917.]</w:t>
      </w:r>
    </w:p>
    <w:p>
      <w:pPr>
        <w:pStyle w:val="Heading5"/>
      </w:pPr>
      <w:bookmarkStart w:id="7" w:name="_Toc25845342"/>
      <w:r>
        <w:rPr>
          <w:rStyle w:val="CharSectno"/>
        </w:rPr>
        <w:t>5</w:t>
      </w:r>
      <w:r>
        <w:t>.</w:t>
      </w:r>
      <w:r>
        <w:tab/>
        <w:t>Declaration of restricted area</w:t>
      </w:r>
      <w:bookmarkEnd w:id="7"/>
    </w:p>
    <w:p>
      <w:pPr>
        <w:pStyle w:val="Subsection"/>
      </w:pPr>
      <w:r>
        <w:tab/>
      </w:r>
      <w:r>
        <w:tab/>
        <w:t>The Irrungadji Aboriginal Community is declared to be a restricted area for the purposes of section 175(1a) of the Act.</w:t>
      </w:r>
    </w:p>
    <w:p>
      <w:pPr>
        <w:pStyle w:val="Heading5"/>
      </w:pPr>
      <w:bookmarkStart w:id="8" w:name="_Toc25845343"/>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9" w:name="_Toc25845344"/>
      <w:r>
        <w:rPr>
          <w:rStyle w:val="CharSectno"/>
        </w:rPr>
        <w:t>7</w:t>
      </w:r>
      <w:r>
        <w:t>.</w:t>
      </w:r>
      <w:r>
        <w:tab/>
        <w:t>Prohibitions as to liquor in the Irrungadji Aboriginal Community</w:t>
      </w:r>
      <w:bookmarkEnd w:id="9"/>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25845345"/>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25845346"/>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4 December 2022.</w:t>
      </w:r>
    </w:p>
    <w:p>
      <w:pPr>
        <w:pStyle w:val="Footnotesection"/>
      </w:pPr>
      <w:r>
        <w:tab/>
        <w:t>[Regulation 9 inserted: Gazette 28 Oct 2016 p. 4917; amended: Gazette 29 Nov 2019 p. 4106.]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2" w:name="_Toc25826659"/>
      <w:bookmarkStart w:id="13" w:name="_Toc25827559"/>
      <w:bookmarkStart w:id="14" w:name="_Toc25844118"/>
      <w:bookmarkStart w:id="15" w:name="_Toc25845347"/>
      <w:r>
        <w:t>Notes</w:t>
      </w:r>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(Irrungadji Restricted Area) Regulations 2010</w:t>
      </w:r>
      <w:r>
        <w:rPr>
          <w:snapToGrid w:val="0"/>
        </w:rPr>
        <w:t xml:space="preserve"> and includes the amendments made by the other written laws referred to in the following table</w:t>
      </w:r>
      <w:r>
        <w:rPr>
          <w:snapToGrid w:val="0"/>
          <w:vertAlign w:val="superscript"/>
        </w:rPr>
        <w:t> 2</w:t>
      </w:r>
      <w:r>
        <w:rPr>
          <w:snapToGrid w:val="0"/>
        </w:rPr>
        <w:t xml:space="preserve">. </w:t>
      </w:r>
    </w:p>
    <w:p>
      <w:pPr>
        <w:pStyle w:val="nHeading3"/>
      </w:pPr>
      <w:bookmarkStart w:id="16" w:name="_Toc25845348"/>
      <w:r>
        <w:t>Compilation table</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(Irrungadji Restricted Area) Amendment Regulations 2016</w:t>
            </w:r>
          </w:p>
        </w:tc>
        <w:tc>
          <w:tcPr>
            <w:tcW w:w="1276" w:type="dxa"/>
            <w:tcBorders>
              <w:top w:val="nil"/>
              <w:bottom w:val="nil"/>
            </w:tcBorders>
          </w:tcPr>
          <w:p>
            <w:pPr>
              <w:pStyle w:val="nTable"/>
              <w:spacing w:after="40"/>
            </w:pPr>
            <w:r>
              <w:t>28 Oct 2016 p. 4917</w:t>
            </w:r>
          </w:p>
        </w:tc>
        <w:tc>
          <w:tcPr>
            <w:tcW w:w="2693" w:type="dxa"/>
            <w:tcBorders>
              <w:top w:val="nil"/>
              <w:bottom w:val="nil"/>
            </w:tcBorders>
          </w:tcPr>
          <w:p>
            <w:pPr>
              <w:pStyle w:val="nTable"/>
              <w:spacing w:after="40"/>
              <w:rPr>
                <w:bCs/>
                <w:snapToGrid w:val="0"/>
                <w:spacing w:val="-2"/>
              </w:rPr>
            </w:pPr>
            <w:r>
              <w:rPr>
                <w:bCs/>
                <w:snapToGrid w:val="0"/>
                <w:spacing w:val="-2"/>
              </w:rPr>
              <w:t>r. 1 and 2: 28 Oct 2016 (see r. 2(a));</w:t>
            </w:r>
            <w:r>
              <w:rPr>
                <w:bCs/>
                <w:snapToGrid w:val="0"/>
                <w:spacing w:val="-2"/>
              </w:rPr>
              <w:br/>
              <w:t>Regulations other than r. 1 and 2: 29 Oct 2016 (see r. 2(b))</w:t>
            </w:r>
          </w:p>
        </w:tc>
      </w:tr>
      <w:tr>
        <w:tc>
          <w:tcPr>
            <w:tcW w:w="3118" w:type="dxa"/>
            <w:tcBorders>
              <w:top w:val="nil"/>
            </w:tcBorders>
          </w:tcPr>
          <w:p>
            <w:pPr>
              <w:pStyle w:val="nTable"/>
              <w:spacing w:after="40"/>
            </w:pPr>
            <w:r>
              <w:rPr>
                <w:i/>
              </w:rPr>
              <w:t>Racing and Gaming Regulations Amendment (Liquor Control) Regulations (No. 2) 2019</w:t>
            </w:r>
            <w:r>
              <w:t xml:space="preserve"> Pt. 2</w:t>
            </w:r>
          </w:p>
        </w:tc>
        <w:tc>
          <w:tcPr>
            <w:tcW w:w="1276" w:type="dxa"/>
            <w:tcBorders>
              <w:top w:val="nil"/>
            </w:tcBorders>
          </w:tcPr>
          <w:p>
            <w:pPr>
              <w:pStyle w:val="nTable"/>
              <w:spacing w:after="40"/>
            </w:pPr>
            <w:r>
              <w:t>29 Nov 2019 p. 4106-7</w:t>
            </w:r>
          </w:p>
        </w:tc>
        <w:tc>
          <w:tcPr>
            <w:tcW w:w="2693" w:type="dxa"/>
            <w:tcBorders>
              <w:top w:val="nil"/>
            </w:tcBorders>
          </w:tcPr>
          <w:p>
            <w:pPr>
              <w:pStyle w:val="nTable"/>
              <w:spacing w:after="40"/>
              <w:rPr>
                <w:bCs/>
                <w:snapToGrid w:val="0"/>
                <w:spacing w:val="-2"/>
              </w:rPr>
            </w:pPr>
            <w:r>
              <w:rPr>
                <w:bCs/>
                <w:snapToGrid w:val="0"/>
                <w:spacing w:val="-2"/>
              </w:rPr>
              <w:t>30 Nov 2019 (see r. 2(b))</w:t>
            </w:r>
          </w:p>
        </w:tc>
      </w:tr>
    </w:tbl>
    <w:p>
      <w:pPr>
        <w:pStyle w:val="nSubsection"/>
      </w:pPr>
      <w:r>
        <w:rPr>
          <w:vertAlign w:val="superscript"/>
        </w:rPr>
        <w:t>2</w:t>
      </w:r>
      <w:r>
        <w:tab/>
        <w:t>These regulations expire at the close of 4 Dec 2022 (see r. 9).</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25826661"/>
      <w:bookmarkStart w:id="19" w:name="_Toc25827561"/>
      <w:bookmarkStart w:id="20" w:name="_Toc25844120"/>
      <w:bookmarkStart w:id="21" w:name="_Toc25845349"/>
      <w:r>
        <w:rPr>
          <w:sz w:val="28"/>
        </w:rPr>
        <w:t>Defined terms</w:t>
      </w:r>
      <w:bookmarkEnd w:id="18"/>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Irrungadji Aboriginal Community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8094223"/>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 w:name="WAFER_20191128094223" w:val="RemoveTocBookmarks,RemoveUnusedBookmarks,RemoveLanguageTags,ResetPageSize,RunningHeaders,UpdateStyles,UsedStyles"/>
    <w:docVar w:name="WAFER_20191128094223_GUID" w:val="a8edb551-1ea0-4c25-aa2d-f82eadf22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883</Words>
  <Characters>4391</Characters>
  <Application>Microsoft Office Word</Application>
  <DocSecurity>0</DocSecurity>
  <Lines>162</Lines>
  <Paragraphs>105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2010 - 00-d0-00</dc:title>
  <dc:subject/>
  <dc:creator/>
  <cp:keywords/>
  <dc:description/>
  <cp:lastModifiedBy>svcMRProcess</cp:lastModifiedBy>
  <cp:revision>4</cp:revision>
  <cp:lastPrinted>2019-11-28T06:32:00Z</cp:lastPrinted>
  <dcterms:created xsi:type="dcterms:W3CDTF">2019-11-29T04:17:00Z</dcterms:created>
  <dcterms:modified xsi:type="dcterms:W3CDTF">2019-11-29T04:17:00Z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OwlsUID">
    <vt:i4>43006</vt:i4>
  </property>
  <property fmtid="{D5CDD505-2E9C-101B-9397-08002B2CF9AE}" pid="4" name="DocumentType">
    <vt:lpwstr>Reg</vt:lpwstr>
  </property>
  <property fmtid="{D5CDD505-2E9C-101B-9397-08002B2CF9AE}" pid="5" name="AsAtDate">
    <vt:lpwstr>30 Nov 2019</vt:lpwstr>
  </property>
  <property fmtid="{D5CDD505-2E9C-101B-9397-08002B2CF9AE}" pid="6" name="Suffix">
    <vt:lpwstr>00-d0-00</vt:lpwstr>
  </property>
  <property fmtid="{D5CDD505-2E9C-101B-9397-08002B2CF9AE}" pid="7" name="CommencementDate">
    <vt:lpwstr>20191130</vt:lpwstr>
  </property>
</Properties>
</file>