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Guardianship and Administration Act 1990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_Toc32242298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_Toc32242299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_Toc32242300 \h </w:instrText>
      </w:r>
      <w:r>
        <w:fldChar w:fldCharType="separate"/>
      </w:r>
      <w:r>
        <w:t>2</w:t>
      </w:r>
      <w:r>
        <w:fldChar w:fldCharType="end"/>
      </w:r>
    </w:p>
    <w:p>
      <w:pPr>
        <w:pStyle w:val="TOC8"/>
        <w:rPr>
          <w:rFonts w:asciiTheme="minorHAnsi" w:eastAsiaTheme="minorEastAsia" w:hAnsiTheme="minorHAnsi" w:cstheme="minorBidi"/>
          <w:szCs w:val="22"/>
        </w:rPr>
      </w:pPr>
      <w:r>
        <w:t>3A.</w:t>
      </w:r>
      <w:r>
        <w:tab/>
        <w:t>Inherent jurisdiction of Supreme Court not affected</w:t>
      </w:r>
      <w:r>
        <w:tab/>
      </w:r>
      <w:r>
        <w:fldChar w:fldCharType="begin"/>
      </w:r>
      <w:r>
        <w:instrText xml:space="preserve"> PAGEREF _Toc32242301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Principles to be observed by State Administrative Tribunal</w:t>
      </w:r>
    </w:p>
    <w:p>
      <w:pPr>
        <w:pStyle w:val="TOC8"/>
        <w:rPr>
          <w:rFonts w:asciiTheme="minorHAnsi" w:eastAsiaTheme="minorEastAsia" w:hAnsiTheme="minorHAnsi" w:cstheme="minorBidi"/>
          <w:szCs w:val="22"/>
        </w:rPr>
      </w:pPr>
      <w:r>
        <w:t>4</w:t>
      </w:r>
      <w:r>
        <w:rPr>
          <w:snapToGrid w:val="0"/>
        </w:rPr>
        <w:t>.</w:t>
      </w:r>
      <w:r>
        <w:rPr>
          <w:snapToGrid w:val="0"/>
        </w:rPr>
        <w:tab/>
        <w:t>Principles stated</w:t>
      </w:r>
      <w:r>
        <w:tab/>
      </w:r>
      <w:r>
        <w:fldChar w:fldCharType="begin"/>
      </w:r>
      <w:r>
        <w:instrText xml:space="preserve"> PAGEREF _Toc32242303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The State Administrative Tribunal</w:t>
      </w:r>
    </w:p>
    <w:p>
      <w:pPr>
        <w:pStyle w:val="TOC4"/>
        <w:tabs>
          <w:tab w:val="right" w:leader="dot" w:pos="7077"/>
        </w:tabs>
        <w:rPr>
          <w:rFonts w:asciiTheme="minorHAnsi" w:eastAsiaTheme="minorEastAsia" w:hAnsiTheme="minorHAnsi" w:cstheme="minorBidi"/>
          <w:b w:val="0"/>
          <w:szCs w:val="22"/>
        </w:rPr>
      </w:pPr>
      <w:r>
        <w:t>Division 1 — Functions and proceedings</w:t>
      </w:r>
    </w:p>
    <w:p>
      <w:pPr>
        <w:pStyle w:val="TOC8"/>
        <w:rPr>
          <w:rFonts w:asciiTheme="minorHAnsi" w:eastAsiaTheme="minorEastAsia" w:hAnsiTheme="minorHAnsi" w:cstheme="minorBidi"/>
          <w:szCs w:val="22"/>
        </w:rPr>
      </w:pPr>
      <w:r>
        <w:t>13</w:t>
      </w:r>
      <w:r>
        <w:rPr>
          <w:snapToGrid w:val="0"/>
        </w:rPr>
        <w:t>.</w:t>
      </w:r>
      <w:r>
        <w:rPr>
          <w:snapToGrid w:val="0"/>
        </w:rPr>
        <w:tab/>
        <w:t>Jurisdiction of State Administrative Tribunal</w:t>
      </w:r>
      <w:r>
        <w:tab/>
      </w:r>
      <w:r>
        <w:fldChar w:fldCharType="begin"/>
      </w:r>
      <w:r>
        <w:instrText xml:space="preserve"> PAGEREF _Toc32242306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Costs</w:t>
      </w:r>
      <w:r>
        <w:tab/>
      </w:r>
      <w:r>
        <w:fldChar w:fldCharType="begin"/>
      </w:r>
      <w:r>
        <w:instrText xml:space="preserve"> PAGEREF _Toc32242307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Further provisions as to proceedings</w:t>
      </w:r>
      <w:r>
        <w:tab/>
      </w:r>
      <w:r>
        <w:fldChar w:fldCharType="begin"/>
      </w:r>
      <w:r>
        <w:instrText xml:space="preserve"> PAGEREF _Toc32242308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Review of determination where State Administrative Tribunal comprises one member</w:t>
      </w:r>
    </w:p>
    <w:p>
      <w:pPr>
        <w:pStyle w:val="TOC8"/>
        <w:rPr>
          <w:rFonts w:asciiTheme="minorHAnsi" w:eastAsiaTheme="minorEastAsia" w:hAnsiTheme="minorHAnsi" w:cstheme="minorBidi"/>
          <w:szCs w:val="22"/>
        </w:rPr>
      </w:pPr>
      <w:r>
        <w:t>17A</w:t>
      </w:r>
      <w:r>
        <w:rPr>
          <w:snapToGrid w:val="0"/>
        </w:rPr>
        <w:t>.</w:t>
      </w:r>
      <w:r>
        <w:rPr>
          <w:snapToGrid w:val="0"/>
        </w:rPr>
        <w:tab/>
        <w:t>Review</w:t>
      </w:r>
      <w:r>
        <w:tab/>
      </w:r>
      <w:r>
        <w:fldChar w:fldCharType="begin"/>
      </w:r>
      <w:r>
        <w:instrText xml:space="preserve"> PAGEREF _Toc32242310 \h </w:instrText>
      </w:r>
      <w:r>
        <w:fldChar w:fldCharType="separate"/>
      </w:r>
      <w:r>
        <w:t>11</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Executive officer to give notice of review</w:t>
      </w:r>
      <w:r>
        <w:tab/>
      </w:r>
      <w:r>
        <w:fldChar w:fldCharType="begin"/>
      </w:r>
      <w:r>
        <w:instrText xml:space="preserve"> PAGEREF _Toc32242311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Appeals</w:t>
      </w:r>
    </w:p>
    <w:p>
      <w:pPr>
        <w:pStyle w:val="TOC8"/>
        <w:rPr>
          <w:rFonts w:asciiTheme="minorHAnsi" w:eastAsiaTheme="minorEastAsia" w:hAnsiTheme="minorHAnsi" w:cstheme="minorBidi"/>
          <w:szCs w:val="22"/>
        </w:rPr>
      </w:pPr>
      <w:r>
        <w:t>18</w:t>
      </w:r>
      <w:r>
        <w:rPr>
          <w:snapToGrid w:val="0"/>
        </w:rPr>
        <w:t>.</w:t>
      </w:r>
      <w:r>
        <w:rPr>
          <w:snapToGrid w:val="0"/>
        </w:rPr>
        <w:tab/>
        <w:t>Term used: Court</w:t>
      </w:r>
      <w:r>
        <w:tab/>
      </w:r>
      <w:r>
        <w:fldChar w:fldCharType="begin"/>
      </w:r>
      <w:r>
        <w:instrText xml:space="preserve"> PAGEREF _Toc32242313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Right of appeal by leave</w:t>
      </w:r>
      <w:r>
        <w:tab/>
      </w:r>
      <w:r>
        <w:fldChar w:fldCharType="begin"/>
      </w:r>
      <w:r>
        <w:instrText xml:space="preserve"> PAGEREF _Toc32242314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leave</w:t>
      </w:r>
      <w:r>
        <w:tab/>
      </w:r>
      <w:r>
        <w:fldChar w:fldCharType="begin"/>
      </w:r>
      <w:r>
        <w:instrText xml:space="preserve"> PAGEREF _Toc32242315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Grounds</w:t>
      </w:r>
      <w:r>
        <w:tab/>
      </w:r>
      <w:r>
        <w:fldChar w:fldCharType="begin"/>
      </w:r>
      <w:r>
        <w:instrText xml:space="preserve"> PAGEREF _Toc32242316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Grant or refusal of leave</w:t>
      </w:r>
      <w:r>
        <w:tab/>
      </w:r>
      <w:r>
        <w:fldChar w:fldCharType="begin"/>
      </w:r>
      <w:r>
        <w:instrText xml:space="preserve"> PAGEREF _Toc32242317 \h </w:instrText>
      </w:r>
      <w:r>
        <w:fldChar w:fldCharType="separate"/>
      </w:r>
      <w:r>
        <w:t>14</w:t>
      </w:r>
      <w:r>
        <w:fldChar w:fldCharType="end"/>
      </w:r>
    </w:p>
    <w:p>
      <w:pPr>
        <w:pStyle w:val="TOC8"/>
        <w:rPr>
          <w:rFonts w:asciiTheme="minorHAnsi" w:eastAsiaTheme="minorEastAsia" w:hAnsiTheme="minorHAnsi" w:cstheme="minorBidi"/>
          <w:szCs w:val="22"/>
        </w:rPr>
      </w:pPr>
      <w:r>
        <w:lastRenderedPageBreak/>
        <w:t>23</w:t>
      </w:r>
      <w:r>
        <w:rPr>
          <w:snapToGrid w:val="0"/>
        </w:rPr>
        <w:t>.</w:t>
      </w:r>
      <w:r>
        <w:rPr>
          <w:snapToGrid w:val="0"/>
        </w:rPr>
        <w:tab/>
        <w:t>Ancillary orders and directions</w:t>
      </w:r>
      <w:r>
        <w:tab/>
      </w:r>
      <w:r>
        <w:fldChar w:fldCharType="begin"/>
      </w:r>
      <w:r>
        <w:instrText xml:space="preserve"> PAGEREF _Toc32242318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 of application to Court</w:t>
      </w:r>
      <w:r>
        <w:tab/>
      </w:r>
      <w:r>
        <w:fldChar w:fldCharType="begin"/>
      </w:r>
      <w:r>
        <w:instrText xml:space="preserve"> PAGEREF _Toc32242319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Application and appeal may be heard together</w:t>
      </w:r>
      <w:r>
        <w:tab/>
      </w:r>
      <w:r>
        <w:fldChar w:fldCharType="begin"/>
      </w:r>
      <w:r>
        <w:instrText xml:space="preserve"> PAGEREF _Toc32242320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Notice to other parties</w:t>
      </w:r>
      <w:r>
        <w:tab/>
      </w:r>
      <w:r>
        <w:fldChar w:fldCharType="begin"/>
      </w:r>
      <w:r>
        <w:instrText xml:space="preserve"> PAGEREF _Toc32242321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Amendment of grounds of appeal</w:t>
      </w:r>
      <w:r>
        <w:tab/>
      </w:r>
      <w:r>
        <w:fldChar w:fldCharType="begin"/>
      </w:r>
      <w:r>
        <w:instrText xml:space="preserve"> PAGEREF _Toc32242322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Status of State Administrative Tribunal’s determination pending disposal of appeal</w:t>
      </w:r>
      <w:r>
        <w:tab/>
      </w:r>
      <w:r>
        <w:fldChar w:fldCharType="begin"/>
      </w:r>
      <w:r>
        <w:instrText xml:space="preserve"> PAGEREF _Toc32242323 \h </w:instrText>
      </w:r>
      <w:r>
        <w:fldChar w:fldCharType="separate"/>
      </w:r>
      <w:r>
        <w:t>16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Nature of appeal, and evidence</w:t>
      </w:r>
      <w:r>
        <w:tab/>
      </w:r>
      <w:r>
        <w:fldChar w:fldCharType="begin"/>
      </w:r>
      <w:r>
        <w:instrText xml:space="preserve"> PAGEREF _Toc32242324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Powers of Court</w:t>
      </w:r>
      <w:r>
        <w:tab/>
      </w:r>
      <w:r>
        <w:fldChar w:fldCharType="begin"/>
      </w:r>
      <w:r>
        <w:instrText xml:space="preserve"> PAGEREF _Toc32242325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Want of form</w:t>
      </w:r>
      <w:r>
        <w:tab/>
      </w:r>
      <w:r>
        <w:fldChar w:fldCharType="begin"/>
      </w:r>
      <w:r>
        <w:instrText xml:space="preserve"> PAGEREF _Toc32242326 \h </w:instrText>
      </w:r>
      <w:r>
        <w:fldChar w:fldCharType="separate"/>
      </w:r>
      <w:r>
        <w:t>18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Notification of result of appeal to executive officer</w:t>
      </w:r>
      <w:r>
        <w:tab/>
      </w:r>
      <w:r>
        <w:fldChar w:fldCharType="begin"/>
      </w:r>
      <w:r>
        <w:instrText xml:space="preserve"> PAGEREF _Toc32242327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Discontinuance of appeal</w:t>
      </w:r>
      <w:r>
        <w:tab/>
      </w:r>
      <w:r>
        <w:fldChar w:fldCharType="begin"/>
      </w:r>
      <w:r>
        <w:instrText xml:space="preserve"> PAGEREF _Toc32242328 \h </w:instrText>
      </w:r>
      <w:r>
        <w:fldChar w:fldCharType="separate"/>
      </w:r>
      <w:r>
        <w:t>18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Dismissal for want of prosecution</w:t>
      </w:r>
      <w:r>
        <w:tab/>
      </w:r>
      <w:r>
        <w:fldChar w:fldCharType="begin"/>
      </w:r>
      <w:r>
        <w:instrText xml:space="preserve"> PAGEREF _Toc32242329 \h </w:instrText>
      </w:r>
      <w:r>
        <w:fldChar w:fldCharType="separate"/>
      </w:r>
      <w:r>
        <w:t>19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Application for reinstatement of appeal</w:t>
      </w:r>
      <w:r>
        <w:tab/>
      </w:r>
      <w:r>
        <w:fldChar w:fldCharType="begin"/>
      </w:r>
      <w:r>
        <w:instrText xml:space="preserve"> PAGEREF _Toc32242330 \h </w:instrText>
      </w:r>
      <w:r>
        <w:fldChar w:fldCharType="separate"/>
      </w:r>
      <w:r>
        <w:t>19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Time may be extended or shortened</w:t>
      </w:r>
      <w:r>
        <w:tab/>
      </w:r>
      <w:r>
        <w:fldChar w:fldCharType="begin"/>
      </w:r>
      <w:r>
        <w:instrText xml:space="preserve"> PAGEREF _Toc32242331 \h </w:instrText>
      </w:r>
      <w:r>
        <w:fldChar w:fldCharType="separate"/>
      </w:r>
      <w:r>
        <w:t>20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Enforcement of order for costs</w:t>
      </w:r>
      <w:r>
        <w:tab/>
      </w:r>
      <w:r>
        <w:fldChar w:fldCharType="begin"/>
      </w:r>
      <w:r>
        <w:instrText xml:space="preserve"> PAGEREF _Toc32242332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Applications for guardianship and administration orders</w:t>
      </w:r>
    </w:p>
    <w:p>
      <w:pPr>
        <w:pStyle w:val="TOC8"/>
        <w:rPr>
          <w:rFonts w:asciiTheme="minorHAnsi" w:eastAsiaTheme="minorEastAsia" w:hAnsiTheme="minorHAnsi" w:cstheme="minorBidi"/>
          <w:szCs w:val="22"/>
        </w:rPr>
      </w:pPr>
      <w:r>
        <w:t>40</w:t>
      </w:r>
      <w:r>
        <w:rPr>
          <w:snapToGrid w:val="0"/>
        </w:rPr>
        <w:t>.</w:t>
      </w:r>
      <w:r>
        <w:rPr>
          <w:snapToGrid w:val="0"/>
        </w:rPr>
        <w:tab/>
        <w:t>Application</w:t>
      </w:r>
      <w:r>
        <w:tab/>
      </w:r>
      <w:r>
        <w:fldChar w:fldCharType="begin"/>
      </w:r>
      <w:r>
        <w:instrText xml:space="preserve"> PAGEREF _Toc32242334 \h </w:instrText>
      </w:r>
      <w:r>
        <w:fldChar w:fldCharType="separate"/>
      </w:r>
      <w:r>
        <w:t>21</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 of hearing</w:t>
      </w:r>
      <w:r>
        <w:tab/>
      </w:r>
      <w:r>
        <w:fldChar w:fldCharType="begin"/>
      </w:r>
      <w:r>
        <w:instrText xml:space="preserve"> PAGEREF _Toc32242335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 — Guardianship</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Appointment of guardian</w:t>
      </w:r>
    </w:p>
    <w:p>
      <w:pPr>
        <w:pStyle w:val="TOC8"/>
        <w:rPr>
          <w:rFonts w:asciiTheme="minorHAnsi" w:eastAsiaTheme="minorEastAsia" w:hAnsiTheme="minorHAnsi" w:cstheme="minorBidi"/>
          <w:szCs w:val="22"/>
        </w:rPr>
      </w:pPr>
      <w:r>
        <w:t>43</w:t>
      </w:r>
      <w:r>
        <w:rPr>
          <w:snapToGrid w:val="0"/>
        </w:rPr>
        <w:t>.</w:t>
      </w:r>
      <w:r>
        <w:rPr>
          <w:snapToGrid w:val="0"/>
        </w:rPr>
        <w:tab/>
        <w:t>Making of guardianship order</w:t>
      </w:r>
      <w:r>
        <w:tab/>
      </w:r>
      <w:r>
        <w:fldChar w:fldCharType="begin"/>
      </w:r>
      <w:r>
        <w:instrText xml:space="preserve"> PAGEREF _Toc32242338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Who may be appointed guardian</w:t>
      </w:r>
      <w:r>
        <w:tab/>
      </w:r>
      <w:r>
        <w:fldChar w:fldCharType="begin"/>
      </w:r>
      <w:r>
        <w:instrText xml:space="preserve"> PAGEREF _Toc32242339 \h </w:instrText>
      </w:r>
      <w:r>
        <w:fldChar w:fldCharType="separate"/>
      </w:r>
      <w:r>
        <w:t>26</w:t>
      </w:r>
      <w:r>
        <w:fldChar w:fldCharType="end"/>
      </w:r>
    </w:p>
    <w:p>
      <w:pPr>
        <w:pStyle w:val="TOC8"/>
        <w:rPr>
          <w:rFonts w:asciiTheme="minorHAnsi" w:eastAsiaTheme="minorEastAsia" w:hAnsiTheme="minorHAnsi" w:cstheme="minorBidi"/>
          <w:szCs w:val="22"/>
        </w:rPr>
      </w:pPr>
      <w:r>
        <w:t>44A</w:t>
      </w:r>
      <w:r>
        <w:rPr>
          <w:snapToGrid w:val="0"/>
        </w:rPr>
        <w:t xml:space="preserve">. </w:t>
      </w:r>
      <w:r>
        <w:rPr>
          <w:snapToGrid w:val="0"/>
        </w:rPr>
        <w:tab/>
        <w:t>Interstate arrangements for guardianship orders</w:t>
      </w:r>
      <w:r>
        <w:tab/>
      </w:r>
      <w:r>
        <w:fldChar w:fldCharType="begin"/>
      </w:r>
      <w:r>
        <w:instrText xml:space="preserve"> PAGEREF _Toc32242340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guardians</w:t>
      </w:r>
    </w:p>
    <w:p>
      <w:pPr>
        <w:pStyle w:val="TOC8"/>
        <w:rPr>
          <w:rFonts w:asciiTheme="minorHAnsi" w:eastAsiaTheme="minorEastAsia" w:hAnsiTheme="minorHAnsi" w:cstheme="minorBidi"/>
          <w:szCs w:val="22"/>
        </w:rPr>
      </w:pPr>
      <w:r>
        <w:t>45</w:t>
      </w:r>
      <w:r>
        <w:rPr>
          <w:snapToGrid w:val="0"/>
        </w:rPr>
        <w:t>.</w:t>
      </w:r>
      <w:r>
        <w:rPr>
          <w:snapToGrid w:val="0"/>
        </w:rPr>
        <w:tab/>
        <w:t>Authority of plenary guardian</w:t>
      </w:r>
      <w:r>
        <w:tab/>
      </w:r>
      <w:r>
        <w:fldChar w:fldCharType="begin"/>
      </w:r>
      <w:r>
        <w:instrText xml:space="preserve"> PAGEREF _Toc32242342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Authority of limited guardian</w:t>
      </w:r>
      <w:r>
        <w:tab/>
      </w:r>
      <w:r>
        <w:fldChar w:fldCharType="begin"/>
      </w:r>
      <w:r>
        <w:instrText xml:space="preserve"> PAGEREF _Toc32242343 \h </w:instrText>
      </w:r>
      <w:r>
        <w:fldChar w:fldCharType="separate"/>
      </w:r>
      <w:r>
        <w:t>30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Guardian may apply for directions</w:t>
      </w:r>
      <w:r>
        <w:tab/>
      </w:r>
      <w:r>
        <w:fldChar w:fldCharType="begin"/>
      </w:r>
      <w:r>
        <w:instrText xml:space="preserve"> PAGEREF _Toc32242344 \h </w:instrText>
      </w:r>
      <w:r>
        <w:fldChar w:fldCharType="separate"/>
      </w:r>
      <w:r>
        <w:t>30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Guardian may execute documents etc.</w:t>
      </w:r>
      <w:r>
        <w:tab/>
      </w:r>
      <w:r>
        <w:fldChar w:fldCharType="begin"/>
      </w:r>
      <w:r>
        <w:instrText xml:space="preserve"> PAGEREF _Toc32242345 \h </w:instrText>
      </w:r>
      <w:r>
        <w:fldChar w:fldCharType="separate"/>
      </w:r>
      <w:r>
        <w:t>30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Guardian may obtain warrant to enter</w:t>
      </w:r>
      <w:r>
        <w:tab/>
      </w:r>
      <w:r>
        <w:fldChar w:fldCharType="begin"/>
      </w:r>
      <w:r>
        <w:instrText xml:space="preserve"> PAGEREF _Toc32242346 \h </w:instrText>
      </w:r>
      <w:r>
        <w:fldChar w:fldCharType="separate"/>
      </w:r>
      <w:r>
        <w:t>31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Effect of actions etc. of guardian</w:t>
      </w:r>
      <w:r>
        <w:tab/>
      </w:r>
      <w:r>
        <w:fldChar w:fldCharType="begin"/>
      </w:r>
      <w:r>
        <w:instrText xml:space="preserve"> PAGEREF _Toc32242347 \h </w:instrText>
      </w:r>
      <w:r>
        <w:fldChar w:fldCharType="separate"/>
      </w:r>
      <w:r>
        <w:t>31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Guardian to act in best interests of represented person</w:t>
      </w:r>
      <w:r>
        <w:tab/>
      </w:r>
      <w:r>
        <w:fldChar w:fldCharType="begin"/>
      </w:r>
      <w:r>
        <w:instrText xml:space="preserve"> PAGEREF _Toc32242348 \h </w:instrText>
      </w:r>
      <w:r>
        <w:fldChar w:fldCharType="separate"/>
      </w:r>
      <w:r>
        <w:t>32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Guardians to act unanimously</w:t>
      </w:r>
      <w:r>
        <w:tab/>
      </w:r>
      <w:r>
        <w:fldChar w:fldCharType="begin"/>
      </w:r>
      <w:r>
        <w:instrText xml:space="preserve"> PAGEREF _Toc32242349 \h </w:instrText>
      </w:r>
      <w:r>
        <w:fldChar w:fldCharType="separate"/>
      </w:r>
      <w:r>
        <w:t>33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Death of joint guardian</w:t>
      </w:r>
      <w:r>
        <w:tab/>
      </w:r>
      <w:r>
        <w:fldChar w:fldCharType="begin"/>
      </w:r>
      <w:r>
        <w:instrText xml:space="preserve"> PAGEREF _Toc32242350 \h </w:instrText>
      </w:r>
      <w:r>
        <w:fldChar w:fldCharType="separate"/>
      </w:r>
      <w:r>
        <w:t>33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Alternate guardian to take over on death of guardian</w:t>
      </w:r>
      <w:r>
        <w:tab/>
      </w:r>
      <w:r>
        <w:fldChar w:fldCharType="begin"/>
      </w:r>
      <w:r>
        <w:instrText xml:space="preserve"> PAGEREF _Toc32242351 \h </w:instrText>
      </w:r>
      <w:r>
        <w:fldChar w:fldCharType="separate"/>
      </w:r>
      <w:r>
        <w:t>33</w:t>
      </w:r>
      <w:r>
        <w:fldChar w:fldCharType="end"/>
      </w:r>
    </w:p>
    <w:p>
      <w:pPr>
        <w:pStyle w:val="TOC8"/>
        <w:rPr>
          <w:rFonts w:asciiTheme="minorHAnsi" w:eastAsiaTheme="minorEastAsia" w:hAnsiTheme="minorHAnsi" w:cstheme="minorBidi"/>
          <w:szCs w:val="22"/>
        </w:rPr>
      </w:pPr>
      <w:r>
        <w:t>55A.</w:t>
      </w:r>
      <w:r>
        <w:tab/>
        <w:t>Priority of guardianship order</w:t>
      </w:r>
      <w:r>
        <w:tab/>
      </w:r>
      <w:r>
        <w:fldChar w:fldCharType="begin"/>
      </w:r>
      <w:r>
        <w:instrText xml:space="preserve"> PAGEREF _Toc32242352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Limitations on sterilisation of persons under guardianship or where application for guardianship made</w:t>
      </w:r>
    </w:p>
    <w:p>
      <w:pPr>
        <w:pStyle w:val="TOC8"/>
        <w:rPr>
          <w:rFonts w:asciiTheme="minorHAnsi" w:eastAsiaTheme="minorEastAsia" w:hAnsiTheme="minorHAnsi" w:cstheme="minorBidi"/>
          <w:szCs w:val="22"/>
        </w:rPr>
      </w:pPr>
      <w:r>
        <w:t>56</w:t>
      </w:r>
      <w:r>
        <w:rPr>
          <w:snapToGrid w:val="0"/>
        </w:rPr>
        <w:t>.</w:t>
      </w:r>
      <w:r>
        <w:rPr>
          <w:snapToGrid w:val="0"/>
        </w:rPr>
        <w:tab/>
        <w:t>Terms used</w:t>
      </w:r>
      <w:r>
        <w:tab/>
      </w:r>
      <w:r>
        <w:fldChar w:fldCharType="begin"/>
      </w:r>
      <w:r>
        <w:instrText xml:space="preserve"> PAGEREF _Toc32242354 \h </w:instrText>
      </w:r>
      <w:r>
        <w:fldChar w:fldCharType="separate"/>
      </w:r>
      <w:r>
        <w:t>34</w:t>
      </w:r>
      <w:r>
        <w:fldChar w:fldCharType="end"/>
      </w:r>
    </w:p>
    <w:p>
      <w:pPr>
        <w:pStyle w:val="TOC8"/>
        <w:rPr>
          <w:rFonts w:asciiTheme="minorHAnsi" w:eastAsiaTheme="minorEastAsia" w:hAnsiTheme="minorHAnsi" w:cstheme="minorBidi"/>
          <w:szCs w:val="22"/>
        </w:rPr>
      </w:pPr>
      <w:r>
        <w:t>56A</w:t>
      </w:r>
      <w:r>
        <w:rPr>
          <w:snapToGrid w:val="0"/>
        </w:rPr>
        <w:t xml:space="preserve">. </w:t>
      </w:r>
      <w:r>
        <w:rPr>
          <w:snapToGrid w:val="0"/>
        </w:rPr>
        <w:tab/>
        <w:t>Only Full Tribunal to act under this Division</w:t>
      </w:r>
      <w:r>
        <w:tab/>
      </w:r>
      <w:r>
        <w:fldChar w:fldCharType="begin"/>
      </w:r>
      <w:r>
        <w:instrText xml:space="preserve"> PAGEREF _Toc32242355 \h </w:instrText>
      </w:r>
      <w:r>
        <w:fldChar w:fldCharType="separate"/>
      </w:r>
      <w:r>
        <w:t>34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Prerequisites for sterilisation of persons to whom this Division applies</w:t>
      </w:r>
      <w:r>
        <w:tab/>
      </w:r>
      <w:r>
        <w:fldChar w:fldCharType="begin"/>
      </w:r>
      <w:r>
        <w:instrText xml:space="preserve"> PAGEREF _Toc32242356 \h </w:instrText>
      </w:r>
      <w:r>
        <w:fldChar w:fldCharType="separate"/>
      </w:r>
      <w:r>
        <w:t>34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Restriction on guardian’s consent</w:t>
      </w:r>
      <w:r>
        <w:tab/>
      </w:r>
      <w:r>
        <w:fldChar w:fldCharType="begin"/>
      </w:r>
      <w:r>
        <w:instrText xml:space="preserve"> PAGEREF _Toc32242357 \h </w:instrText>
      </w:r>
      <w:r>
        <w:fldChar w:fldCharType="separate"/>
      </w:r>
      <w:r>
        <w:t>35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Application for consent</w:t>
      </w:r>
      <w:r>
        <w:tab/>
      </w:r>
      <w:r>
        <w:fldChar w:fldCharType="begin"/>
      </w:r>
      <w:r>
        <w:instrText xml:space="preserve"> PAGEREF _Toc32242358 \h </w:instrText>
      </w:r>
      <w:r>
        <w:fldChar w:fldCharType="separate"/>
      </w:r>
      <w:r>
        <w:t>36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Notice of hearing</w:t>
      </w:r>
      <w:r>
        <w:tab/>
      </w:r>
      <w:r>
        <w:fldChar w:fldCharType="begin"/>
      </w:r>
      <w:r>
        <w:instrText xml:space="preserve"> PAGEREF _Toc32242359 \h </w:instrText>
      </w:r>
      <w:r>
        <w:fldChar w:fldCharType="separate"/>
      </w:r>
      <w:r>
        <w:t>36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State Administrative Tribunal may consent if in best interests of represented person</w:t>
      </w:r>
      <w:r>
        <w:tab/>
      </w:r>
      <w:r>
        <w:fldChar w:fldCharType="begin"/>
      </w:r>
      <w:r>
        <w:instrText xml:space="preserve"> PAGEREF _Toc32242360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6 — Estate administration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Appointment of administrator</w:t>
      </w:r>
    </w:p>
    <w:p>
      <w:pPr>
        <w:pStyle w:val="TOC8"/>
        <w:rPr>
          <w:rFonts w:asciiTheme="minorHAnsi" w:eastAsiaTheme="minorEastAsia" w:hAnsiTheme="minorHAnsi" w:cstheme="minorBidi"/>
          <w:szCs w:val="22"/>
        </w:rPr>
      </w:pPr>
      <w:r>
        <w:t>64</w:t>
      </w:r>
      <w:r>
        <w:rPr>
          <w:snapToGrid w:val="0"/>
        </w:rPr>
        <w:t>.</w:t>
      </w:r>
      <w:r>
        <w:rPr>
          <w:snapToGrid w:val="0"/>
        </w:rPr>
        <w:tab/>
        <w:t>Making of administration order</w:t>
      </w:r>
      <w:r>
        <w:tab/>
      </w:r>
      <w:r>
        <w:fldChar w:fldCharType="begin"/>
      </w:r>
      <w:r>
        <w:instrText xml:space="preserve"> PAGEREF _Toc32242363 \h </w:instrText>
      </w:r>
      <w:r>
        <w:fldChar w:fldCharType="separate"/>
      </w:r>
      <w:r>
        <w:t>38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Emergency provision</w:t>
      </w:r>
      <w:r>
        <w:tab/>
      </w:r>
      <w:r>
        <w:fldChar w:fldCharType="begin"/>
      </w:r>
      <w:r>
        <w:instrText xml:space="preserve"> PAGEREF _Toc32242364 \h </w:instrText>
      </w:r>
      <w:r>
        <w:fldChar w:fldCharType="separate"/>
      </w:r>
      <w:r>
        <w:t>39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Acts may be authorised without administration order</w:t>
      </w:r>
      <w:r>
        <w:tab/>
      </w:r>
      <w:r>
        <w:fldChar w:fldCharType="begin"/>
      </w:r>
      <w:r>
        <w:instrText xml:space="preserve"> PAGEREF _Toc32242365 \h </w:instrText>
      </w:r>
      <w:r>
        <w:fldChar w:fldCharType="separate"/>
      </w:r>
      <w:r>
        <w:t>39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Non</w:t>
      </w:r>
      <w:r>
        <w:rPr>
          <w:snapToGrid w:val="0"/>
        </w:rPr>
        <w:noBreakHyphen/>
        <w:t>residents etc.</w:t>
      </w:r>
      <w:r>
        <w:tab/>
      </w:r>
      <w:r>
        <w:fldChar w:fldCharType="begin"/>
      </w:r>
      <w:r>
        <w:instrText xml:space="preserve"> PAGEREF _Toc32242366 \h </w:instrText>
      </w:r>
      <w:r>
        <w:fldChar w:fldCharType="separate"/>
      </w:r>
      <w:r>
        <w:t>40</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Who may be appointed administrator</w:t>
      </w:r>
      <w:r>
        <w:tab/>
      </w:r>
      <w:r>
        <w:fldChar w:fldCharType="begin"/>
      </w:r>
      <w:r>
        <w:instrText xml:space="preserve"> PAGEREF _Toc32242367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administrators</w:t>
      </w:r>
    </w:p>
    <w:p>
      <w:pPr>
        <w:pStyle w:val="TOC8"/>
        <w:rPr>
          <w:rFonts w:asciiTheme="minorHAnsi" w:eastAsiaTheme="minorEastAsia" w:hAnsiTheme="minorHAnsi" w:cstheme="minorBidi"/>
          <w:szCs w:val="22"/>
        </w:rPr>
      </w:pPr>
      <w:r>
        <w:t>69</w:t>
      </w:r>
      <w:r>
        <w:rPr>
          <w:snapToGrid w:val="0"/>
        </w:rPr>
        <w:t>.</w:t>
      </w:r>
      <w:r>
        <w:rPr>
          <w:snapToGrid w:val="0"/>
        </w:rPr>
        <w:tab/>
        <w:t>Authority of administrator</w:t>
      </w:r>
      <w:r>
        <w:tab/>
      </w:r>
      <w:r>
        <w:fldChar w:fldCharType="begin"/>
      </w:r>
      <w:r>
        <w:instrText xml:space="preserve"> PAGEREF _Toc32242369 \h </w:instrText>
      </w:r>
      <w:r>
        <w:fldChar w:fldCharType="separate"/>
      </w:r>
      <w:r>
        <w:t>42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Administrator to act in best interests of represented person</w:t>
      </w:r>
      <w:r>
        <w:tab/>
      </w:r>
      <w:r>
        <w:fldChar w:fldCharType="begin"/>
      </w:r>
      <w:r>
        <w:instrText xml:space="preserve"> PAGEREF _Toc32242370 \h </w:instrText>
      </w:r>
      <w:r>
        <w:fldChar w:fldCharType="separate"/>
      </w:r>
      <w:r>
        <w:t>43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Authority which may be conferred on administrator</w:t>
      </w:r>
      <w:r>
        <w:tab/>
      </w:r>
      <w:r>
        <w:fldChar w:fldCharType="begin"/>
      </w:r>
      <w:r>
        <w:instrText xml:space="preserve"> PAGEREF _Toc32242371 \h </w:instrText>
      </w:r>
      <w:r>
        <w:fldChar w:fldCharType="separate"/>
      </w:r>
      <w:r>
        <w:t>44</w:t>
      </w:r>
      <w:r>
        <w:fldChar w:fldCharType="end"/>
      </w:r>
    </w:p>
    <w:p>
      <w:pPr>
        <w:pStyle w:val="TOC8"/>
        <w:rPr>
          <w:rFonts w:asciiTheme="minorHAnsi" w:eastAsiaTheme="minorEastAsia" w:hAnsiTheme="minorHAnsi" w:cstheme="minorBidi"/>
          <w:szCs w:val="22"/>
        </w:rPr>
      </w:pPr>
      <w:r>
        <w:t>71A</w:t>
      </w:r>
      <w:r>
        <w:rPr>
          <w:snapToGrid w:val="0"/>
        </w:rPr>
        <w:t>.</w:t>
      </w:r>
      <w:r>
        <w:rPr>
          <w:snapToGrid w:val="0"/>
        </w:rPr>
        <w:tab/>
        <w:t>Amendment of order to confer particular function</w:t>
      </w:r>
      <w:r>
        <w:tab/>
      </w:r>
      <w:r>
        <w:fldChar w:fldCharType="begin"/>
      </w:r>
      <w:r>
        <w:instrText xml:space="preserve"> PAGEREF _Toc32242372 \h </w:instrText>
      </w:r>
      <w:r>
        <w:fldChar w:fldCharType="separate"/>
      </w:r>
      <w:r>
        <w:t>45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Further provisions as to authority of administrators</w:t>
      </w:r>
      <w:r>
        <w:tab/>
      </w:r>
      <w:r>
        <w:fldChar w:fldCharType="begin"/>
      </w:r>
      <w:r>
        <w:instrText xml:space="preserve"> PAGEREF _Toc32242373 \h </w:instrText>
      </w:r>
      <w:r>
        <w:fldChar w:fldCharType="separate"/>
      </w:r>
      <w:r>
        <w:t>45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Administrator may apply for directions</w:t>
      </w:r>
      <w:r>
        <w:tab/>
      </w:r>
      <w:r>
        <w:fldChar w:fldCharType="begin"/>
      </w:r>
      <w:r>
        <w:instrText xml:space="preserve"> PAGEREF _Toc32242374 \h </w:instrText>
      </w:r>
      <w:r>
        <w:fldChar w:fldCharType="separate"/>
      </w:r>
      <w:r>
        <w:t>46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Administrators to act unanimously</w:t>
      </w:r>
      <w:r>
        <w:tab/>
      </w:r>
      <w:r>
        <w:fldChar w:fldCharType="begin"/>
      </w:r>
      <w:r>
        <w:instrText xml:space="preserve"> PAGEREF _Toc32242375 \h </w:instrText>
      </w:r>
      <w:r>
        <w:fldChar w:fldCharType="separate"/>
      </w:r>
      <w:r>
        <w:t>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Administrator may employ agents</w:t>
      </w:r>
      <w:r>
        <w:tab/>
      </w:r>
      <w:r>
        <w:fldChar w:fldCharType="begin"/>
      </w:r>
      <w:r>
        <w:instrText xml:space="preserve"> PAGEREF _Toc32242376 \h </w:instrText>
      </w:r>
      <w:r>
        <w:fldChar w:fldCharType="separate"/>
      </w:r>
      <w:r>
        <w:t>47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Represented person incapable of dealing with estate</w:t>
      </w:r>
      <w:r>
        <w:tab/>
      </w:r>
      <w:r>
        <w:fldChar w:fldCharType="begin"/>
      </w:r>
      <w:r>
        <w:instrText xml:space="preserve"> PAGEREF _Toc32242377 \h </w:instrText>
      </w:r>
      <w:r>
        <w:fldChar w:fldCharType="separate"/>
      </w:r>
      <w:r>
        <w:t>47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Cessation of authority of administrator</w:t>
      </w:r>
      <w:r>
        <w:tab/>
      </w:r>
      <w:r>
        <w:fldChar w:fldCharType="begin"/>
      </w:r>
      <w:r>
        <w:instrText xml:space="preserve"> PAGEREF _Toc32242378 \h </w:instrText>
      </w:r>
      <w:r>
        <w:fldChar w:fldCharType="separate"/>
      </w:r>
      <w:r>
        <w:t>48</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Represented person bound by acts of administrator</w:t>
      </w:r>
      <w:r>
        <w:tab/>
      </w:r>
      <w:r>
        <w:fldChar w:fldCharType="begin"/>
      </w:r>
      <w:r>
        <w:instrText xml:space="preserve"> PAGEREF _Toc32242379 \h </w:instrText>
      </w:r>
      <w:r>
        <w:fldChar w:fldCharType="separate"/>
      </w:r>
      <w:r>
        <w:t>49</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Accounts</w:t>
      </w:r>
      <w:r>
        <w:tab/>
      </w:r>
      <w:r>
        <w:fldChar w:fldCharType="begin"/>
      </w:r>
      <w:r>
        <w:instrText xml:space="preserve"> PAGEREF _Toc32242380 \h </w:instrText>
      </w:r>
      <w:r>
        <w:fldChar w:fldCharType="separate"/>
      </w:r>
      <w:r>
        <w:t>49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Enforcement of security</w:t>
      </w:r>
      <w:r>
        <w:tab/>
      </w:r>
      <w:r>
        <w:fldChar w:fldCharType="begin"/>
      </w:r>
      <w:r>
        <w:instrText xml:space="preserve"> PAGEREF _Toc32242381 \h </w:instrText>
      </w:r>
      <w:r>
        <w:fldChar w:fldCharType="separate"/>
      </w:r>
      <w:r>
        <w:t>50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Transactions may be set aside</w:t>
      </w:r>
      <w:r>
        <w:tab/>
      </w:r>
      <w:r>
        <w:fldChar w:fldCharType="begin"/>
      </w:r>
      <w:r>
        <w:instrText xml:space="preserve"> PAGEREF _Toc32242382 \h </w:instrText>
      </w:r>
      <w:r>
        <w:fldChar w:fldCharType="separate"/>
      </w:r>
      <w:r>
        <w:t>51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Saving for certain rules of court</w:t>
      </w:r>
      <w:r>
        <w:tab/>
      </w:r>
      <w:r>
        <w:fldChar w:fldCharType="begin"/>
      </w:r>
      <w:r>
        <w:instrText xml:space="preserve"> PAGEREF _Toc32242383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Interjurisdictional arrangements in relation to administration powers</w:t>
      </w:r>
    </w:p>
    <w:p>
      <w:pPr>
        <w:pStyle w:val="TOC8"/>
        <w:rPr>
          <w:rFonts w:asciiTheme="minorHAnsi" w:eastAsiaTheme="minorEastAsia" w:hAnsiTheme="minorHAnsi" w:cstheme="minorBidi"/>
          <w:szCs w:val="22"/>
        </w:rPr>
      </w:pPr>
      <w:r>
        <w:t>83A</w:t>
      </w:r>
      <w:r>
        <w:rPr>
          <w:snapToGrid w:val="0"/>
        </w:rPr>
        <w:t>.</w:t>
      </w:r>
      <w:r>
        <w:rPr>
          <w:snapToGrid w:val="0"/>
        </w:rPr>
        <w:tab/>
        <w:t>Reciprocating States</w:t>
      </w:r>
      <w:r>
        <w:tab/>
      </w:r>
      <w:r>
        <w:fldChar w:fldCharType="begin"/>
      </w:r>
      <w:r>
        <w:instrText xml:space="preserve"> PAGEREF _Toc32242385 \h </w:instrText>
      </w:r>
      <w:r>
        <w:fldChar w:fldCharType="separate"/>
      </w:r>
      <w:r>
        <w:t>52</w:t>
      </w:r>
      <w:r>
        <w:fldChar w:fldCharType="end"/>
      </w:r>
    </w:p>
    <w:p>
      <w:pPr>
        <w:pStyle w:val="TOC8"/>
        <w:rPr>
          <w:rFonts w:asciiTheme="minorHAnsi" w:eastAsiaTheme="minorEastAsia" w:hAnsiTheme="minorHAnsi" w:cstheme="minorBidi"/>
          <w:szCs w:val="22"/>
        </w:rPr>
      </w:pPr>
      <w:r>
        <w:t>83B</w:t>
      </w:r>
      <w:r>
        <w:rPr>
          <w:snapToGrid w:val="0"/>
        </w:rPr>
        <w:t>.</w:t>
      </w:r>
      <w:r>
        <w:rPr>
          <w:snapToGrid w:val="0"/>
        </w:rPr>
        <w:tab/>
        <w:t>Foreign administrator may authorise Public Trustee to administer property in this State</w:t>
      </w:r>
      <w:r>
        <w:tab/>
      </w:r>
      <w:r>
        <w:fldChar w:fldCharType="begin"/>
      </w:r>
      <w:r>
        <w:instrText xml:space="preserve"> PAGEREF _Toc32242386 \h </w:instrText>
      </w:r>
      <w:r>
        <w:fldChar w:fldCharType="separate"/>
      </w:r>
      <w:r>
        <w:t>52</w:t>
      </w:r>
      <w:r>
        <w:fldChar w:fldCharType="end"/>
      </w:r>
    </w:p>
    <w:p>
      <w:pPr>
        <w:pStyle w:val="TOC8"/>
        <w:rPr>
          <w:rFonts w:asciiTheme="minorHAnsi" w:eastAsiaTheme="minorEastAsia" w:hAnsiTheme="minorHAnsi" w:cstheme="minorBidi"/>
          <w:szCs w:val="22"/>
        </w:rPr>
      </w:pPr>
      <w:r>
        <w:t>83C</w:t>
      </w:r>
      <w:r>
        <w:rPr>
          <w:snapToGrid w:val="0"/>
        </w:rPr>
        <w:t>.</w:t>
      </w:r>
      <w:r>
        <w:rPr>
          <w:snapToGrid w:val="0"/>
        </w:rPr>
        <w:tab/>
        <w:t>Administrator may authorise relevant official to administer property in reciprocating State</w:t>
      </w:r>
      <w:r>
        <w:tab/>
      </w:r>
      <w:r>
        <w:fldChar w:fldCharType="begin"/>
      </w:r>
      <w:r>
        <w:instrText xml:space="preserve"> PAGEREF _Toc32242387 \h </w:instrText>
      </w:r>
      <w:r>
        <w:fldChar w:fldCharType="separate"/>
      </w:r>
      <w:r>
        <w:t>53</w:t>
      </w:r>
      <w:r>
        <w:fldChar w:fldCharType="end"/>
      </w:r>
    </w:p>
    <w:p>
      <w:pPr>
        <w:pStyle w:val="TOC8"/>
        <w:rPr>
          <w:rFonts w:asciiTheme="minorHAnsi" w:eastAsiaTheme="minorEastAsia" w:hAnsiTheme="minorHAnsi" w:cstheme="minorBidi"/>
          <w:szCs w:val="22"/>
        </w:rPr>
      </w:pPr>
      <w:r>
        <w:t>83D</w:t>
      </w:r>
      <w:r>
        <w:rPr>
          <w:snapToGrid w:val="0"/>
        </w:rPr>
        <w:t>.</w:t>
      </w:r>
      <w:r>
        <w:rPr>
          <w:snapToGrid w:val="0"/>
        </w:rPr>
        <w:tab/>
        <w:t>Interstate arrangements for recognition of administration orders</w:t>
      </w:r>
      <w:r>
        <w:tab/>
      </w:r>
      <w:r>
        <w:fldChar w:fldCharType="begin"/>
      </w:r>
      <w:r>
        <w:instrText xml:space="preserve"> PAGEREF _Toc32242388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7 — Review of orders</w:t>
      </w:r>
    </w:p>
    <w:p>
      <w:pPr>
        <w:pStyle w:val="TOC8"/>
        <w:rPr>
          <w:rFonts w:asciiTheme="minorHAnsi" w:eastAsiaTheme="minorEastAsia" w:hAnsiTheme="minorHAnsi" w:cstheme="minorBidi"/>
          <w:szCs w:val="22"/>
        </w:rPr>
      </w:pPr>
      <w:r>
        <w:t>84</w:t>
      </w:r>
      <w:r>
        <w:rPr>
          <w:snapToGrid w:val="0"/>
        </w:rPr>
        <w:t>.</w:t>
      </w:r>
      <w:r>
        <w:rPr>
          <w:snapToGrid w:val="0"/>
        </w:rPr>
        <w:tab/>
        <w:t>State Administrative Tribunal to review orders periodically</w:t>
      </w:r>
      <w:r>
        <w:tab/>
      </w:r>
      <w:r>
        <w:fldChar w:fldCharType="begin"/>
      </w:r>
      <w:r>
        <w:instrText xml:space="preserve"> PAGEREF _Toc32242390 \h </w:instrText>
      </w:r>
      <w:r>
        <w:fldChar w:fldCharType="separate"/>
      </w:r>
      <w:r>
        <w:t>55</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Circumstances in which review mandatory</w:t>
      </w:r>
      <w:r>
        <w:tab/>
      </w:r>
      <w:r>
        <w:fldChar w:fldCharType="begin"/>
      </w:r>
      <w:r>
        <w:instrText xml:space="preserve"> PAGEREF _Toc32242391 \h </w:instrText>
      </w:r>
      <w:r>
        <w:fldChar w:fldCharType="separate"/>
      </w:r>
      <w:r>
        <w:t>55</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Review on application</w:t>
      </w:r>
      <w:r>
        <w:tab/>
      </w:r>
      <w:r>
        <w:fldChar w:fldCharType="begin"/>
      </w:r>
      <w:r>
        <w:instrText xml:space="preserve"> PAGEREF _Toc32242392 \h </w:instrText>
      </w:r>
      <w:r>
        <w:fldChar w:fldCharType="separate"/>
      </w:r>
      <w:r>
        <w:t>56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Leave to apply for review</w:t>
      </w:r>
      <w:r>
        <w:tab/>
      </w:r>
      <w:r>
        <w:fldChar w:fldCharType="begin"/>
      </w:r>
      <w:r>
        <w:instrText xml:space="preserve"> PAGEREF _Toc32242393 \h </w:instrText>
      </w:r>
      <w:r>
        <w:fldChar w:fldCharType="separate"/>
      </w:r>
      <w:r>
        <w:t>57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Application for review</w:t>
      </w:r>
      <w:r>
        <w:tab/>
      </w:r>
      <w:r>
        <w:fldChar w:fldCharType="begin"/>
      </w:r>
      <w:r>
        <w:instrText xml:space="preserve"> PAGEREF _Toc32242394 \h </w:instrText>
      </w:r>
      <w:r>
        <w:fldChar w:fldCharType="separate"/>
      </w:r>
      <w:r>
        <w:t>57</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Notice of review</w:t>
      </w:r>
      <w:r>
        <w:tab/>
      </w:r>
      <w:r>
        <w:fldChar w:fldCharType="begin"/>
      </w:r>
      <w:r>
        <w:instrText xml:space="preserve"> PAGEREF _Toc32242395 \h </w:instrText>
      </w:r>
      <w:r>
        <w:fldChar w:fldCharType="separate"/>
      </w:r>
      <w:r>
        <w:t>57</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Powers of State Administrative Tribunal on review</w:t>
      </w:r>
      <w:r>
        <w:tab/>
      </w:r>
      <w:r>
        <w:fldChar w:fldCharType="begin"/>
      </w:r>
      <w:r>
        <w:instrText xml:space="preserve"> PAGEREF _Toc32242396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8 — The Public Advocate</w:t>
      </w:r>
    </w:p>
    <w:p>
      <w:pPr>
        <w:pStyle w:val="TOC8"/>
        <w:rPr>
          <w:rFonts w:asciiTheme="minorHAnsi" w:eastAsiaTheme="minorEastAsia" w:hAnsiTheme="minorHAnsi" w:cstheme="minorBidi"/>
          <w:szCs w:val="22"/>
        </w:rPr>
      </w:pPr>
      <w:r>
        <w:t>91</w:t>
      </w:r>
      <w:r>
        <w:rPr>
          <w:snapToGrid w:val="0"/>
        </w:rPr>
        <w:t>.</w:t>
      </w:r>
      <w:r>
        <w:rPr>
          <w:snapToGrid w:val="0"/>
        </w:rPr>
        <w:tab/>
        <w:t>Public Advocate</w:t>
      </w:r>
      <w:r>
        <w:tab/>
      </w:r>
      <w:r>
        <w:fldChar w:fldCharType="begin"/>
      </w:r>
      <w:r>
        <w:instrText xml:space="preserve"> PAGEREF _Toc32242398 \h </w:instrText>
      </w:r>
      <w:r>
        <w:fldChar w:fldCharType="separate"/>
      </w:r>
      <w:r>
        <w:t>60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Resignation, removal etc.</w:t>
      </w:r>
      <w:r>
        <w:tab/>
      </w:r>
      <w:r>
        <w:fldChar w:fldCharType="begin"/>
      </w:r>
      <w:r>
        <w:instrText xml:space="preserve"> PAGEREF _Toc32242399 \h </w:instrText>
      </w:r>
      <w:r>
        <w:fldChar w:fldCharType="separate"/>
      </w:r>
      <w:r>
        <w:t>60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Acting Public Advocate</w:t>
      </w:r>
      <w:r>
        <w:tab/>
      </w:r>
      <w:r>
        <w:fldChar w:fldCharType="begin"/>
      </w:r>
      <w:r>
        <w:instrText xml:space="preserve"> PAGEREF _Toc32242400 \h </w:instrText>
      </w:r>
      <w:r>
        <w:fldChar w:fldCharType="separate"/>
      </w:r>
      <w:r>
        <w:t>61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Staff</w:t>
      </w:r>
      <w:r>
        <w:tab/>
      </w:r>
      <w:r>
        <w:fldChar w:fldCharType="begin"/>
      </w:r>
      <w:r>
        <w:instrText xml:space="preserve"> PAGEREF _Toc32242401 \h </w:instrText>
      </w:r>
      <w:r>
        <w:fldChar w:fldCharType="separate"/>
      </w:r>
      <w:r>
        <w:t>62</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Powers of delegation</w:t>
      </w:r>
      <w:r>
        <w:tab/>
      </w:r>
      <w:r>
        <w:fldChar w:fldCharType="begin"/>
      </w:r>
      <w:r>
        <w:instrText xml:space="preserve"> PAGEREF _Toc32242402 \h </w:instrText>
      </w:r>
      <w:r>
        <w:fldChar w:fldCharType="separate"/>
      </w:r>
      <w:r>
        <w:t>62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Existing rights etc.</w:t>
      </w:r>
      <w:r>
        <w:tab/>
      </w:r>
      <w:r>
        <w:fldChar w:fldCharType="begin"/>
      </w:r>
      <w:r>
        <w:instrText xml:space="preserve"> PAGEREF _Toc32242403 \h </w:instrText>
      </w:r>
      <w:r>
        <w:fldChar w:fldCharType="separate"/>
      </w:r>
      <w:r>
        <w:t>63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Functions of Public Advocate</w:t>
      </w:r>
      <w:r>
        <w:tab/>
      </w:r>
      <w:r>
        <w:fldChar w:fldCharType="begin"/>
      </w:r>
      <w:r>
        <w:instrText xml:space="preserve"> PAGEREF _Toc32242404 \h </w:instrText>
      </w:r>
      <w:r>
        <w:fldChar w:fldCharType="separate"/>
      </w:r>
      <w:r>
        <w:t>63</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Notification to Public Advocate as to mentally impaired accused</w:t>
      </w:r>
      <w:r>
        <w:tab/>
      </w:r>
      <w:r>
        <w:fldChar w:fldCharType="begin"/>
      </w:r>
      <w:r>
        <w:instrText xml:space="preserve"> PAGEREF _Toc32242405 \h </w:instrText>
      </w:r>
      <w:r>
        <w:fldChar w:fldCharType="separate"/>
      </w:r>
      <w:r>
        <w:t>65</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Public Advocate to act on death of guardian or administrator</w:t>
      </w:r>
      <w:r>
        <w:tab/>
      </w:r>
      <w:r>
        <w:fldChar w:fldCharType="begin"/>
      </w:r>
      <w:r>
        <w:instrText xml:space="preserve"> PAGEREF _Toc32242406 \h </w:instrText>
      </w:r>
      <w:r>
        <w:fldChar w:fldCharType="separate"/>
      </w:r>
      <w:r>
        <w:t>65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Judicial notice</w:t>
      </w:r>
      <w:r>
        <w:tab/>
      </w:r>
      <w:r>
        <w:fldChar w:fldCharType="begin"/>
      </w:r>
      <w:r>
        <w:instrText xml:space="preserve"> PAGEREF _Toc32242407 \h </w:instrText>
      </w:r>
      <w:r>
        <w:fldChar w:fldCharType="separate"/>
      </w:r>
      <w:r>
        <w:t>66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Annual report of Public Advocate</w:t>
      </w:r>
      <w:r>
        <w:tab/>
      </w:r>
      <w:r>
        <w:fldChar w:fldCharType="begin"/>
      </w:r>
      <w:r>
        <w:instrText xml:space="preserve"> PAGEREF _Toc32242408 \h </w:instrText>
      </w:r>
      <w:r>
        <w:fldChar w:fldCharType="separate"/>
      </w:r>
      <w:r>
        <w:t>66</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Public Advocate may raise matters with Minister</w:t>
      </w:r>
      <w:r>
        <w:tab/>
      </w:r>
      <w:r>
        <w:fldChar w:fldCharType="begin"/>
      </w:r>
      <w:r>
        <w:instrText xml:space="preserve"> PAGEREF _Toc32242409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9 — Enduring powers of attorney</w:t>
      </w:r>
    </w:p>
    <w:p>
      <w:pPr>
        <w:pStyle w:val="TOC8"/>
        <w:rPr>
          <w:rFonts w:asciiTheme="minorHAnsi" w:eastAsiaTheme="minorEastAsia" w:hAnsiTheme="minorHAnsi" w:cstheme="minorBidi"/>
          <w:szCs w:val="22"/>
        </w:rPr>
      </w:pPr>
      <w:r>
        <w:t>102</w:t>
      </w:r>
      <w:r>
        <w:rPr>
          <w:snapToGrid w:val="0"/>
        </w:rPr>
        <w:t>.</w:t>
      </w:r>
      <w:r>
        <w:rPr>
          <w:snapToGrid w:val="0"/>
        </w:rPr>
        <w:tab/>
        <w:t>Terms used</w:t>
      </w:r>
      <w:r>
        <w:tab/>
      </w:r>
      <w:r>
        <w:fldChar w:fldCharType="begin"/>
      </w:r>
      <w:r>
        <w:instrText xml:space="preserve"> PAGEREF _Toc32242411 \h </w:instrText>
      </w:r>
      <w:r>
        <w:fldChar w:fldCharType="separate"/>
      </w:r>
      <w:r>
        <w:t>68</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Other Acts</w:t>
      </w:r>
      <w:r>
        <w:tab/>
      </w:r>
      <w:r>
        <w:fldChar w:fldCharType="begin"/>
      </w:r>
      <w:r>
        <w:instrText xml:space="preserve"> PAGEREF _Toc32242412 \h </w:instrText>
      </w:r>
      <w:r>
        <w:fldChar w:fldCharType="separate"/>
      </w:r>
      <w:r>
        <w:t>68</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Execution of enduring power of attorney</w:t>
      </w:r>
      <w:r>
        <w:tab/>
      </w:r>
      <w:r>
        <w:fldChar w:fldCharType="begin"/>
      </w:r>
      <w:r>
        <w:instrText xml:space="preserve"> PAGEREF _Toc32242413 \h </w:instrText>
      </w:r>
      <w:r>
        <w:fldChar w:fldCharType="separate"/>
      </w:r>
      <w:r>
        <w:t>68</w:t>
      </w:r>
      <w:r>
        <w:fldChar w:fldCharType="end"/>
      </w:r>
    </w:p>
    <w:p>
      <w:pPr>
        <w:pStyle w:val="TOC8"/>
        <w:rPr>
          <w:rFonts w:asciiTheme="minorHAnsi" w:eastAsiaTheme="minorEastAsia" w:hAnsiTheme="minorHAnsi" w:cstheme="minorBidi"/>
          <w:szCs w:val="22"/>
        </w:rPr>
      </w:pPr>
      <w:r>
        <w:t>104A</w:t>
      </w:r>
      <w:r>
        <w:rPr>
          <w:snapToGrid w:val="0"/>
        </w:rPr>
        <w:t>.</w:t>
      </w:r>
      <w:r>
        <w:rPr>
          <w:snapToGrid w:val="0"/>
        </w:rPr>
        <w:tab/>
        <w:t>Recognition of powers of attorney created in other jurisdictions</w:t>
      </w:r>
      <w:r>
        <w:tab/>
      </w:r>
      <w:r>
        <w:fldChar w:fldCharType="begin"/>
      </w:r>
      <w:r>
        <w:instrText xml:space="preserve"> PAGEREF _Toc32242414 \h </w:instrText>
      </w:r>
      <w:r>
        <w:fldChar w:fldCharType="separate"/>
      </w:r>
      <w:r>
        <w:t>70</w:t>
      </w:r>
      <w:r>
        <w:fldChar w:fldCharType="end"/>
      </w:r>
    </w:p>
    <w:p>
      <w:pPr>
        <w:pStyle w:val="TOC8"/>
        <w:rPr>
          <w:rFonts w:asciiTheme="minorHAnsi" w:eastAsiaTheme="minorEastAsia" w:hAnsiTheme="minorHAnsi" w:cstheme="minorBidi"/>
          <w:szCs w:val="22"/>
        </w:rPr>
      </w:pPr>
      <w:r>
        <w:t>104B.</w:t>
      </w:r>
      <w:r>
        <w:tab/>
        <w:t>Substitute donees</w:t>
      </w:r>
      <w:r>
        <w:tab/>
      </w:r>
      <w:r>
        <w:fldChar w:fldCharType="begin"/>
      </w:r>
      <w:r>
        <w:instrText xml:space="preserve"> PAGEREF _Toc32242415 \h </w:instrText>
      </w:r>
      <w:r>
        <w:fldChar w:fldCharType="separate"/>
      </w:r>
      <w:r>
        <w:t>70</w:t>
      </w:r>
      <w:r>
        <w:fldChar w:fldCharType="end"/>
      </w:r>
    </w:p>
    <w:p>
      <w:pPr>
        <w:pStyle w:val="TOC8"/>
        <w:rPr>
          <w:rFonts w:asciiTheme="minorHAnsi" w:eastAsiaTheme="minorEastAsia" w:hAnsiTheme="minorHAnsi" w:cstheme="minorBidi"/>
          <w:szCs w:val="22"/>
        </w:rPr>
      </w:pPr>
      <w:r>
        <w:t>104C.</w:t>
      </w:r>
      <w:r>
        <w:tab/>
        <w:t>Eligibility for appointment as donee or substitute donee</w:t>
      </w:r>
      <w:r>
        <w:tab/>
      </w:r>
      <w:r>
        <w:fldChar w:fldCharType="begin"/>
      </w:r>
      <w:r>
        <w:instrText xml:space="preserve"> PAGEREF _Toc32242416 \h </w:instrText>
      </w:r>
      <w:r>
        <w:fldChar w:fldCharType="separate"/>
      </w:r>
      <w:r>
        <w:t>71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Enduring power of attorney survives incapacity</w:t>
      </w:r>
      <w:r>
        <w:tab/>
      </w:r>
      <w:r>
        <w:fldChar w:fldCharType="begin"/>
      </w:r>
      <w:r>
        <w:instrText xml:space="preserve"> PAGEREF _Toc32242417 \h </w:instrText>
      </w:r>
      <w:r>
        <w:fldChar w:fldCharType="separate"/>
      </w:r>
      <w:r>
        <w:t>71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Donee may apply for declaration of legal incapacity</w:t>
      </w:r>
      <w:r>
        <w:tab/>
      </w:r>
      <w:r>
        <w:fldChar w:fldCharType="begin"/>
      </w:r>
      <w:r>
        <w:instrText xml:space="preserve"> PAGEREF _Toc32242418 \h </w:instrText>
      </w:r>
      <w:r>
        <w:fldChar w:fldCharType="separate"/>
      </w:r>
      <w:r>
        <w:t>71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Obligations of donee</w:t>
      </w:r>
      <w:r>
        <w:tab/>
      </w:r>
      <w:r>
        <w:fldChar w:fldCharType="begin"/>
      </w:r>
      <w:r>
        <w:instrText xml:space="preserve"> PAGEREF _Toc32242419 \h </w:instrText>
      </w:r>
      <w:r>
        <w:fldChar w:fldCharType="separate"/>
      </w:r>
      <w:r>
        <w:t>72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Appointment of administrator</w:t>
      </w:r>
      <w:r>
        <w:tab/>
      </w:r>
      <w:r>
        <w:fldChar w:fldCharType="begin"/>
      </w:r>
      <w:r>
        <w:instrText xml:space="preserve"> PAGEREF _Toc32242420 \h </w:instrText>
      </w:r>
      <w:r>
        <w:fldChar w:fldCharType="separate"/>
      </w:r>
      <w:r>
        <w:t>73</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On application State Administrative Tribunal may intervene</w:t>
      </w:r>
      <w:r>
        <w:tab/>
      </w:r>
      <w:r>
        <w:fldChar w:fldCharType="begin"/>
      </w:r>
      <w:r>
        <w:instrText xml:space="preserve"> PAGEREF _Toc32242421 \h </w:instrText>
      </w:r>
      <w:r>
        <w:fldChar w:fldCharType="separate"/>
      </w:r>
      <w:r>
        <w:t>74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Notice of application</w:t>
      </w:r>
      <w:r>
        <w:tab/>
      </w:r>
      <w:r>
        <w:fldChar w:fldCharType="begin"/>
      </w:r>
      <w:r>
        <w:instrText xml:space="preserve"> PAGEREF _Toc32242422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Enduring powers of guardianship</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110A.</w:t>
      </w:r>
      <w:r>
        <w:tab/>
        <w:t>Term used: appointor</w:t>
      </w:r>
      <w:r>
        <w:tab/>
      </w:r>
      <w:r>
        <w:fldChar w:fldCharType="begin"/>
      </w:r>
      <w:r>
        <w:instrText xml:space="preserve"> PAGEREF _Toc32242425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Making of enduring power of guardianship</w:t>
      </w:r>
    </w:p>
    <w:p>
      <w:pPr>
        <w:pStyle w:val="TOC8"/>
        <w:rPr>
          <w:rFonts w:asciiTheme="minorHAnsi" w:eastAsiaTheme="minorEastAsia" w:hAnsiTheme="minorHAnsi" w:cstheme="minorBidi"/>
          <w:szCs w:val="22"/>
        </w:rPr>
      </w:pPr>
      <w:r>
        <w:t>110B.</w:t>
      </w:r>
      <w:r>
        <w:tab/>
        <w:t>Appointing enduring guardian</w:t>
      </w:r>
      <w:r>
        <w:tab/>
      </w:r>
      <w:r>
        <w:fldChar w:fldCharType="begin"/>
      </w:r>
      <w:r>
        <w:instrText xml:space="preserve"> PAGEREF _Toc32242427 \h </w:instrText>
      </w:r>
      <w:r>
        <w:fldChar w:fldCharType="separate"/>
      </w:r>
      <w:r>
        <w:t>76</w:t>
      </w:r>
      <w:r>
        <w:fldChar w:fldCharType="end"/>
      </w:r>
    </w:p>
    <w:p>
      <w:pPr>
        <w:pStyle w:val="TOC8"/>
        <w:rPr>
          <w:rFonts w:asciiTheme="minorHAnsi" w:eastAsiaTheme="minorEastAsia" w:hAnsiTheme="minorHAnsi" w:cstheme="minorBidi"/>
          <w:szCs w:val="22"/>
        </w:rPr>
      </w:pPr>
      <w:r>
        <w:t>110C.</w:t>
      </w:r>
      <w:r>
        <w:tab/>
        <w:t>Substitute enduring guardians</w:t>
      </w:r>
      <w:r>
        <w:tab/>
      </w:r>
      <w:r>
        <w:fldChar w:fldCharType="begin"/>
      </w:r>
      <w:r>
        <w:instrText xml:space="preserve"> PAGEREF _Toc32242428 \h </w:instrText>
      </w:r>
      <w:r>
        <w:fldChar w:fldCharType="separate"/>
      </w:r>
      <w:r>
        <w:t>76</w:t>
      </w:r>
      <w:r>
        <w:fldChar w:fldCharType="end"/>
      </w:r>
    </w:p>
    <w:p>
      <w:pPr>
        <w:pStyle w:val="TOC8"/>
        <w:rPr>
          <w:rFonts w:asciiTheme="minorHAnsi" w:eastAsiaTheme="minorEastAsia" w:hAnsiTheme="minorHAnsi" w:cstheme="minorBidi"/>
          <w:szCs w:val="22"/>
        </w:rPr>
      </w:pPr>
      <w:r>
        <w:t>110D.</w:t>
      </w:r>
      <w:r>
        <w:tab/>
        <w:t>Who is eligible to be appointed</w:t>
      </w:r>
      <w:r>
        <w:tab/>
      </w:r>
      <w:r>
        <w:fldChar w:fldCharType="begin"/>
      </w:r>
      <w:r>
        <w:instrText xml:space="preserve"> PAGEREF _Toc32242429 \h </w:instrText>
      </w:r>
      <w:r>
        <w:fldChar w:fldCharType="separate"/>
      </w:r>
      <w:r>
        <w:t>77</w:t>
      </w:r>
      <w:r>
        <w:fldChar w:fldCharType="end"/>
      </w:r>
    </w:p>
    <w:p>
      <w:pPr>
        <w:pStyle w:val="TOC8"/>
        <w:rPr>
          <w:rFonts w:asciiTheme="minorHAnsi" w:eastAsiaTheme="minorEastAsia" w:hAnsiTheme="minorHAnsi" w:cstheme="minorBidi"/>
          <w:szCs w:val="22"/>
        </w:rPr>
      </w:pPr>
      <w:r>
        <w:t>110E.</w:t>
      </w:r>
      <w:r>
        <w:tab/>
        <w:t>Formal requirements</w:t>
      </w:r>
      <w:r>
        <w:tab/>
      </w:r>
      <w:r>
        <w:fldChar w:fldCharType="begin"/>
      </w:r>
      <w:r>
        <w:instrText xml:space="preserve"> PAGEREF _Toc32242430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Operation of enduring power of guardianship</w:t>
      </w:r>
    </w:p>
    <w:p>
      <w:pPr>
        <w:pStyle w:val="TOC8"/>
        <w:rPr>
          <w:rFonts w:asciiTheme="minorHAnsi" w:eastAsiaTheme="minorEastAsia" w:hAnsiTheme="minorHAnsi" w:cstheme="minorBidi"/>
          <w:szCs w:val="22"/>
        </w:rPr>
      </w:pPr>
      <w:r>
        <w:t>110F.</w:t>
      </w:r>
      <w:r>
        <w:tab/>
        <w:t>When enduring guardian may act</w:t>
      </w:r>
      <w:r>
        <w:tab/>
      </w:r>
      <w:r>
        <w:fldChar w:fldCharType="begin"/>
      </w:r>
      <w:r>
        <w:instrText xml:space="preserve"> PAGEREF _Toc32242432 \h </w:instrText>
      </w:r>
      <w:r>
        <w:fldChar w:fldCharType="separate"/>
      </w:r>
      <w:r>
        <w:t>79</w:t>
      </w:r>
      <w:r>
        <w:fldChar w:fldCharType="end"/>
      </w:r>
    </w:p>
    <w:p>
      <w:pPr>
        <w:pStyle w:val="TOC8"/>
        <w:rPr>
          <w:rFonts w:asciiTheme="minorHAnsi" w:eastAsiaTheme="minorEastAsia" w:hAnsiTheme="minorHAnsi" w:cstheme="minorBidi"/>
          <w:szCs w:val="22"/>
        </w:rPr>
      </w:pPr>
      <w:r>
        <w:t>110G.</w:t>
      </w:r>
      <w:r>
        <w:tab/>
        <w:t>Functions generally</w:t>
      </w:r>
      <w:r>
        <w:tab/>
      </w:r>
      <w:r>
        <w:fldChar w:fldCharType="begin"/>
      </w:r>
      <w:r>
        <w:instrText xml:space="preserve"> PAGEREF _Toc32242433 \h </w:instrText>
      </w:r>
      <w:r>
        <w:fldChar w:fldCharType="separate"/>
      </w:r>
      <w:r>
        <w:t>79</w:t>
      </w:r>
      <w:r>
        <w:fldChar w:fldCharType="end"/>
      </w:r>
    </w:p>
    <w:p>
      <w:pPr>
        <w:pStyle w:val="TOC8"/>
        <w:rPr>
          <w:rFonts w:asciiTheme="minorHAnsi" w:eastAsiaTheme="minorEastAsia" w:hAnsiTheme="minorHAnsi" w:cstheme="minorBidi"/>
          <w:szCs w:val="22"/>
        </w:rPr>
      </w:pPr>
      <w:r>
        <w:t>110H.</w:t>
      </w:r>
      <w:r>
        <w:tab/>
        <w:t>Certain provisions apply in relation to enduring guardian and appointor</w:t>
      </w:r>
      <w:r>
        <w:tab/>
      </w:r>
      <w:r>
        <w:fldChar w:fldCharType="begin"/>
      </w:r>
      <w:r>
        <w:instrText xml:space="preserve"> PAGEREF _Toc32242434 \h </w:instrText>
      </w:r>
      <w:r>
        <w:fldChar w:fldCharType="separate"/>
      </w:r>
      <w:r>
        <w:t>79</w:t>
      </w:r>
      <w:r>
        <w:fldChar w:fldCharType="end"/>
      </w:r>
    </w:p>
    <w:p>
      <w:pPr>
        <w:pStyle w:val="TOC8"/>
        <w:rPr>
          <w:rFonts w:asciiTheme="minorHAnsi" w:eastAsiaTheme="minorEastAsia" w:hAnsiTheme="minorHAnsi" w:cstheme="minorBidi"/>
          <w:szCs w:val="22"/>
        </w:rPr>
      </w:pPr>
      <w:r>
        <w:t>110I.</w:t>
      </w:r>
      <w:r>
        <w:tab/>
        <w:t>Priority of enduring power of guardianship</w:t>
      </w:r>
      <w:r>
        <w:tab/>
      </w:r>
      <w:r>
        <w:fldChar w:fldCharType="begin"/>
      </w:r>
      <w:r>
        <w:instrText xml:space="preserve"> PAGEREF _Toc32242435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Jurisdiction of State Administrative Tribunal</w:t>
      </w:r>
    </w:p>
    <w:p>
      <w:pPr>
        <w:pStyle w:val="TOC8"/>
        <w:rPr>
          <w:rFonts w:asciiTheme="minorHAnsi" w:eastAsiaTheme="minorEastAsia" w:hAnsiTheme="minorHAnsi" w:cstheme="minorBidi"/>
          <w:szCs w:val="22"/>
        </w:rPr>
      </w:pPr>
      <w:r>
        <w:t>110J.</w:t>
      </w:r>
      <w:r>
        <w:tab/>
        <w:t>Who may apply</w:t>
      </w:r>
      <w:r>
        <w:tab/>
      </w:r>
      <w:r>
        <w:fldChar w:fldCharType="begin"/>
      </w:r>
      <w:r>
        <w:instrText xml:space="preserve"> PAGEREF _Toc32242437 \h </w:instrText>
      </w:r>
      <w:r>
        <w:fldChar w:fldCharType="separate"/>
      </w:r>
      <w:r>
        <w:t>80</w:t>
      </w:r>
      <w:r>
        <w:fldChar w:fldCharType="end"/>
      </w:r>
    </w:p>
    <w:p>
      <w:pPr>
        <w:pStyle w:val="TOC8"/>
        <w:rPr>
          <w:rFonts w:asciiTheme="minorHAnsi" w:eastAsiaTheme="minorEastAsia" w:hAnsiTheme="minorHAnsi" w:cstheme="minorBidi"/>
          <w:szCs w:val="22"/>
        </w:rPr>
      </w:pPr>
      <w:r>
        <w:t>110K.</w:t>
      </w:r>
      <w:r>
        <w:tab/>
        <w:t>Declaration about validity of enduring power of guardianship</w:t>
      </w:r>
      <w:r>
        <w:tab/>
      </w:r>
      <w:r>
        <w:fldChar w:fldCharType="begin"/>
      </w:r>
      <w:r>
        <w:instrText xml:space="preserve"> PAGEREF _Toc32242438 \h </w:instrText>
      </w:r>
      <w:r>
        <w:fldChar w:fldCharType="separate"/>
      </w:r>
      <w:r>
        <w:t>80</w:t>
      </w:r>
      <w:r>
        <w:fldChar w:fldCharType="end"/>
      </w:r>
    </w:p>
    <w:p>
      <w:pPr>
        <w:pStyle w:val="TOC8"/>
        <w:rPr>
          <w:rFonts w:asciiTheme="minorHAnsi" w:eastAsiaTheme="minorEastAsia" w:hAnsiTheme="minorHAnsi" w:cstheme="minorBidi"/>
          <w:szCs w:val="22"/>
        </w:rPr>
      </w:pPr>
      <w:r>
        <w:t>110L.</w:t>
      </w:r>
      <w:r>
        <w:tab/>
        <w:t>Declaration of incapacity of appointor</w:t>
      </w:r>
      <w:r>
        <w:tab/>
      </w:r>
      <w:r>
        <w:fldChar w:fldCharType="begin"/>
      </w:r>
      <w:r>
        <w:instrText xml:space="preserve"> PAGEREF _Toc32242439 \h </w:instrText>
      </w:r>
      <w:r>
        <w:fldChar w:fldCharType="separate"/>
      </w:r>
      <w:r>
        <w:t>81</w:t>
      </w:r>
      <w:r>
        <w:fldChar w:fldCharType="end"/>
      </w:r>
    </w:p>
    <w:p>
      <w:pPr>
        <w:pStyle w:val="TOC8"/>
        <w:rPr>
          <w:rFonts w:asciiTheme="minorHAnsi" w:eastAsiaTheme="minorEastAsia" w:hAnsiTheme="minorHAnsi" w:cstheme="minorBidi"/>
          <w:szCs w:val="22"/>
        </w:rPr>
      </w:pPr>
      <w:r>
        <w:t>110M.</w:t>
      </w:r>
      <w:r>
        <w:tab/>
        <w:t>Directions as to construction of terms etc.</w:t>
      </w:r>
      <w:r>
        <w:tab/>
      </w:r>
      <w:r>
        <w:fldChar w:fldCharType="begin"/>
      </w:r>
      <w:r>
        <w:instrText xml:space="preserve"> PAGEREF _Toc32242440 \h </w:instrText>
      </w:r>
      <w:r>
        <w:fldChar w:fldCharType="separate"/>
      </w:r>
      <w:r>
        <w:t>81</w:t>
      </w:r>
      <w:r>
        <w:fldChar w:fldCharType="end"/>
      </w:r>
    </w:p>
    <w:p>
      <w:pPr>
        <w:pStyle w:val="TOC8"/>
        <w:rPr>
          <w:rFonts w:asciiTheme="minorHAnsi" w:eastAsiaTheme="minorEastAsia" w:hAnsiTheme="minorHAnsi" w:cstheme="minorBidi"/>
          <w:szCs w:val="22"/>
        </w:rPr>
      </w:pPr>
      <w:r>
        <w:t>110N.</w:t>
      </w:r>
      <w:r>
        <w:tab/>
        <w:t>Revocation or variation of enduring power of guardianship</w:t>
      </w:r>
      <w:r>
        <w:tab/>
      </w:r>
      <w:r>
        <w:fldChar w:fldCharType="begin"/>
      </w:r>
      <w:r>
        <w:instrText xml:space="preserve"> PAGEREF _Toc32242441 \h </w:instrText>
      </w:r>
      <w:r>
        <w:fldChar w:fldCharType="separate"/>
      </w:r>
      <w:r>
        <w:t>81</w:t>
      </w:r>
      <w:r>
        <w:fldChar w:fldCharType="end"/>
      </w:r>
    </w:p>
    <w:p>
      <w:pPr>
        <w:pStyle w:val="TOC8"/>
        <w:rPr>
          <w:rFonts w:asciiTheme="minorHAnsi" w:eastAsiaTheme="minorEastAsia" w:hAnsiTheme="minorHAnsi" w:cstheme="minorBidi"/>
          <w:szCs w:val="22"/>
        </w:rPr>
      </w:pPr>
      <w:r>
        <w:t>110O.</w:t>
      </w:r>
      <w:r>
        <w:tab/>
        <w:t>Recognition of instrument created in another jurisdiction</w:t>
      </w:r>
      <w:r>
        <w:tab/>
      </w:r>
      <w:r>
        <w:fldChar w:fldCharType="begin"/>
      </w:r>
      <w:r>
        <w:instrText xml:space="preserve"> PAGEREF _Toc32242442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9B</w:t>
      </w:r>
      <w:r>
        <w:rPr>
          <w:b w:val="0"/>
        </w:rPr>
        <w:t> </w:t>
      </w:r>
      <w:r>
        <w:t>—</w:t>
      </w:r>
      <w:r>
        <w:rPr>
          <w:b w:val="0"/>
        </w:rPr>
        <w:t> </w:t>
      </w:r>
      <w:r>
        <w:t>Advance health directives</w:t>
      </w:r>
    </w:p>
    <w:p>
      <w:pPr>
        <w:pStyle w:val="TOC4"/>
        <w:tabs>
          <w:tab w:val="right" w:leader="dot" w:pos="7077"/>
        </w:tabs>
        <w:rPr>
          <w:rFonts w:asciiTheme="minorHAnsi" w:eastAsiaTheme="minorEastAsia" w:hAnsiTheme="minorHAnsi" w:cstheme="minorBidi"/>
          <w:b w:val="0"/>
          <w:szCs w:val="22"/>
        </w:rPr>
      </w:pPr>
      <w:r>
        <w:t>Division 1 — Making of advance health directive</w:t>
      </w:r>
    </w:p>
    <w:p>
      <w:pPr>
        <w:pStyle w:val="TOC8"/>
        <w:rPr>
          <w:rFonts w:asciiTheme="minorHAnsi" w:eastAsiaTheme="minorEastAsia" w:hAnsiTheme="minorHAnsi" w:cstheme="minorBidi"/>
          <w:szCs w:val="22"/>
        </w:rPr>
      </w:pPr>
      <w:r>
        <w:t>110P.</w:t>
      </w:r>
      <w:r>
        <w:tab/>
        <w:t>Making advance health directive</w:t>
      </w:r>
      <w:r>
        <w:tab/>
      </w:r>
      <w:r>
        <w:fldChar w:fldCharType="begin"/>
      </w:r>
      <w:r>
        <w:instrText xml:space="preserve"> PAGEREF _Toc32242445 \h </w:instrText>
      </w:r>
      <w:r>
        <w:fldChar w:fldCharType="separate"/>
      </w:r>
      <w:r>
        <w:t>83</w:t>
      </w:r>
      <w:r>
        <w:fldChar w:fldCharType="end"/>
      </w:r>
    </w:p>
    <w:p>
      <w:pPr>
        <w:pStyle w:val="TOC8"/>
        <w:rPr>
          <w:rFonts w:asciiTheme="minorHAnsi" w:eastAsiaTheme="minorEastAsia" w:hAnsiTheme="minorHAnsi" w:cstheme="minorBidi"/>
          <w:szCs w:val="22"/>
        </w:rPr>
      </w:pPr>
      <w:r>
        <w:t>110Q.</w:t>
      </w:r>
      <w:r>
        <w:tab/>
        <w:t>Formal requirements</w:t>
      </w:r>
      <w:r>
        <w:tab/>
      </w:r>
      <w:r>
        <w:fldChar w:fldCharType="begin"/>
      </w:r>
      <w:r>
        <w:instrText xml:space="preserve"> PAGEREF _Toc32242446 \h </w:instrText>
      </w:r>
      <w:r>
        <w:fldChar w:fldCharType="separate"/>
      </w:r>
      <w:r>
        <w:t>83</w:t>
      </w:r>
      <w:r>
        <w:fldChar w:fldCharType="end"/>
      </w:r>
    </w:p>
    <w:p>
      <w:pPr>
        <w:pStyle w:val="TOC8"/>
        <w:rPr>
          <w:rFonts w:asciiTheme="minorHAnsi" w:eastAsiaTheme="minorEastAsia" w:hAnsiTheme="minorHAnsi" w:cstheme="minorBidi"/>
          <w:szCs w:val="22"/>
        </w:rPr>
      </w:pPr>
      <w:r>
        <w:t>110QA.</w:t>
      </w:r>
      <w:r>
        <w:tab/>
        <w:t>Maker may indicate in directive whether advice obtained</w:t>
      </w:r>
      <w:r>
        <w:tab/>
      </w:r>
      <w:r>
        <w:fldChar w:fldCharType="begin"/>
      </w:r>
      <w:r>
        <w:instrText xml:space="preserve"> PAGEREF _Toc32242447 \h </w:instrText>
      </w:r>
      <w:r>
        <w:fldChar w:fldCharType="separate"/>
      </w:r>
      <w:r>
        <w:t>84</w:t>
      </w:r>
      <w:r>
        <w:fldChar w:fldCharType="end"/>
      </w:r>
    </w:p>
    <w:p>
      <w:pPr>
        <w:pStyle w:val="TOC8"/>
        <w:rPr>
          <w:rFonts w:asciiTheme="minorHAnsi" w:eastAsiaTheme="minorEastAsia" w:hAnsiTheme="minorHAnsi" w:cstheme="minorBidi"/>
          <w:szCs w:val="22"/>
        </w:rPr>
      </w:pPr>
      <w:r>
        <w:t>110R.</w:t>
      </w:r>
      <w:r>
        <w:tab/>
        <w:t>Requirements in relation to treatment decision in advance health directive</w:t>
      </w:r>
      <w:r>
        <w:tab/>
      </w:r>
      <w:r>
        <w:fldChar w:fldCharType="begin"/>
      </w:r>
      <w:r>
        <w:instrText xml:space="preserve"> PAGEREF _Toc32242448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Operation of advance health directive</w:t>
      </w:r>
    </w:p>
    <w:p>
      <w:pPr>
        <w:pStyle w:val="TOC8"/>
        <w:rPr>
          <w:rFonts w:asciiTheme="minorHAnsi" w:eastAsiaTheme="minorEastAsia" w:hAnsiTheme="minorHAnsi" w:cstheme="minorBidi"/>
          <w:szCs w:val="22"/>
        </w:rPr>
      </w:pPr>
      <w:r>
        <w:t>110S.</w:t>
      </w:r>
      <w:r>
        <w:tab/>
        <w:t>Operation generally</w:t>
      </w:r>
      <w:r>
        <w:tab/>
      </w:r>
      <w:r>
        <w:fldChar w:fldCharType="begin"/>
      </w:r>
      <w:r>
        <w:instrText xml:space="preserve"> PAGEREF _Toc32242450 \h </w:instrText>
      </w:r>
      <w:r>
        <w:fldChar w:fldCharType="separate"/>
      </w:r>
      <w:r>
        <w:t>85</w:t>
      </w:r>
      <w:r>
        <w:fldChar w:fldCharType="end"/>
      </w:r>
    </w:p>
    <w:p>
      <w:pPr>
        <w:pStyle w:val="TOC8"/>
        <w:rPr>
          <w:rFonts w:asciiTheme="minorHAnsi" w:eastAsiaTheme="minorEastAsia" w:hAnsiTheme="minorHAnsi" w:cstheme="minorBidi"/>
          <w:szCs w:val="22"/>
        </w:rPr>
      </w:pPr>
      <w:r>
        <w:t>110T.</w:t>
      </w:r>
      <w:r>
        <w:tab/>
        <w:t>Effect of subsequent enduring power of guardianship</w:t>
      </w:r>
      <w:r>
        <w:tab/>
      </w:r>
      <w:r>
        <w:fldChar w:fldCharType="begin"/>
      </w:r>
      <w:r>
        <w:instrText xml:space="preserve"> PAGEREF _Toc32242451 \h </w:instrText>
      </w:r>
      <w:r>
        <w:fldChar w:fldCharType="separate"/>
      </w:r>
      <w:r>
        <w:t>87</w:t>
      </w:r>
      <w:r>
        <w:fldChar w:fldCharType="end"/>
      </w:r>
    </w:p>
    <w:p>
      <w:pPr>
        <w:pStyle w:val="TOC8"/>
        <w:rPr>
          <w:rFonts w:asciiTheme="minorHAnsi" w:eastAsiaTheme="minorEastAsia" w:hAnsiTheme="minorHAnsi" w:cstheme="minorBidi"/>
          <w:szCs w:val="22"/>
        </w:rPr>
      </w:pPr>
      <w:r>
        <w:t>110U.</w:t>
      </w:r>
      <w:r>
        <w:tab/>
        <w:t>Priority of treatment decision in advance health directive</w:t>
      </w:r>
      <w:r>
        <w:tab/>
      </w:r>
      <w:r>
        <w:fldChar w:fldCharType="begin"/>
      </w:r>
      <w:r>
        <w:instrText xml:space="preserve"> PAGEREF _Toc32242452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pPr>
        <w:pStyle w:val="TOC8"/>
        <w:rPr>
          <w:rFonts w:asciiTheme="minorHAnsi" w:eastAsiaTheme="minorEastAsia" w:hAnsiTheme="minorHAnsi" w:cstheme="minorBidi"/>
          <w:szCs w:val="22"/>
        </w:rPr>
      </w:pPr>
      <w:r>
        <w:t>110V.</w:t>
      </w:r>
      <w:r>
        <w:tab/>
        <w:t>Who may apply</w:t>
      </w:r>
      <w:r>
        <w:tab/>
      </w:r>
      <w:r>
        <w:fldChar w:fldCharType="begin"/>
      </w:r>
      <w:r>
        <w:instrText xml:space="preserve"> PAGEREF _Toc32242454 \h </w:instrText>
      </w:r>
      <w:r>
        <w:fldChar w:fldCharType="separate"/>
      </w:r>
      <w:r>
        <w:t>87</w:t>
      </w:r>
      <w:r>
        <w:fldChar w:fldCharType="end"/>
      </w:r>
    </w:p>
    <w:p>
      <w:pPr>
        <w:pStyle w:val="TOC8"/>
        <w:rPr>
          <w:rFonts w:asciiTheme="minorHAnsi" w:eastAsiaTheme="minorEastAsia" w:hAnsiTheme="minorHAnsi" w:cstheme="minorBidi"/>
          <w:szCs w:val="22"/>
        </w:rPr>
      </w:pPr>
      <w:r>
        <w:t>110W.</w:t>
      </w:r>
      <w:r>
        <w:tab/>
        <w:t>Declaration about validity of directive or treatment decision</w:t>
      </w:r>
      <w:r>
        <w:tab/>
      </w:r>
      <w:r>
        <w:fldChar w:fldCharType="begin"/>
      </w:r>
      <w:r>
        <w:instrText xml:space="preserve"> PAGEREF _Toc32242455 \h </w:instrText>
      </w:r>
      <w:r>
        <w:fldChar w:fldCharType="separate"/>
      </w:r>
      <w:r>
        <w:t>87</w:t>
      </w:r>
      <w:r>
        <w:fldChar w:fldCharType="end"/>
      </w:r>
    </w:p>
    <w:p>
      <w:pPr>
        <w:pStyle w:val="TOC8"/>
        <w:rPr>
          <w:rFonts w:asciiTheme="minorHAnsi" w:eastAsiaTheme="minorEastAsia" w:hAnsiTheme="minorHAnsi" w:cstheme="minorBidi"/>
          <w:szCs w:val="22"/>
        </w:rPr>
      </w:pPr>
      <w:r>
        <w:t>110X.</w:t>
      </w:r>
      <w:r>
        <w:tab/>
        <w:t>Declaration of incapacity of maker</w:t>
      </w:r>
      <w:r>
        <w:tab/>
      </w:r>
      <w:r>
        <w:fldChar w:fldCharType="begin"/>
      </w:r>
      <w:r>
        <w:instrText xml:space="preserve"> PAGEREF _Toc32242456 \h </w:instrText>
      </w:r>
      <w:r>
        <w:fldChar w:fldCharType="separate"/>
      </w:r>
      <w:r>
        <w:t>88</w:t>
      </w:r>
      <w:r>
        <w:fldChar w:fldCharType="end"/>
      </w:r>
    </w:p>
    <w:p>
      <w:pPr>
        <w:pStyle w:val="TOC8"/>
        <w:rPr>
          <w:rFonts w:asciiTheme="minorHAnsi" w:eastAsiaTheme="minorEastAsia" w:hAnsiTheme="minorHAnsi" w:cstheme="minorBidi"/>
          <w:szCs w:val="22"/>
        </w:rPr>
      </w:pPr>
      <w:r>
        <w:t>110Y.</w:t>
      </w:r>
      <w:r>
        <w:tab/>
        <w:t>Directions as to construction of terms etc.</w:t>
      </w:r>
      <w:r>
        <w:tab/>
      </w:r>
      <w:r>
        <w:fldChar w:fldCharType="begin"/>
      </w:r>
      <w:r>
        <w:instrText xml:space="preserve"> PAGEREF _Toc32242457 \h </w:instrText>
      </w:r>
      <w:r>
        <w:fldChar w:fldCharType="separate"/>
      </w:r>
      <w:r>
        <w:t>88</w:t>
      </w:r>
      <w:r>
        <w:fldChar w:fldCharType="end"/>
      </w:r>
    </w:p>
    <w:p>
      <w:pPr>
        <w:pStyle w:val="TOC8"/>
        <w:rPr>
          <w:rFonts w:asciiTheme="minorHAnsi" w:eastAsiaTheme="minorEastAsia" w:hAnsiTheme="minorHAnsi" w:cstheme="minorBidi"/>
          <w:szCs w:val="22"/>
        </w:rPr>
      </w:pPr>
      <w:r>
        <w:t>110Z.</w:t>
      </w:r>
      <w:r>
        <w:tab/>
        <w:t>Declaration that treatment decision has been revoked</w:t>
      </w:r>
      <w:r>
        <w:tab/>
      </w:r>
      <w:r>
        <w:fldChar w:fldCharType="begin"/>
      </w:r>
      <w:r>
        <w:instrText xml:space="preserve"> PAGEREF _Toc32242458 \h </w:instrText>
      </w:r>
      <w:r>
        <w:fldChar w:fldCharType="separate"/>
      </w:r>
      <w:r>
        <w:t>88</w:t>
      </w:r>
      <w:r>
        <w:fldChar w:fldCharType="end"/>
      </w:r>
    </w:p>
    <w:p>
      <w:pPr>
        <w:pStyle w:val="TOC8"/>
        <w:rPr>
          <w:rFonts w:asciiTheme="minorHAnsi" w:eastAsiaTheme="minorEastAsia" w:hAnsiTheme="minorHAnsi" w:cstheme="minorBidi"/>
          <w:szCs w:val="22"/>
        </w:rPr>
      </w:pPr>
      <w:r>
        <w:t>110ZA.</w:t>
      </w:r>
      <w:r>
        <w:tab/>
        <w:t>Recognition of instrument created in another jurisdiction</w:t>
      </w:r>
      <w:r>
        <w:tab/>
      </w:r>
      <w:r>
        <w:fldChar w:fldCharType="begin"/>
      </w:r>
      <w:r>
        <w:instrText xml:space="preserve"> PAGEREF _Toc32242459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110ZB.</w:t>
      </w:r>
      <w:r>
        <w:tab/>
        <w:t>Common law preserved</w:t>
      </w:r>
      <w:r>
        <w:tab/>
      </w:r>
      <w:r>
        <w:fldChar w:fldCharType="begin"/>
      </w:r>
      <w:r>
        <w:instrText xml:space="preserve"> PAGEREF _Toc32242461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9C</w:t>
      </w:r>
      <w:r>
        <w:rPr>
          <w:b w:val="0"/>
        </w:rPr>
        <w:t> </w:t>
      </w:r>
      <w:r>
        <w:t>—</w:t>
      </w:r>
      <w:r>
        <w:rPr>
          <w:b w:val="0"/>
        </w:rPr>
        <w:t> </w:t>
      </w:r>
      <w:r>
        <w:t>Persons responsible for patients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110ZC.</w:t>
      </w:r>
      <w:r>
        <w:tab/>
        <w:t>Term used: patient</w:t>
      </w:r>
      <w:r>
        <w:tab/>
      </w:r>
      <w:r>
        <w:fldChar w:fldCharType="begin"/>
      </w:r>
      <w:r>
        <w:instrText xml:space="preserve"> PAGEREF _Toc32242464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 — Treatment decisions by persons responsible for patients</w:t>
      </w:r>
    </w:p>
    <w:p>
      <w:pPr>
        <w:pStyle w:val="TOC8"/>
        <w:rPr>
          <w:rFonts w:asciiTheme="minorHAnsi" w:eastAsiaTheme="minorEastAsia" w:hAnsiTheme="minorHAnsi" w:cstheme="minorBidi"/>
          <w:szCs w:val="22"/>
        </w:rPr>
      </w:pPr>
      <w:r>
        <w:t>110ZD.</w:t>
      </w:r>
      <w:r>
        <w:tab/>
        <w:t>Circumstances in which person responsible may make treatment decision</w:t>
      </w:r>
      <w:r>
        <w:tab/>
      </w:r>
      <w:r>
        <w:fldChar w:fldCharType="begin"/>
      </w:r>
      <w:r>
        <w:instrText xml:space="preserve"> PAGEREF _Toc32242466 \h </w:instrText>
      </w:r>
      <w:r>
        <w:fldChar w:fldCharType="separate"/>
      </w:r>
      <w:r>
        <w:t>90</w:t>
      </w:r>
      <w:r>
        <w:fldChar w:fldCharType="end"/>
      </w:r>
    </w:p>
    <w:p>
      <w:pPr>
        <w:pStyle w:val="TOC8"/>
        <w:rPr>
          <w:rFonts w:asciiTheme="minorHAnsi" w:eastAsiaTheme="minorEastAsia" w:hAnsiTheme="minorHAnsi" w:cstheme="minorBidi"/>
          <w:szCs w:val="22"/>
        </w:rPr>
      </w:pPr>
      <w:r>
        <w:t>110ZE.</w:t>
      </w:r>
      <w:r>
        <w:tab/>
        <w:t>Priority of treatment decision of person responsible</w:t>
      </w:r>
      <w:r>
        <w:tab/>
      </w:r>
      <w:r>
        <w:fldChar w:fldCharType="begin"/>
      </w:r>
      <w:r>
        <w:instrText xml:space="preserve"> PAGEREF _Toc32242467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pPr>
        <w:pStyle w:val="TOC8"/>
        <w:rPr>
          <w:rFonts w:asciiTheme="minorHAnsi" w:eastAsiaTheme="minorEastAsia" w:hAnsiTheme="minorHAnsi" w:cstheme="minorBidi"/>
          <w:szCs w:val="22"/>
        </w:rPr>
      </w:pPr>
      <w:r>
        <w:t>110ZF.</w:t>
      </w:r>
      <w:r>
        <w:tab/>
        <w:t>Who may apply</w:t>
      </w:r>
      <w:r>
        <w:tab/>
      </w:r>
      <w:r>
        <w:fldChar w:fldCharType="begin"/>
      </w:r>
      <w:r>
        <w:instrText xml:space="preserve"> PAGEREF _Toc32242469 \h </w:instrText>
      </w:r>
      <w:r>
        <w:fldChar w:fldCharType="separate"/>
      </w:r>
      <w:r>
        <w:t>92</w:t>
      </w:r>
      <w:r>
        <w:fldChar w:fldCharType="end"/>
      </w:r>
    </w:p>
    <w:p>
      <w:pPr>
        <w:pStyle w:val="TOC8"/>
        <w:rPr>
          <w:rFonts w:asciiTheme="minorHAnsi" w:eastAsiaTheme="minorEastAsia" w:hAnsiTheme="minorHAnsi" w:cstheme="minorBidi"/>
          <w:szCs w:val="22"/>
        </w:rPr>
      </w:pPr>
      <w:r>
        <w:t>110ZG.</w:t>
      </w:r>
      <w:r>
        <w:tab/>
        <w:t>Declaration that person responsible may make treatment decision</w:t>
      </w:r>
      <w:r>
        <w:tab/>
      </w:r>
      <w:r>
        <w:fldChar w:fldCharType="begin"/>
      </w:r>
      <w:r>
        <w:instrText xml:space="preserve"> PAGEREF _Toc32242470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Part 9D</w:t>
      </w:r>
      <w:r>
        <w:rPr>
          <w:b w:val="0"/>
        </w:rPr>
        <w:t> </w:t>
      </w:r>
      <w:r>
        <w:t>—</w:t>
      </w:r>
      <w:r>
        <w:rPr>
          <w:b w:val="0"/>
        </w:rPr>
        <w:t> </w:t>
      </w:r>
      <w:r>
        <w:t>Treatment decisions in relation to patients under legal incapacity</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110ZH.</w:t>
      </w:r>
      <w:r>
        <w:tab/>
        <w:t>Terms used</w:t>
      </w:r>
      <w:r>
        <w:tab/>
      </w:r>
      <w:r>
        <w:fldChar w:fldCharType="begin"/>
      </w:r>
      <w:r>
        <w:instrText xml:space="preserve"> PAGEREF _Toc32242473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2 — Provision of treatment</w:t>
      </w:r>
    </w:p>
    <w:p>
      <w:pPr>
        <w:pStyle w:val="TOC8"/>
        <w:rPr>
          <w:rFonts w:asciiTheme="minorHAnsi" w:eastAsiaTheme="minorEastAsia" w:hAnsiTheme="minorHAnsi" w:cstheme="minorBidi"/>
          <w:szCs w:val="22"/>
        </w:rPr>
      </w:pPr>
      <w:r>
        <w:t>110ZI.</w:t>
      </w:r>
      <w:r>
        <w:tab/>
        <w:t>Urgent treatment generally</w:t>
      </w:r>
      <w:r>
        <w:tab/>
      </w:r>
      <w:r>
        <w:fldChar w:fldCharType="begin"/>
      </w:r>
      <w:r>
        <w:instrText xml:space="preserve"> PAGEREF _Toc32242475 \h </w:instrText>
      </w:r>
      <w:r>
        <w:fldChar w:fldCharType="separate"/>
      </w:r>
      <w:r>
        <w:t>95</w:t>
      </w:r>
      <w:r>
        <w:fldChar w:fldCharType="end"/>
      </w:r>
    </w:p>
    <w:p>
      <w:pPr>
        <w:pStyle w:val="TOC8"/>
        <w:rPr>
          <w:rFonts w:asciiTheme="minorHAnsi" w:eastAsiaTheme="minorEastAsia" w:hAnsiTheme="minorHAnsi" w:cstheme="minorBidi"/>
          <w:szCs w:val="22"/>
        </w:rPr>
      </w:pPr>
      <w:r>
        <w:t>110ZIA.</w:t>
      </w:r>
      <w:r>
        <w:tab/>
        <w:t>Urgent treatment after attempted suicide</w:t>
      </w:r>
      <w:r>
        <w:tab/>
      </w:r>
      <w:r>
        <w:fldChar w:fldCharType="begin"/>
      </w:r>
      <w:r>
        <w:instrText xml:space="preserve"> PAGEREF _Toc32242476 \h </w:instrText>
      </w:r>
      <w:r>
        <w:fldChar w:fldCharType="separate"/>
      </w:r>
      <w:r>
        <w:t>95</w:t>
      </w:r>
      <w:r>
        <w:fldChar w:fldCharType="end"/>
      </w:r>
    </w:p>
    <w:p>
      <w:pPr>
        <w:pStyle w:val="TOC8"/>
        <w:rPr>
          <w:rFonts w:asciiTheme="minorHAnsi" w:eastAsiaTheme="minorEastAsia" w:hAnsiTheme="minorHAnsi" w:cstheme="minorBidi"/>
          <w:szCs w:val="22"/>
        </w:rPr>
      </w:pPr>
      <w:r>
        <w:t>110ZJ.</w:t>
      </w:r>
      <w:r>
        <w:tab/>
        <w:t>Order of priority of persons who may make treatment decision in relation to patient</w:t>
      </w:r>
      <w:r>
        <w:tab/>
      </w:r>
      <w:r>
        <w:fldChar w:fldCharType="begin"/>
      </w:r>
      <w:r>
        <w:instrText xml:space="preserve"> PAGEREF _Toc32242477 \h </w:instrText>
      </w:r>
      <w:r>
        <w:fldChar w:fldCharType="separate"/>
      </w:r>
      <w:r>
        <w:t>96</w:t>
      </w:r>
      <w:r>
        <w:fldChar w:fldCharType="end"/>
      </w:r>
    </w:p>
    <w:p>
      <w:pPr>
        <w:pStyle w:val="TOC8"/>
        <w:rPr>
          <w:rFonts w:asciiTheme="minorHAnsi" w:eastAsiaTheme="minorEastAsia" w:hAnsiTheme="minorHAnsi" w:cstheme="minorBidi"/>
          <w:szCs w:val="22"/>
        </w:rPr>
      </w:pPr>
      <w:r>
        <w:t>110ZK.</w:t>
      </w:r>
      <w:r>
        <w:tab/>
        <w:t>Reliance by health professional on treatment decision</w:t>
      </w:r>
      <w:r>
        <w:tab/>
      </w:r>
      <w:r>
        <w:fldChar w:fldCharType="begin"/>
      </w:r>
      <w:r>
        <w:instrText xml:space="preserve"> PAGEREF _Toc32242478 \h </w:instrText>
      </w:r>
      <w:r>
        <w:fldChar w:fldCharType="separate"/>
      </w:r>
      <w:r>
        <w:t>97</w:t>
      </w:r>
      <w:r>
        <w:fldChar w:fldCharType="end"/>
      </w:r>
    </w:p>
    <w:p>
      <w:pPr>
        <w:pStyle w:val="TOC8"/>
        <w:rPr>
          <w:rFonts w:asciiTheme="minorHAnsi" w:eastAsiaTheme="minorEastAsia" w:hAnsiTheme="minorHAnsi" w:cstheme="minorBidi"/>
          <w:szCs w:val="22"/>
        </w:rPr>
      </w:pPr>
      <w:r>
        <w:t>110ZL.</w:t>
      </w:r>
      <w:r>
        <w:tab/>
        <w:t>Validity of certain treatment decisions</w:t>
      </w:r>
      <w:r>
        <w:tab/>
      </w:r>
      <w:r>
        <w:fldChar w:fldCharType="begin"/>
      </w:r>
      <w:r>
        <w:instrText xml:space="preserve"> PAGEREF _Toc32242479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State Administrative Tribunal</w:t>
      </w:r>
    </w:p>
    <w:p>
      <w:pPr>
        <w:pStyle w:val="TOC8"/>
        <w:rPr>
          <w:rFonts w:asciiTheme="minorHAnsi" w:eastAsiaTheme="minorEastAsia" w:hAnsiTheme="minorHAnsi" w:cstheme="minorBidi"/>
          <w:szCs w:val="22"/>
        </w:rPr>
      </w:pPr>
      <w:r>
        <w:t>110ZM.</w:t>
      </w:r>
      <w:r>
        <w:tab/>
        <w:t>Who may apply</w:t>
      </w:r>
      <w:r>
        <w:tab/>
      </w:r>
      <w:r>
        <w:fldChar w:fldCharType="begin"/>
      </w:r>
      <w:r>
        <w:instrText xml:space="preserve"> PAGEREF _Toc32242481 \h </w:instrText>
      </w:r>
      <w:r>
        <w:fldChar w:fldCharType="separate"/>
      </w:r>
      <w:r>
        <w:t>99</w:t>
      </w:r>
      <w:r>
        <w:fldChar w:fldCharType="end"/>
      </w:r>
    </w:p>
    <w:p>
      <w:pPr>
        <w:pStyle w:val="TOC8"/>
        <w:rPr>
          <w:rFonts w:asciiTheme="minorHAnsi" w:eastAsiaTheme="minorEastAsia" w:hAnsiTheme="minorHAnsi" w:cstheme="minorBidi"/>
          <w:szCs w:val="22"/>
        </w:rPr>
      </w:pPr>
      <w:r>
        <w:t>110ZN.</w:t>
      </w:r>
      <w:r>
        <w:tab/>
        <w:t>Declaration as to who may make treatment decision</w:t>
      </w:r>
      <w:r>
        <w:tab/>
      </w:r>
      <w:r>
        <w:fldChar w:fldCharType="begin"/>
      </w:r>
      <w:r>
        <w:instrText xml:space="preserve"> PAGEREF _Toc32242482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 provisions</w:t>
      </w:r>
    </w:p>
    <w:p>
      <w:pPr>
        <w:pStyle w:val="TOC8"/>
        <w:rPr>
          <w:rFonts w:asciiTheme="minorHAnsi" w:eastAsiaTheme="minorEastAsia" w:hAnsiTheme="minorHAnsi" w:cstheme="minorBidi"/>
          <w:szCs w:val="22"/>
        </w:rPr>
      </w:pPr>
      <w:r>
        <w:t>111</w:t>
      </w:r>
      <w:r>
        <w:rPr>
          <w:snapToGrid w:val="0"/>
        </w:rPr>
        <w:t>.</w:t>
      </w:r>
      <w:r>
        <w:rPr>
          <w:snapToGrid w:val="0"/>
        </w:rPr>
        <w:tab/>
        <w:t>Declaration as to capacity to vote</w:t>
      </w:r>
      <w:r>
        <w:tab/>
      </w:r>
      <w:r>
        <w:fldChar w:fldCharType="begin"/>
      </w:r>
      <w:r>
        <w:instrText xml:space="preserve"> PAGEREF _Toc32242484 \h </w:instrText>
      </w:r>
      <w:r>
        <w:fldChar w:fldCharType="separate"/>
      </w:r>
      <w:r>
        <w:t>100</w:t>
      </w:r>
      <w:r>
        <w:fldChar w:fldCharType="end"/>
      </w:r>
    </w:p>
    <w:p>
      <w:pPr>
        <w:pStyle w:val="TOC8"/>
        <w:rPr>
          <w:rFonts w:asciiTheme="minorHAnsi" w:eastAsiaTheme="minorEastAsia" w:hAnsiTheme="minorHAnsi" w:cstheme="minorBidi"/>
          <w:szCs w:val="22"/>
        </w:rPr>
      </w:pPr>
      <w:r>
        <w:t>111A.</w:t>
      </w:r>
      <w:r>
        <w:tab/>
        <w:t xml:space="preserve">Applications under </w:t>
      </w:r>
      <w:r>
        <w:rPr>
          <w:i/>
          <w:iCs/>
        </w:rPr>
        <w:t xml:space="preserve">Wills Act 1970 </w:t>
      </w:r>
      <w:r>
        <w:t>s. 40</w:t>
      </w:r>
      <w:r>
        <w:tab/>
      </w:r>
      <w:r>
        <w:fldChar w:fldCharType="begin"/>
      </w:r>
      <w:r>
        <w:instrText xml:space="preserve"> PAGEREF _Toc32242485 \h </w:instrText>
      </w:r>
      <w:r>
        <w:fldChar w:fldCharType="separate"/>
      </w:r>
      <w:r>
        <w:t>101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Inspection of records</w:t>
      </w:r>
      <w:r>
        <w:tab/>
      </w:r>
      <w:r>
        <w:fldChar w:fldCharType="begin"/>
      </w:r>
      <w:r>
        <w:instrText xml:space="preserve"> PAGEREF _Toc32242486 \h </w:instrText>
      </w:r>
      <w:r>
        <w:fldChar w:fldCharType="separate"/>
      </w:r>
      <w:r>
        <w:t>101</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Confidentiality</w:t>
      </w:r>
      <w:r>
        <w:tab/>
      </w:r>
      <w:r>
        <w:fldChar w:fldCharType="begin"/>
      </w:r>
      <w:r>
        <w:instrText xml:space="preserve"> PAGEREF _Toc32242487 \h </w:instrText>
      </w:r>
      <w:r>
        <w:fldChar w:fldCharType="separate"/>
      </w:r>
      <w:r>
        <w:t>102</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Immunity</w:t>
      </w:r>
      <w:r>
        <w:tab/>
      </w:r>
      <w:r>
        <w:fldChar w:fldCharType="begin"/>
      </w:r>
      <w:r>
        <w:instrText xml:space="preserve"> PAGEREF _Toc32242488 \h </w:instrText>
      </w:r>
      <w:r>
        <w:fldChar w:fldCharType="separate"/>
      </w:r>
      <w:r>
        <w:t>103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Service of notices</w:t>
      </w:r>
      <w:r>
        <w:tab/>
      </w:r>
      <w:r>
        <w:fldChar w:fldCharType="begin"/>
      </w:r>
      <w:r>
        <w:instrText xml:space="preserve"> PAGEREF _Toc32242489 \h </w:instrText>
      </w:r>
      <w:r>
        <w:fldChar w:fldCharType="separate"/>
      </w:r>
      <w:r>
        <w:t>103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Remuneration</w:t>
      </w:r>
      <w:r>
        <w:tab/>
      </w:r>
      <w:r>
        <w:fldChar w:fldCharType="begin"/>
      </w:r>
      <w:r>
        <w:instrText xml:space="preserve"> PAGEREF _Toc32242490 \h </w:instrText>
      </w:r>
      <w:r>
        <w:fldChar w:fldCharType="separate"/>
      </w:r>
      <w:r>
        <w:t>104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Expenses</w:t>
      </w:r>
      <w:r>
        <w:tab/>
      </w:r>
      <w:r>
        <w:fldChar w:fldCharType="begin"/>
      </w:r>
      <w:r>
        <w:instrText xml:space="preserve"> PAGEREF _Toc32242491 \h </w:instrText>
      </w:r>
      <w:r>
        <w:fldChar w:fldCharType="separate"/>
      </w:r>
      <w:r>
        <w:t>105</w:t>
      </w:r>
      <w:r>
        <w:fldChar w:fldCharType="end"/>
      </w:r>
    </w:p>
    <w:p>
      <w:pPr>
        <w:pStyle w:val="TOC8"/>
        <w:rPr>
          <w:rFonts w:asciiTheme="minorHAnsi" w:eastAsiaTheme="minorEastAsia" w:hAnsiTheme="minorHAnsi" w:cstheme="minorBidi"/>
          <w:szCs w:val="22"/>
        </w:rPr>
      </w:pPr>
      <w:r>
        <w:t>119.</w:t>
      </w:r>
      <w:r>
        <w:tab/>
        <w:t>Order of priority of enduring guardian and guardian for matters other than treatment decisions</w:t>
      </w:r>
      <w:r>
        <w:tab/>
      </w:r>
      <w:r>
        <w:fldChar w:fldCharType="begin"/>
      </w:r>
      <w:r>
        <w:instrText xml:space="preserve"> PAGEREF _Toc32242492 \h </w:instrText>
      </w:r>
      <w:r>
        <w:fldChar w:fldCharType="separate"/>
      </w:r>
      <w:r>
        <w:t>105</w:t>
      </w:r>
      <w:r>
        <w:fldChar w:fldCharType="end"/>
      </w:r>
    </w:p>
    <w:p>
      <w:pPr>
        <w:pStyle w:val="TOC8"/>
        <w:rPr>
          <w:rFonts w:asciiTheme="minorHAnsi" w:eastAsiaTheme="minorEastAsia" w:hAnsiTheme="minorHAnsi" w:cstheme="minorBidi"/>
          <w:szCs w:val="22"/>
        </w:rPr>
      </w:pPr>
      <w:r>
        <w:t>119A.</w:t>
      </w:r>
      <w:r>
        <w:tab/>
        <w:t>No fee for application to State Administrative Tribunal</w:t>
      </w:r>
      <w:r>
        <w:tab/>
      </w:r>
      <w:r>
        <w:fldChar w:fldCharType="begin"/>
      </w:r>
      <w:r>
        <w:instrText xml:space="preserve"> PAGEREF _Toc32242493 \h </w:instrText>
      </w:r>
      <w:r>
        <w:fldChar w:fldCharType="separate"/>
      </w:r>
      <w:r>
        <w:t>106</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Regulations</w:t>
      </w:r>
      <w:r>
        <w:tab/>
      </w:r>
      <w:r>
        <w:fldChar w:fldCharType="begin"/>
      </w:r>
      <w:r>
        <w:instrText xml:space="preserve"> PAGEREF _Toc32242494 \h </w:instrText>
      </w:r>
      <w:r>
        <w:fldChar w:fldCharType="separate"/>
      </w:r>
      <w:r>
        <w:t>106</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Transitional provisions</w:t>
      </w:r>
      <w:r>
        <w:tab/>
      </w:r>
      <w:r>
        <w:fldChar w:fldCharType="begin"/>
      </w:r>
      <w:r>
        <w:instrText xml:space="preserve"> PAGEREF _Toc32242495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1 — Provisions as to proceedings of State Administrative Tribunal</w:t>
      </w:r>
    </w:p>
    <w:p>
      <w:pPr>
        <w:pStyle w:val="TOC8"/>
        <w:rPr>
          <w:rFonts w:asciiTheme="minorHAnsi" w:eastAsiaTheme="minorEastAsia" w:hAnsiTheme="minorHAnsi" w:cstheme="minorBidi"/>
          <w:szCs w:val="22"/>
        </w:rPr>
      </w:pPr>
      <w:r>
        <w:t>11.</w:t>
      </w:r>
      <w:r>
        <w:tab/>
        <w:t>Hearings</w:t>
      </w:r>
      <w:r>
        <w:tab/>
      </w:r>
      <w:r>
        <w:fldChar w:fldCharType="begin"/>
      </w:r>
      <w:r>
        <w:instrText xml:space="preserve"> PAGEREF _Toc32242497 \h </w:instrText>
      </w:r>
      <w:r>
        <w:fldChar w:fldCharType="separate"/>
      </w:r>
      <w:r>
        <w:t>107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Limitations on publication of proceedings</w:t>
      </w:r>
      <w:r>
        <w:tab/>
      </w:r>
      <w:r>
        <w:fldChar w:fldCharType="begin"/>
      </w:r>
      <w:r>
        <w:instrText xml:space="preserve"> PAGEREF _Toc32242498 \h </w:instrText>
      </w:r>
      <w:r>
        <w:fldChar w:fldCharType="separate"/>
      </w:r>
      <w:r>
        <w:t>107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Entitlement to appear, and representation</w:t>
      </w:r>
      <w:r>
        <w:tab/>
      </w:r>
      <w:r>
        <w:fldChar w:fldCharType="begin"/>
      </w:r>
      <w:r>
        <w:instrText xml:space="preserve"> PAGEREF _Toc32242499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2 — Functions for administration of estates</w:t>
      </w:r>
    </w:p>
    <w:p>
      <w:pPr>
        <w:pStyle w:val="TOC4"/>
        <w:tabs>
          <w:tab w:val="right" w:leader="dot" w:pos="7077"/>
        </w:tabs>
        <w:rPr>
          <w:rFonts w:asciiTheme="minorHAnsi" w:eastAsiaTheme="minorEastAsia" w:hAnsiTheme="minorHAnsi" w:cstheme="minorBidi"/>
          <w:b w:val="0"/>
          <w:szCs w:val="22"/>
        </w:rPr>
      </w:pPr>
      <w:r>
        <w:rPr>
          <w:rFonts w:eastAsia="MS Mincho"/>
        </w:rPr>
        <w:t>Part A</w:t>
      </w:r>
      <w:r>
        <w:rPr>
          <w:rFonts w:eastAsia="MS Mincho"/>
          <w:b w:val="0"/>
        </w:rPr>
        <w:t> </w:t>
      </w:r>
      <w:r>
        <w:rPr>
          <w:rFonts w:eastAsia="MS Mincho"/>
        </w:rPr>
        <w:t>— Administrator</w:t>
      </w:r>
    </w:p>
    <w:p>
      <w:pPr>
        <w:pStyle w:val="TOC4"/>
        <w:tabs>
          <w:tab w:val="right" w:leader="dot" w:pos="7077"/>
        </w:tabs>
        <w:rPr>
          <w:rFonts w:asciiTheme="minorHAnsi" w:eastAsiaTheme="minorEastAsia" w:hAnsiTheme="minorHAnsi" w:cstheme="minorBidi"/>
          <w:b w:val="0"/>
          <w:szCs w:val="22"/>
        </w:rPr>
      </w:pPr>
      <w:r>
        <w:rPr>
          <w:rFonts w:eastAsia="MS Mincho"/>
        </w:rPr>
        <w:t>Part B — State Administrative Tribunal</w:t>
      </w:r>
    </w:p>
    <w:p>
      <w:pPr>
        <w:pStyle w:val="TOC2"/>
        <w:tabs>
          <w:tab w:val="right" w:leader="dot" w:pos="7077"/>
        </w:tabs>
        <w:rPr>
          <w:rFonts w:asciiTheme="minorHAnsi" w:eastAsiaTheme="minorEastAsia" w:hAnsiTheme="minorHAnsi" w:cstheme="minorBidi"/>
          <w:b w:val="0"/>
          <w:sz w:val="22"/>
          <w:szCs w:val="22"/>
        </w:rPr>
      </w:pPr>
      <w:r>
        <w:rPr>
          <w:rFonts w:eastAsia="MS Mincho"/>
        </w:rPr>
        <w:t>Schedule 3 — Forms for enduring power of attorney</w:t>
      </w:r>
    </w:p>
    <w:p>
      <w:pPr>
        <w:pStyle w:val="TOC2"/>
        <w:tabs>
          <w:tab w:val="right" w:leader="dot" w:pos="7077"/>
        </w:tabs>
        <w:rPr>
          <w:rFonts w:asciiTheme="minorHAnsi" w:eastAsiaTheme="minorEastAsia" w:hAnsiTheme="minorHAnsi" w:cstheme="minorBidi"/>
          <w:b w:val="0"/>
          <w:sz w:val="22"/>
          <w:szCs w:val="22"/>
        </w:rPr>
      </w:pPr>
      <w:r>
        <w:t>Schedule 5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Transitional matters for Guardianship and Administration Act 1990</w:t>
      </w:r>
    </w:p>
    <w:p>
      <w:pPr>
        <w:pStyle w:val="TOC8"/>
        <w:rPr>
          <w:rFonts w:asciiTheme="minorHAnsi" w:eastAsiaTheme="minorEastAsia" w:hAnsiTheme="minorHAnsi" w:cstheme="minorBidi"/>
          <w:szCs w:val="22"/>
        </w:rPr>
      </w:pPr>
      <w:r>
        <w:t>1A.</w:t>
      </w:r>
      <w:r>
        <w:tab/>
        <w:t>Application of this Division</w:t>
      </w:r>
      <w:r>
        <w:tab/>
      </w:r>
      <w:r>
        <w:fldChar w:fldCharType="begin"/>
      </w:r>
      <w:r>
        <w:instrText xml:space="preserve"> PAGEREF _Toc32242506 \h </w:instrText>
      </w:r>
      <w:r>
        <w:fldChar w:fldCharType="separate"/>
      </w:r>
      <w:r>
        <w:t>119</w:t>
      </w:r>
      <w:r>
        <w:fldChar w:fldCharType="end"/>
      </w:r>
    </w:p>
    <w:p>
      <w:pPr>
        <w:pStyle w:val="TOC8"/>
        <w:rPr>
          <w:rFonts w:asciiTheme="minorHAnsi" w:eastAsiaTheme="minorEastAsia" w:hAnsiTheme="minorHAnsi" w:cstheme="minorBidi"/>
          <w:szCs w:val="22"/>
        </w:rPr>
      </w:pPr>
      <w:r>
        <w:t>1</w:t>
      </w:r>
      <w:r>
        <w:rPr>
          <w:snapToGrid w:val="0"/>
        </w:rPr>
        <w:t xml:space="preserve">. </w:t>
      </w:r>
      <w:r>
        <w:rPr>
          <w:snapToGrid w:val="0"/>
        </w:rPr>
        <w:tab/>
        <w:t>Existing functions of Public Trustee to continue</w:t>
      </w:r>
      <w:r>
        <w:tab/>
      </w:r>
      <w:r>
        <w:fldChar w:fldCharType="begin"/>
      </w:r>
      <w:r>
        <w:instrText xml:space="preserve"> PAGEREF _Toc32242507 \h </w:instrText>
      </w:r>
      <w:r>
        <w:fldChar w:fldCharType="separate"/>
      </w:r>
      <w:r>
        <w:t>119</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 xml:space="preserve">Existing managers under </w:t>
      </w:r>
      <w:r>
        <w:rPr>
          <w:i/>
          <w:snapToGrid w:val="0"/>
        </w:rPr>
        <w:t>Mental Health Act 1962</w:t>
      </w:r>
      <w:r>
        <w:rPr>
          <w:snapToGrid w:val="0"/>
        </w:rPr>
        <w:t xml:space="preserve"> to continue</w:t>
      </w:r>
      <w:r>
        <w:tab/>
      </w:r>
      <w:r>
        <w:fldChar w:fldCharType="begin"/>
      </w:r>
      <w:r>
        <w:instrText xml:space="preserve"> PAGEREF _Toc32242508 \h </w:instrText>
      </w:r>
      <w:r>
        <w:fldChar w:fldCharType="separate"/>
      </w:r>
      <w:r>
        <w:t>121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Application for administration order may be made</w:t>
      </w:r>
      <w:r>
        <w:tab/>
      </w:r>
      <w:r>
        <w:fldChar w:fldCharType="begin"/>
      </w:r>
      <w:r>
        <w:instrText xml:space="preserve"> PAGEREF _Toc32242509 \h </w:instrText>
      </w:r>
      <w:r>
        <w:fldChar w:fldCharType="separate"/>
      </w:r>
      <w:r>
        <w:t>121</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References in other laws</w:t>
      </w:r>
      <w:r>
        <w:tab/>
      </w:r>
      <w:r>
        <w:fldChar w:fldCharType="begin"/>
      </w:r>
      <w:r>
        <w:instrText xml:space="preserve"> PAGEREF _Toc32242510 \h </w:instrText>
      </w:r>
      <w:r>
        <w:fldChar w:fldCharType="separate"/>
      </w:r>
      <w:r>
        <w:t>122</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 xml:space="preserve">Proceedings in progress under </w:t>
      </w:r>
      <w:r>
        <w:rPr>
          <w:i/>
          <w:snapToGrid w:val="0"/>
        </w:rPr>
        <w:t xml:space="preserve">Mental Health Act 1962 </w:t>
      </w:r>
      <w:r>
        <w:rPr>
          <w:iCs/>
          <w:snapToGrid w:val="0"/>
        </w:rPr>
        <w:t>Pt. VI</w:t>
      </w:r>
      <w:r>
        <w:tab/>
      </w:r>
      <w:r>
        <w:fldChar w:fldCharType="begin"/>
      </w:r>
      <w:r>
        <w:instrText xml:space="preserve"> PAGEREF _Toc32242511 \h </w:instrText>
      </w:r>
      <w:r>
        <w:fldChar w:fldCharType="separate"/>
      </w:r>
      <w:r>
        <w:t>122</w:t>
      </w:r>
      <w:r>
        <w:fldChar w:fldCharType="end"/>
      </w:r>
    </w:p>
    <w:p>
      <w:pPr>
        <w:pStyle w:val="TOC8"/>
        <w:rPr>
          <w:rFonts w:asciiTheme="minorHAnsi" w:eastAsiaTheme="minorEastAsia" w:hAnsiTheme="minorHAnsi" w:cstheme="minorBidi"/>
          <w:szCs w:val="22"/>
        </w:rPr>
      </w:pPr>
      <w:r>
        <w:t>6</w:t>
      </w:r>
      <w:r>
        <w:rPr>
          <w:snapToGrid w:val="0"/>
        </w:rPr>
        <w:t xml:space="preserve">. </w:t>
      </w:r>
      <w:r>
        <w:rPr>
          <w:snapToGrid w:val="0"/>
        </w:rPr>
        <w:tab/>
        <w:t>Final accounts where administration order made</w:t>
      </w:r>
      <w:r>
        <w:tab/>
      </w:r>
      <w:r>
        <w:fldChar w:fldCharType="begin"/>
      </w:r>
      <w:r>
        <w:instrText xml:space="preserve"> PAGEREF _Toc32242512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Transitional matters in connection with Mental Health Act 2014</w:t>
      </w:r>
    </w:p>
    <w:p>
      <w:pPr>
        <w:pStyle w:val="TOC8"/>
        <w:rPr>
          <w:rFonts w:asciiTheme="minorHAnsi" w:eastAsiaTheme="minorEastAsia" w:hAnsiTheme="minorHAnsi" w:cstheme="minorBidi"/>
          <w:szCs w:val="22"/>
        </w:rPr>
      </w:pPr>
      <w:r>
        <w:t>7.</w:t>
      </w:r>
      <w:r>
        <w:tab/>
        <w:t>Estates being managed by Public Trustee under Division 1</w:t>
      </w:r>
      <w:r>
        <w:tab/>
      </w:r>
      <w:r>
        <w:fldChar w:fldCharType="begin"/>
      </w:r>
      <w:r>
        <w:instrText xml:space="preserve"> PAGEREF _Toc32242514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_Toc32242516 \h </w:instrText>
      </w:r>
      <w:r>
        <w:fldChar w:fldCharType="separate"/>
      </w:r>
      <w:r>
        <w:t>124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_Toc32242517 \h </w:instrText>
      </w:r>
      <w:r>
        <w:fldChar w:fldCharType="separate"/>
      </w:r>
      <w:r>
        <w:t>127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_Toc32242518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pPr>
        <w:pStyle w:val="Footnotelongtitle"/>
      </w:pPr>
      <w:r>
        <w:tab/>
        <w:t>[Long title amended: No. 55 of 2004 s. 417; No. 25 of 2008 s. 4.]</w:t>
      </w:r>
    </w:p>
    <w:p>
      <w:pPr>
        <w:pStyle w:val="Heading2"/>
      </w:pPr>
      <w:bookmarkStart w:id="3" w:name="_Toc32242074"/>
      <w:bookmarkStart w:id="4" w:name="_Toc32242297"/>
      <w:r>
        <w:rPr>
          <w:rStyle w:val="CharPartNo"/>
        </w:rPr>
        <w:t>Part 1</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2242298"/>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w:t>
      </w:r>
    </w:p>
    <w:p>
      <w:pPr>
        <w:pStyle w:val="Heading5"/>
        <w:rPr>
          <w:snapToGrid w:val="0"/>
        </w:rPr>
      </w:pPr>
      <w:bookmarkStart w:id="6" w:name="_Toc32242299"/>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7" w:name="_Toc32242300"/>
      <w:r>
        <w:rPr>
          <w:rStyle w:val="CharSectno"/>
        </w:rPr>
        <w:t>3</w:t>
      </w:r>
      <w:r>
        <w:rPr>
          <w:snapToGrid w:val="0"/>
        </w:rPr>
        <w:t>.</w:t>
      </w:r>
      <w:r>
        <w:rPr>
          <w:snapToGrid w:val="0"/>
        </w:rPr>
        <w:tab/>
        <w:t>Terms used</w:t>
      </w:r>
      <w:bookmarkEnd w:id="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advance health directive</w:t>
      </w:r>
      <w:r>
        <w:t xml:space="preserve"> means — </w:t>
      </w:r>
    </w:p>
    <w:p>
      <w:pPr>
        <w:pStyle w:val="Defpara"/>
      </w:pPr>
      <w:r>
        <w:tab/>
        <w:t>(a)</w:t>
      </w:r>
      <w:r>
        <w:tab/>
        <w:t>an advance health directive made under Part 9B; or</w:t>
      </w:r>
    </w:p>
    <w:p>
      <w:pPr>
        <w:pStyle w:val="Defpara"/>
      </w:pPr>
      <w:r>
        <w:tab/>
        <w:t>(b)</w:t>
      </w:r>
      <w:r>
        <w:tab/>
        <w:t>an instrument recognised as such under section 110ZA;</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keepNext/>
      </w:pPr>
      <w:r>
        <w:rPr>
          <w:b/>
        </w:rPr>
        <w:tab/>
      </w:r>
      <w:r>
        <w:rPr>
          <w:rStyle w:val="CharDefText"/>
        </w:rPr>
        <w:t>determination</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start"/>
      </w:pPr>
      <w:r>
        <w:rPr>
          <w:b/>
        </w:rPr>
        <w:tab/>
      </w:r>
      <w:r>
        <w:rPr>
          <w:rStyle w:val="CharDefText"/>
        </w:rPr>
        <w:t>enduring guardian</w:t>
      </w:r>
      <w:r>
        <w:t xml:space="preserve"> means — </w:t>
      </w:r>
    </w:p>
    <w:p>
      <w:pPr>
        <w:pStyle w:val="Defpara"/>
      </w:pPr>
      <w:r>
        <w:tab/>
        <w:t>(a)</w:t>
      </w:r>
      <w:r>
        <w:tab/>
        <w:t>the person who is the enduring guardian under an enduring power of guardianship; or</w:t>
      </w:r>
    </w:p>
    <w:p>
      <w:pPr>
        <w:pStyle w:val="Defpara"/>
      </w:pPr>
      <w:r>
        <w:tab/>
        <w:t>(b)</w:t>
      </w:r>
      <w:r>
        <w:tab/>
        <w:t>the persons who are the joint enduring guardians under an enduring power of guardianship,</w:t>
      </w:r>
    </w:p>
    <w:p>
      <w:pPr>
        <w:pStyle w:val="Defstart"/>
      </w:pPr>
      <w:r>
        <w:tab/>
        <w:t>and includes a substitute enduring guardian while he or she is the enduring guardian or a joint enduring guardian under an enduring power of guardianship;</w:t>
      </w:r>
    </w:p>
    <w:p>
      <w:pPr>
        <w:pStyle w:val="Defstart"/>
      </w:pPr>
      <w:r>
        <w:rPr>
          <w:b/>
        </w:rPr>
        <w:tab/>
      </w:r>
      <w:r>
        <w:rPr>
          <w:rStyle w:val="CharDefText"/>
        </w:rPr>
        <w:t>enduring power of guardianship</w:t>
      </w:r>
      <w:r>
        <w:rPr>
          <w:b/>
        </w:rPr>
        <w:t xml:space="preserve"> </w:t>
      </w:r>
      <w:r>
        <w:t xml:space="preserve">means — </w:t>
      </w:r>
    </w:p>
    <w:p>
      <w:pPr>
        <w:pStyle w:val="Defpara"/>
      </w:pPr>
      <w:r>
        <w:tab/>
        <w:t>(a)</w:t>
      </w:r>
      <w:r>
        <w:tab/>
        <w:t>an enduring power of guardianship made under Part 9A; or</w:t>
      </w:r>
    </w:p>
    <w:p>
      <w:pPr>
        <w:pStyle w:val="Defpara"/>
      </w:pPr>
      <w:r>
        <w:tab/>
        <w:t>(b)</w:t>
      </w:r>
      <w:r>
        <w:tab/>
        <w:t>an instrument recognised as such under section 110O;</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keepLines/>
      </w:pPr>
      <w:r>
        <w:rPr>
          <w:b/>
        </w:rPr>
        <w:tab/>
      </w:r>
      <w:r>
        <w:rPr>
          <w:rStyle w:val="CharDefText"/>
        </w:rPr>
        <w:t>Full Tribunal</w:t>
      </w:r>
      <w:r>
        <w:t xml:space="preserve"> means the State Administrative Tribunal constituted so as to consist of —</w:t>
      </w:r>
    </w:p>
    <w:p>
      <w:pPr>
        <w:pStyle w:val="Defpara"/>
        <w:keepLines/>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332"/>
          <w:tab w:val="right" w:pos="1320"/>
          <w:tab w:val="left" w:pos="1610"/>
        </w:tabs>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Schedule 1</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r>
      <w:r>
        <w:rPr>
          <w:rStyle w:val="CharDefText"/>
        </w:rPr>
        <w:t>substitute enduring guardian</w:t>
      </w:r>
      <w:r>
        <w:rPr>
          <w:bCs/>
        </w:rPr>
        <w:t xml:space="preserve"> </w:t>
      </w:r>
      <w:r>
        <w:t>means a person appointed as a substitute enduring guardian under section 110C(1);</w:t>
      </w:r>
    </w:p>
    <w:p>
      <w:pPr>
        <w:pStyle w:val="Defstart"/>
      </w:pPr>
      <w:r>
        <w:rPr>
          <w:b/>
        </w:rPr>
        <w:tab/>
      </w:r>
      <w:r>
        <w:rPr>
          <w:rStyle w:val="CharDefText"/>
        </w:rPr>
        <w:t>treatment</w:t>
      </w:r>
      <w:r>
        <w:t xml:space="preserve"> means — </w:t>
      </w:r>
    </w:p>
    <w:p>
      <w:pPr>
        <w:pStyle w:val="Defpara"/>
      </w:pPr>
      <w:r>
        <w:tab/>
        <w:t>(a)</w:t>
      </w:r>
      <w:r>
        <w:tab/>
        <w:t xml:space="preserve">medical or surgical treatment, including — </w:t>
      </w:r>
    </w:p>
    <w:p>
      <w:pPr>
        <w:pStyle w:val="Defsubpara"/>
      </w:pPr>
      <w:r>
        <w:tab/>
        <w:t>(i)</w:t>
      </w:r>
      <w:r>
        <w:tab/>
        <w:t>a life sustaining measure; and</w:t>
      </w:r>
    </w:p>
    <w:p>
      <w:pPr>
        <w:pStyle w:val="Defsubpara"/>
      </w:pPr>
      <w:r>
        <w:tab/>
        <w:t>(ii)</w:t>
      </w:r>
      <w:r>
        <w:tab/>
        <w:t>palliative care;</w:t>
      </w:r>
    </w:p>
    <w:p>
      <w:pPr>
        <w:pStyle w:val="Defpara"/>
      </w:pPr>
      <w:r>
        <w:tab/>
      </w:r>
      <w:r>
        <w:tab/>
        <w:t>or</w:t>
      </w:r>
    </w:p>
    <w:p>
      <w:pPr>
        <w:pStyle w:val="Defpara"/>
      </w:pPr>
      <w:r>
        <w:tab/>
        <w:t>(b)</w:t>
      </w:r>
      <w:r>
        <w:tab/>
        <w:t>dental treatment; or</w:t>
      </w:r>
    </w:p>
    <w:p>
      <w:pPr>
        <w:pStyle w:val="Defpara"/>
      </w:pPr>
      <w:r>
        <w:tab/>
        <w:t>(c)</w:t>
      </w:r>
      <w:r>
        <w:tab/>
        <w:t>other health care;</w:t>
      </w:r>
    </w:p>
    <w:p>
      <w:pPr>
        <w:pStyle w:val="Defstart"/>
      </w:pPr>
      <w:r>
        <w:rPr>
          <w:b/>
        </w:rPr>
        <w:tab/>
      </w:r>
      <w:r>
        <w:rPr>
          <w:rStyle w:val="CharDefText"/>
        </w:rPr>
        <w:t>treatment decision</w:t>
      </w:r>
      <w:r>
        <w:t>, in relation to a person, means a decision to consent or refuse consent to the commencement or continuation of any treatment of the person.</w:t>
      </w:r>
    </w:p>
    <w:p>
      <w:pPr>
        <w:pStyle w:val="Subsection"/>
      </w:pPr>
      <w:r>
        <w:tab/>
        <w:t>(2)</w:t>
      </w:r>
      <w:r>
        <w:tab/>
        <w:t>A reference in a written law to the committee of the person of a person is to be read as a reference to the guardian of that person.</w:t>
      </w:r>
    </w:p>
    <w:p>
      <w:pPr>
        <w:pStyle w:val="Footnotesection"/>
      </w:pPr>
      <w:r>
        <w:tab/>
        <w:t xml:space="preserve">[Section 3 amended: No. 16 of 1992 s. 4 and 17; No. 7 of 1996 s. 4; No. 69 of 1996 s. 33; No. 70 of 2000 s. 4; No. 3 of 2002 s. 68; No. 65 of 2003 s. 40(2); No. 55 of 2004 s. 418 and 466(1); No. 21 of 2008 s. 667(2); No. 25 of 2008 s. 5; No. 8 of 2009 s. 68; No. 19 of 2010 s. 18(2); No. 25 of 2014 s. 20.] </w:t>
      </w:r>
    </w:p>
    <w:p>
      <w:pPr>
        <w:pStyle w:val="Heading5"/>
      </w:pPr>
      <w:bookmarkStart w:id="8" w:name="_Toc32242301"/>
      <w:r>
        <w:rPr>
          <w:rStyle w:val="CharSectno"/>
        </w:rPr>
        <w:t>3A</w:t>
      </w:r>
      <w:r>
        <w:t>.</w:t>
      </w:r>
      <w:r>
        <w:tab/>
        <w:t>Inherent jurisdiction of Supreme Court not affected</w:t>
      </w:r>
      <w:bookmarkEnd w:id="8"/>
    </w:p>
    <w:p>
      <w:pPr>
        <w:pStyle w:val="Subsection"/>
      </w:pPr>
      <w:r>
        <w:tab/>
      </w:r>
      <w:r>
        <w:tab/>
        <w:t>Nothing in this Act affects the inherent jurisdiction of the Supreme Court.</w:t>
      </w:r>
    </w:p>
    <w:p>
      <w:pPr>
        <w:pStyle w:val="Footnotesection"/>
      </w:pPr>
      <w:r>
        <w:tab/>
        <w:t>[Section 3A inserted: No. 55 of 2004 s. 419.]</w:t>
      </w:r>
    </w:p>
    <w:p>
      <w:pPr>
        <w:pStyle w:val="Heading2"/>
      </w:pPr>
      <w:bookmarkStart w:id="9" w:name="_Toc32242079"/>
      <w:bookmarkStart w:id="10" w:name="_Toc32242302"/>
      <w:r>
        <w:rPr>
          <w:rStyle w:val="CharPartNo"/>
        </w:rPr>
        <w:t>Part 2</w:t>
      </w:r>
      <w:r>
        <w:rPr>
          <w:rStyle w:val="CharDivNo"/>
        </w:rPr>
        <w:t> </w:t>
      </w:r>
      <w:r>
        <w:t>—</w:t>
      </w:r>
      <w:r>
        <w:rPr>
          <w:rStyle w:val="CharDivText"/>
        </w:rPr>
        <w:t> </w:t>
      </w:r>
      <w:r>
        <w:rPr>
          <w:rStyle w:val="CharPartText"/>
        </w:rPr>
        <w:t>Principles to be observed by State Administrative Tribunal</w:t>
      </w:r>
      <w:bookmarkEnd w:id="9"/>
      <w:bookmarkEnd w:id="10"/>
    </w:p>
    <w:p>
      <w:pPr>
        <w:pStyle w:val="Footnotesection"/>
      </w:pPr>
      <w:r>
        <w:tab/>
        <w:t>[Heading amended: No. 55 of 2004 s. 466(1).]</w:t>
      </w:r>
    </w:p>
    <w:p>
      <w:pPr>
        <w:pStyle w:val="Heading5"/>
        <w:rPr>
          <w:snapToGrid w:val="0"/>
        </w:rPr>
      </w:pPr>
      <w:bookmarkStart w:id="11" w:name="_Toc32242303"/>
      <w:r>
        <w:rPr>
          <w:rStyle w:val="CharSectno"/>
        </w:rPr>
        <w:t>4</w:t>
      </w:r>
      <w:r>
        <w:rPr>
          <w:snapToGrid w:val="0"/>
        </w:rPr>
        <w:t>.</w:t>
      </w:r>
      <w:r>
        <w:rPr>
          <w:snapToGrid w:val="0"/>
        </w:rPr>
        <w:tab/>
        <w:t>Principles stated</w:t>
      </w:r>
      <w:bookmarkEnd w:id="11"/>
      <w:r>
        <w:rPr>
          <w:snapToGrid w:val="0"/>
        </w:rPr>
        <w:t xml:space="preserve"> </w:t>
      </w:r>
    </w:p>
    <w:p>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r>
        <w:t>this section.</w:t>
      </w:r>
    </w:p>
    <w:p>
      <w:pPr>
        <w:pStyle w:val="Subsection"/>
        <w:rPr>
          <w:snapToGrid w:val="0"/>
        </w:rPr>
      </w:pPr>
      <w:r>
        <w:rPr>
          <w:snapToGrid w:val="0"/>
        </w:rPr>
        <w:tab/>
        <w:t>(2)</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(3)</w:t>
      </w:r>
      <w:r>
        <w:rPr>
          <w:snapToGrid w:val="0"/>
        </w:rPr>
        <w:tab/>
        <w:t>Every person shall be presumed to be capable of — </w:t>
      </w:r>
    </w:p>
    <w:p>
      <w:pPr>
        <w:pStyle w:val="Indenta"/>
        <w:rPr>
          <w:snapToGrid w:val="0"/>
        </w:rPr>
      </w:pPr>
      <w:r>
        <w:rPr>
          <w:snapToGrid w:val="0"/>
        </w:rPr>
        <w:tab/>
        <w:t>(a)</w:t>
      </w:r>
      <w:r>
        <w:rPr>
          <w:snapToGrid w:val="0"/>
        </w:rPr>
        <w:tab/>
        <w:t>looking after his own health and safety;</w:t>
      </w:r>
    </w:p>
    <w:p>
      <w:pPr>
        <w:pStyle w:val="Indenta"/>
        <w:rPr>
          <w:snapToGrid w:val="0"/>
        </w:rPr>
      </w:pPr>
      <w:r>
        <w:rPr>
          <w:snapToGrid w:val="0"/>
        </w:rPr>
        <w:tab/>
        <w:t>(b)</w:t>
      </w:r>
      <w:r>
        <w:rPr>
          <w:snapToGrid w:val="0"/>
        </w:rPr>
        <w:tab/>
        <w:t>making reasonable judgments in respect of matters relating to his person;</w:t>
      </w:r>
    </w:p>
    <w:p>
      <w:pPr>
        <w:pStyle w:val="Indenta"/>
        <w:rPr>
          <w:snapToGrid w:val="0"/>
        </w:rPr>
      </w:pPr>
      <w:r>
        <w:rPr>
          <w:snapToGrid w:val="0"/>
        </w:rPr>
        <w:tab/>
        <w:t>(c)</w:t>
      </w:r>
      <w:r>
        <w:rPr>
          <w:snapToGrid w:val="0"/>
        </w:rPr>
        <w:tab/>
        <w:t>managing his own affairs; and</w:t>
      </w:r>
    </w:p>
    <w:p>
      <w:pPr>
        <w:pStyle w:val="Indenta"/>
        <w:rPr>
          <w:snapToGrid w:val="0"/>
        </w:rPr>
      </w:pPr>
      <w:r>
        <w:rPr>
          <w:snapToGrid w:val="0"/>
        </w:rPr>
        <w:tab/>
        <w:t>(d)</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(4)</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(5)</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(6)</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(7)</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No. 7 of 1996 s. 5; No. 55 of 2004 s. 420 and 466(1); No. 5 of 2008 s. 57(3); No. 19 of 2010 s. 51.] </w:t>
      </w:r>
    </w:p>
    <w:p>
      <w:pPr>
        <w:pStyle w:val="Heading2"/>
        <w:rPr>
          <w:snapToGrid/>
        </w:rPr>
      </w:pPr>
      <w:bookmarkStart w:id="12" w:name="_Toc32242081"/>
      <w:bookmarkStart w:id="13" w:name="_Toc32242304"/>
      <w:r>
        <w:rPr>
          <w:rStyle w:val="CharPartNo"/>
        </w:rPr>
        <w:t>Part 3</w:t>
      </w:r>
      <w:r>
        <w:rPr>
          <w:snapToGrid/>
        </w:rPr>
        <w:t xml:space="preserve"> — </w:t>
      </w:r>
      <w:r>
        <w:rPr>
          <w:rStyle w:val="CharPartText"/>
        </w:rPr>
        <w:t>The State Administrative Tribunal</w:t>
      </w:r>
      <w:bookmarkEnd w:id="12"/>
      <w:bookmarkEnd w:id="13"/>
    </w:p>
    <w:p>
      <w:pPr>
        <w:pStyle w:val="Footnoteheading"/>
        <w:tabs>
          <w:tab w:val="left" w:pos="851"/>
        </w:tabs>
      </w:pPr>
      <w:r>
        <w:tab/>
        <w:t>[Heading inserted: No. 55 of 2004 s. 421.]</w:t>
      </w:r>
    </w:p>
    <w:p>
      <w:pPr>
        <w:pStyle w:val="Heading3"/>
        <w:rPr>
          <w:snapToGrid w:val="0"/>
        </w:rPr>
      </w:pPr>
      <w:bookmarkStart w:id="14" w:name="_Toc32242082"/>
      <w:bookmarkStart w:id="15" w:name="_Toc32242305"/>
      <w:r>
        <w:rPr>
          <w:rStyle w:val="CharDivNo"/>
        </w:rPr>
        <w:t>Division 1</w:t>
      </w:r>
      <w:r>
        <w:t xml:space="preserve"> — </w:t>
      </w:r>
      <w:r>
        <w:rPr>
          <w:rStyle w:val="CharDivText"/>
        </w:rPr>
        <w:t>Functions and proceedings</w:t>
      </w:r>
      <w:bookmarkEnd w:id="14"/>
      <w:bookmarkEnd w:id="15"/>
    </w:p>
    <w:p>
      <w:pPr>
        <w:pStyle w:val="Footnoteheading"/>
        <w:tabs>
          <w:tab w:val="left" w:pos="851"/>
        </w:tabs>
      </w:pPr>
      <w:r>
        <w:tab/>
        <w:t>[Heading inserted: No. 55 of 2004 s. 421; amended: No. 5 of 2008 s. 56(2).]</w:t>
      </w:r>
    </w:p>
    <w:p>
      <w:pPr>
        <w:pStyle w:val="Ednotesection"/>
        <w:ind w:left="890" w:hanging="890"/>
      </w:pPr>
      <w:r>
        <w:t>[</w:t>
      </w:r>
      <w:r>
        <w:rPr>
          <w:b/>
          <w:bCs/>
        </w:rPr>
        <w:t>5.</w:t>
      </w:r>
      <w:r>
        <w:tab/>
        <w:t>Deleted: No. 5 of 2008 s. 56(1).]</w:t>
      </w:r>
    </w:p>
    <w:p>
      <w:pPr>
        <w:pStyle w:val="Ednotesection"/>
        <w:rPr>
          <w:b/>
        </w:rPr>
      </w:pPr>
      <w:r>
        <w:t>[</w:t>
      </w:r>
      <w:r>
        <w:rPr>
          <w:b/>
        </w:rPr>
        <w:t>6</w:t>
      </w:r>
      <w:r>
        <w:rPr>
          <w:b/>
        </w:rPr>
        <w:noBreakHyphen/>
        <w:t>12.</w:t>
      </w:r>
      <w:r>
        <w:rPr>
          <w:b/>
        </w:rPr>
        <w:tab/>
      </w:r>
      <w:r>
        <w:t>Deleted: No. 55 of 2004 s. 423.]</w:t>
      </w:r>
    </w:p>
    <w:p>
      <w:pPr>
        <w:pStyle w:val="Footnoteheading"/>
        <w:tabs>
          <w:tab w:val="left" w:pos="851"/>
        </w:tabs>
        <w:spacing w:before="240"/>
      </w:pPr>
      <w:r>
        <w:tab/>
        <w:t>[Heading deleted: No. 55 of 2004 s. 424.]</w:t>
      </w:r>
    </w:p>
    <w:p>
      <w:pPr>
        <w:pStyle w:val="Heading5"/>
        <w:spacing w:before="240"/>
        <w:rPr>
          <w:snapToGrid w:val="0"/>
        </w:rPr>
      </w:pPr>
      <w:bookmarkStart w:id="16" w:name="_Toc32242306"/>
      <w:r>
        <w:rPr>
          <w:rStyle w:val="CharSectno"/>
        </w:rPr>
        <w:t>13</w:t>
      </w:r>
      <w:r>
        <w:rPr>
          <w:snapToGrid w:val="0"/>
        </w:rPr>
        <w:t>.</w:t>
      </w:r>
      <w:r>
        <w:rPr>
          <w:snapToGrid w:val="0"/>
        </w:rPr>
        <w:tab/>
        <w:t>Jurisdiction of State Administrative Tribunal</w:t>
      </w:r>
      <w:bookmarkEnd w:id="16"/>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keepLines w:val="0"/>
        <w:ind w:left="890" w:hanging="890"/>
      </w:pPr>
      <w:r>
        <w:tab/>
        <w:t xml:space="preserve">[Section 13 amended: No. 7 of 1996 s. 10; No. 55 of 2004 s. 425.] </w:t>
      </w:r>
    </w:p>
    <w:p>
      <w:pPr>
        <w:pStyle w:val="Ednotesection"/>
      </w:pPr>
      <w:r>
        <w:t>[</w:t>
      </w:r>
      <w:r>
        <w:rPr>
          <w:b/>
        </w:rPr>
        <w:t>14</w:t>
      </w:r>
      <w:r>
        <w:rPr>
          <w:b/>
        </w:rPr>
        <w:noBreakHyphen/>
        <w:t>15A.</w:t>
      </w:r>
      <w:r>
        <w:tab/>
        <w:t>Deleted: No. 55 of 2004 s. 426.]</w:t>
      </w:r>
    </w:p>
    <w:p>
      <w:pPr>
        <w:pStyle w:val="Heading5"/>
        <w:rPr>
          <w:snapToGrid w:val="0"/>
        </w:rPr>
      </w:pPr>
      <w:bookmarkStart w:id="17" w:name="_Toc32242307"/>
      <w:r>
        <w:rPr>
          <w:rStyle w:val="CharSectno"/>
        </w:rPr>
        <w:t>16</w:t>
      </w:r>
      <w:r>
        <w:rPr>
          <w:snapToGrid w:val="0"/>
        </w:rPr>
        <w:t>.</w:t>
      </w:r>
      <w:r>
        <w:rPr>
          <w:snapToGrid w:val="0"/>
        </w:rPr>
        <w:tab/>
        <w:t>Costs</w:t>
      </w:r>
      <w:bookmarkEnd w:id="17"/>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No. 16 of 1992 s. 18; No. 55 of 2004 s. 427 and 466.] </w:t>
      </w:r>
    </w:p>
    <w:p>
      <w:pPr>
        <w:pStyle w:val="Heading5"/>
        <w:rPr>
          <w:snapToGrid w:val="0"/>
        </w:rPr>
      </w:pPr>
      <w:bookmarkStart w:id="18" w:name="_Toc32242308"/>
      <w:r>
        <w:rPr>
          <w:rStyle w:val="CharSectno"/>
        </w:rPr>
        <w:t>17</w:t>
      </w:r>
      <w:r>
        <w:rPr>
          <w:snapToGrid w:val="0"/>
        </w:rPr>
        <w:t>.</w:t>
      </w:r>
      <w:r>
        <w:rPr>
          <w:snapToGrid w:val="0"/>
        </w:rPr>
        <w:tab/>
        <w:t>Further provisions as to proceedings</w:t>
      </w:r>
      <w:bookmarkEnd w:id="18"/>
      <w:r>
        <w:rPr>
          <w:snapToGrid w:val="0"/>
        </w:rPr>
        <w:t xml:space="preserve"> </w:t>
      </w:r>
    </w:p>
    <w:p>
      <w:pPr>
        <w:pStyle w:val="Subsection"/>
        <w:rPr>
          <w:snapToGrid w:val="0"/>
        </w:rPr>
      </w:pPr>
      <w:r>
        <w:rPr>
          <w:snapToGrid w:val="0"/>
        </w:rPr>
        <w:tab/>
        <w:t>(1)</w:t>
      </w:r>
      <w:r>
        <w:rPr>
          <w:snapToGrid w:val="0"/>
        </w:rPr>
        <w:tab/>
        <w:t xml:space="preserve">The provisions of </w:t>
      </w:r>
      <w:r>
        <w:rPr>
          <w:rFonts w:eastAsia="MS Mincho"/>
        </w:rPr>
        <w:t xml:space="preserve">Schedule 1 </w:t>
      </w:r>
      <w:r>
        <w:rPr>
          <w:snapToGrid w:val="0"/>
        </w:rPr>
        <w:t>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No. 55 of 2004 s. 428; No. 19 of 2010 s. 18(2).]</w:t>
      </w:r>
    </w:p>
    <w:p>
      <w:pPr>
        <w:pStyle w:val="Heading3"/>
        <w:rPr>
          <w:snapToGrid w:val="0"/>
        </w:rPr>
      </w:pPr>
      <w:bookmarkStart w:id="19" w:name="_Toc32242086"/>
      <w:bookmarkStart w:id="20" w:name="_Toc32242309"/>
      <w:r>
        <w:rPr>
          <w:rStyle w:val="CharDivNo"/>
        </w:rPr>
        <w:t>Division 2A</w:t>
      </w:r>
      <w:r>
        <w:rPr>
          <w:snapToGrid w:val="0"/>
        </w:rPr>
        <w:t> — </w:t>
      </w:r>
      <w:r>
        <w:rPr>
          <w:rStyle w:val="CharDivText"/>
        </w:rPr>
        <w:t>Review of determination where State Administrative Tribunal comprises one member</w:t>
      </w:r>
      <w:bookmarkEnd w:id="19"/>
      <w:bookmarkEnd w:id="20"/>
      <w:r>
        <w:rPr>
          <w:rStyle w:val="CharDivText"/>
        </w:rPr>
        <w:t xml:space="preserve"> </w:t>
      </w:r>
    </w:p>
    <w:p>
      <w:pPr>
        <w:pStyle w:val="Footnoteheading"/>
        <w:rPr>
          <w:snapToGrid w:val="0"/>
        </w:rPr>
      </w:pPr>
      <w:r>
        <w:rPr>
          <w:snapToGrid w:val="0"/>
        </w:rPr>
        <w:tab/>
        <w:t xml:space="preserve">[Heading inserted: No. 16 of 1992 s. 8; amended: No. 55 of 2004 s. 466(1).] </w:t>
      </w:r>
    </w:p>
    <w:p>
      <w:pPr>
        <w:pStyle w:val="Heading5"/>
        <w:rPr>
          <w:snapToGrid w:val="0"/>
        </w:rPr>
      </w:pPr>
      <w:bookmarkStart w:id="21" w:name="_Toc32242310"/>
      <w:r>
        <w:rPr>
          <w:rStyle w:val="CharSectno"/>
        </w:rPr>
        <w:t>17A</w:t>
      </w:r>
      <w:r>
        <w:rPr>
          <w:snapToGrid w:val="0"/>
        </w:rPr>
        <w:t>.</w:t>
      </w:r>
      <w:r>
        <w:rPr>
          <w:snapToGrid w:val="0"/>
        </w:rPr>
        <w:tab/>
        <w:t>Review</w:t>
      </w:r>
      <w:bookmarkEnd w:id="21"/>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No. 16 of 1992 s. 8; amended: No. 7 of 1996 s. 37; No. 70 of 2000 s. 7; No. 55 of 2004 s. 429 and 466.] </w:t>
      </w:r>
    </w:p>
    <w:p>
      <w:pPr>
        <w:pStyle w:val="Heading5"/>
        <w:rPr>
          <w:snapToGrid w:val="0"/>
        </w:rPr>
      </w:pPr>
      <w:bookmarkStart w:id="22" w:name="_Toc32242311"/>
      <w:r>
        <w:rPr>
          <w:rStyle w:val="CharSectno"/>
        </w:rPr>
        <w:t>17B</w:t>
      </w:r>
      <w:r>
        <w:rPr>
          <w:snapToGrid w:val="0"/>
        </w:rPr>
        <w:t>.</w:t>
      </w:r>
      <w:r>
        <w:rPr>
          <w:snapToGrid w:val="0"/>
        </w:rPr>
        <w:tab/>
        <w:t>Executive officer to give notice of review</w:t>
      </w:r>
      <w:bookmarkEnd w:id="22"/>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w:t>
      </w:r>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No. 16 of 1992 s. 8; amended: No. 7 of 1996 s. 36; No. 55 of 2004 s. 430 and 466(1); No. 19 of 2010 s. 18(2).] </w:t>
      </w:r>
    </w:p>
    <w:p>
      <w:pPr>
        <w:pStyle w:val="Ednotesection"/>
      </w:pPr>
      <w:r>
        <w:t>[</w:t>
      </w:r>
      <w:r>
        <w:rPr>
          <w:b/>
        </w:rPr>
        <w:t>17C, 17D.</w:t>
      </w:r>
      <w:r>
        <w:rPr>
          <w:b/>
        </w:rPr>
        <w:tab/>
      </w:r>
      <w:r>
        <w:t>Deleted: No. 55 of 2004 s. 431.]</w:t>
      </w:r>
    </w:p>
    <w:p>
      <w:pPr>
        <w:pStyle w:val="Heading3"/>
        <w:rPr>
          <w:snapToGrid w:val="0"/>
        </w:rPr>
      </w:pPr>
      <w:bookmarkStart w:id="23" w:name="_Toc32242089"/>
      <w:bookmarkStart w:id="24" w:name="_Toc32242312"/>
      <w:r>
        <w:rPr>
          <w:rStyle w:val="CharDivNo"/>
        </w:rPr>
        <w:t>Division 3</w:t>
      </w:r>
      <w:r>
        <w:rPr>
          <w:snapToGrid w:val="0"/>
        </w:rPr>
        <w:t> — </w:t>
      </w:r>
      <w:r>
        <w:rPr>
          <w:rStyle w:val="CharDivText"/>
        </w:rPr>
        <w:t>Appeals</w:t>
      </w:r>
      <w:bookmarkEnd w:id="23"/>
      <w:bookmarkEnd w:id="24"/>
      <w:r>
        <w:rPr>
          <w:rStyle w:val="CharDivText"/>
        </w:rPr>
        <w:t xml:space="preserve"> </w:t>
      </w:r>
    </w:p>
    <w:p>
      <w:pPr>
        <w:pStyle w:val="Heading5"/>
        <w:rPr>
          <w:snapToGrid w:val="0"/>
        </w:rPr>
      </w:pPr>
      <w:bookmarkStart w:id="25" w:name="_Toc32242313"/>
      <w:r>
        <w:rPr>
          <w:rStyle w:val="CharSectno"/>
        </w:rPr>
        <w:t>18</w:t>
      </w:r>
      <w:r>
        <w:rPr>
          <w:snapToGrid w:val="0"/>
        </w:rPr>
        <w:t>.</w:t>
      </w:r>
      <w:r>
        <w:rPr>
          <w:snapToGrid w:val="0"/>
        </w:rPr>
        <w:tab/>
        <w:t>Term used: Court</w:t>
      </w:r>
      <w:bookmarkEnd w:id="25"/>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No. 7 of 1996 s. 13; No. 45 of 2004 s. 37; No. 55 of 2004 s. 466.] </w:t>
      </w:r>
    </w:p>
    <w:p>
      <w:pPr>
        <w:pStyle w:val="Heading5"/>
        <w:spacing w:before="180"/>
        <w:rPr>
          <w:snapToGrid w:val="0"/>
        </w:rPr>
      </w:pPr>
      <w:bookmarkStart w:id="26" w:name="_Toc32242314"/>
      <w:r>
        <w:rPr>
          <w:rStyle w:val="CharSectno"/>
        </w:rPr>
        <w:t>19</w:t>
      </w:r>
      <w:r>
        <w:rPr>
          <w:snapToGrid w:val="0"/>
        </w:rPr>
        <w:t>.</w:t>
      </w:r>
      <w:r>
        <w:rPr>
          <w:snapToGrid w:val="0"/>
        </w:rPr>
        <w:tab/>
        <w:t>Right of appeal by leave</w:t>
      </w:r>
      <w:bookmarkEnd w:id="26"/>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No. 7 of 1996 s. 14; amended: No. 45 of 2004 s. 37; No. 55 of 2004 s. 432 and 466(1).] </w:t>
      </w:r>
    </w:p>
    <w:p>
      <w:pPr>
        <w:pStyle w:val="Heading5"/>
        <w:spacing w:before="180"/>
        <w:rPr>
          <w:snapToGrid w:val="0"/>
        </w:rPr>
      </w:pPr>
      <w:bookmarkStart w:id="27" w:name="_Toc32242315"/>
      <w:r>
        <w:rPr>
          <w:rStyle w:val="CharSectno"/>
        </w:rPr>
        <w:t>20</w:t>
      </w:r>
      <w:r>
        <w:rPr>
          <w:snapToGrid w:val="0"/>
        </w:rPr>
        <w:t>.</w:t>
      </w:r>
      <w:r>
        <w:rPr>
          <w:snapToGrid w:val="0"/>
        </w:rPr>
        <w:tab/>
        <w:t>Application for leave</w:t>
      </w:r>
      <w:bookmarkEnd w:id="27"/>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No. 7 of 1996 s. 15.] </w:t>
      </w:r>
    </w:p>
    <w:p>
      <w:pPr>
        <w:pStyle w:val="Heading5"/>
        <w:spacing w:before="180"/>
        <w:rPr>
          <w:snapToGrid w:val="0"/>
        </w:rPr>
      </w:pPr>
      <w:bookmarkStart w:id="28" w:name="_Toc32242316"/>
      <w:r>
        <w:rPr>
          <w:rStyle w:val="CharSectno"/>
        </w:rPr>
        <w:t>21</w:t>
      </w:r>
      <w:r>
        <w:rPr>
          <w:snapToGrid w:val="0"/>
        </w:rPr>
        <w:t>.</w:t>
      </w:r>
      <w:r>
        <w:rPr>
          <w:snapToGrid w:val="0"/>
        </w:rPr>
        <w:tab/>
        <w:t>Grounds</w:t>
      </w:r>
      <w:bookmarkEnd w:id="28"/>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No. 55 of 2004 s. 466(1).]</w:t>
      </w:r>
    </w:p>
    <w:p>
      <w:pPr>
        <w:pStyle w:val="Heading5"/>
        <w:spacing w:before="180"/>
        <w:rPr>
          <w:snapToGrid w:val="0"/>
        </w:rPr>
      </w:pPr>
      <w:bookmarkStart w:id="29" w:name="_Toc32242317"/>
      <w:r>
        <w:rPr>
          <w:rStyle w:val="CharSectno"/>
        </w:rPr>
        <w:t>22</w:t>
      </w:r>
      <w:r>
        <w:rPr>
          <w:snapToGrid w:val="0"/>
        </w:rPr>
        <w:t>.</w:t>
      </w:r>
      <w:r>
        <w:rPr>
          <w:snapToGrid w:val="0"/>
        </w:rPr>
        <w:tab/>
        <w:t>Grant or refusal of leave</w:t>
      </w:r>
      <w:bookmarkEnd w:id="29"/>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30" w:name="_Toc32242318"/>
      <w:r>
        <w:rPr>
          <w:rStyle w:val="CharSectno"/>
        </w:rPr>
        <w:t>23</w:t>
      </w:r>
      <w:r>
        <w:rPr>
          <w:snapToGrid w:val="0"/>
        </w:rPr>
        <w:t>.</w:t>
      </w:r>
      <w:r>
        <w:rPr>
          <w:snapToGrid w:val="0"/>
        </w:rPr>
        <w:tab/>
        <w:t>Ancillary orders and directions</w:t>
      </w:r>
      <w:bookmarkEnd w:id="30"/>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31" w:name="_Toc32242319"/>
      <w:r>
        <w:rPr>
          <w:rStyle w:val="CharSectno"/>
        </w:rPr>
        <w:t>24</w:t>
      </w:r>
      <w:r>
        <w:rPr>
          <w:snapToGrid w:val="0"/>
        </w:rPr>
        <w:t>.</w:t>
      </w:r>
      <w:r>
        <w:rPr>
          <w:snapToGrid w:val="0"/>
        </w:rPr>
        <w:tab/>
        <w:t>Reference of application to Court</w:t>
      </w:r>
      <w:bookmarkEnd w:id="31"/>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No. 16 of 1992 s. 10; amended: No. 55 of 2004 s. 466.] </w:t>
      </w:r>
    </w:p>
    <w:p>
      <w:pPr>
        <w:pStyle w:val="Heading5"/>
        <w:rPr>
          <w:snapToGrid w:val="0"/>
        </w:rPr>
      </w:pPr>
      <w:bookmarkStart w:id="32" w:name="_Toc32242320"/>
      <w:r>
        <w:rPr>
          <w:rStyle w:val="CharSectno"/>
        </w:rPr>
        <w:t>25</w:t>
      </w:r>
      <w:r>
        <w:rPr>
          <w:snapToGrid w:val="0"/>
        </w:rPr>
        <w:t>.</w:t>
      </w:r>
      <w:r>
        <w:rPr>
          <w:snapToGrid w:val="0"/>
        </w:rPr>
        <w:tab/>
        <w:t>Application and appeal may be heard together</w:t>
      </w:r>
      <w:bookmarkEnd w:id="32"/>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33" w:name="_Toc32242321"/>
      <w:r>
        <w:rPr>
          <w:rStyle w:val="CharSectno"/>
        </w:rPr>
        <w:t>26</w:t>
      </w:r>
      <w:r>
        <w:rPr>
          <w:snapToGrid w:val="0"/>
        </w:rPr>
        <w:t>.</w:t>
      </w:r>
      <w:r>
        <w:rPr>
          <w:snapToGrid w:val="0"/>
        </w:rPr>
        <w:tab/>
        <w:t>Notice to other parties</w:t>
      </w:r>
      <w:bookmarkEnd w:id="33"/>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No. 55 of 2004 s. 466(1).]</w:t>
      </w:r>
    </w:p>
    <w:p>
      <w:pPr>
        <w:pStyle w:val="Heading5"/>
        <w:rPr>
          <w:snapToGrid w:val="0"/>
        </w:rPr>
      </w:pPr>
      <w:bookmarkStart w:id="34" w:name="_Toc32242322"/>
      <w:r>
        <w:rPr>
          <w:rStyle w:val="CharSectno"/>
        </w:rPr>
        <w:t>27</w:t>
      </w:r>
      <w:r>
        <w:rPr>
          <w:snapToGrid w:val="0"/>
        </w:rPr>
        <w:t>.</w:t>
      </w:r>
      <w:r>
        <w:rPr>
          <w:snapToGrid w:val="0"/>
        </w:rPr>
        <w:tab/>
        <w:t>Amendment of grounds of appeal</w:t>
      </w:r>
      <w:bookmarkEnd w:id="34"/>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35" w:name="_Toc32242323"/>
      <w:r>
        <w:rPr>
          <w:rStyle w:val="CharSectno"/>
        </w:rPr>
        <w:t>28</w:t>
      </w:r>
      <w:r>
        <w:rPr>
          <w:snapToGrid w:val="0"/>
        </w:rPr>
        <w:t>.</w:t>
      </w:r>
      <w:r>
        <w:rPr>
          <w:snapToGrid w:val="0"/>
        </w:rPr>
        <w:tab/>
        <w:t>Status of State Administrative Tribunal’s determination pending disposal of appeal</w:t>
      </w:r>
      <w:bookmarkEnd w:id="35"/>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pPr>
        <w:pStyle w:val="Footnotesection"/>
      </w:pPr>
      <w:r>
        <w:tab/>
        <w:t>[Section 28 amended: No. 55 of 2004 s. 466(1).]</w:t>
      </w:r>
    </w:p>
    <w:p>
      <w:pPr>
        <w:pStyle w:val="Heading5"/>
        <w:rPr>
          <w:snapToGrid w:val="0"/>
        </w:rPr>
      </w:pPr>
      <w:bookmarkStart w:id="36" w:name="_Toc32242324"/>
      <w:r>
        <w:rPr>
          <w:rStyle w:val="CharSectno"/>
        </w:rPr>
        <w:t>29</w:t>
      </w:r>
      <w:r>
        <w:rPr>
          <w:snapToGrid w:val="0"/>
        </w:rPr>
        <w:t>.</w:t>
      </w:r>
      <w:r>
        <w:rPr>
          <w:snapToGrid w:val="0"/>
        </w:rPr>
        <w:tab/>
        <w:t>Nature of appeal, and evidence</w:t>
      </w:r>
      <w:bookmarkEnd w:id="36"/>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No. 55 of 2004 s. 466.]</w:t>
      </w:r>
    </w:p>
    <w:p>
      <w:pPr>
        <w:pStyle w:val="Heading5"/>
        <w:spacing w:before="180"/>
        <w:rPr>
          <w:snapToGrid w:val="0"/>
        </w:rPr>
      </w:pPr>
      <w:bookmarkStart w:id="37" w:name="_Toc32242325"/>
      <w:r>
        <w:rPr>
          <w:rStyle w:val="CharSectno"/>
        </w:rPr>
        <w:t>30</w:t>
      </w:r>
      <w:r>
        <w:rPr>
          <w:snapToGrid w:val="0"/>
        </w:rPr>
        <w:t>.</w:t>
      </w:r>
      <w:r>
        <w:rPr>
          <w:snapToGrid w:val="0"/>
        </w:rPr>
        <w:tab/>
        <w:t>Powers of Court</w:t>
      </w:r>
      <w:bookmarkEnd w:id="37"/>
      <w:r>
        <w:rPr>
          <w:snapToGrid w:val="0"/>
        </w:rPr>
        <w:t xml:space="preserve"> </w:t>
      </w:r>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No. 55 of 2004 s. 466.]</w:t>
      </w:r>
    </w:p>
    <w:p>
      <w:pPr>
        <w:pStyle w:val="Heading5"/>
        <w:rPr>
          <w:snapToGrid w:val="0"/>
        </w:rPr>
      </w:pPr>
      <w:bookmarkStart w:id="38" w:name="_Toc32242326"/>
      <w:r>
        <w:rPr>
          <w:rStyle w:val="CharSectno"/>
        </w:rPr>
        <w:t>31</w:t>
      </w:r>
      <w:r>
        <w:rPr>
          <w:snapToGrid w:val="0"/>
        </w:rPr>
        <w:t>.</w:t>
      </w:r>
      <w:r>
        <w:rPr>
          <w:snapToGrid w:val="0"/>
        </w:rPr>
        <w:tab/>
        <w:t>Want of form</w:t>
      </w:r>
      <w:bookmarkEnd w:id="38"/>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No. 55 of 2004 s. 466(1).]</w:t>
      </w:r>
    </w:p>
    <w:p>
      <w:pPr>
        <w:pStyle w:val="Heading5"/>
        <w:rPr>
          <w:snapToGrid w:val="0"/>
        </w:rPr>
      </w:pPr>
      <w:bookmarkStart w:id="39" w:name="_Toc32242327"/>
      <w:r>
        <w:rPr>
          <w:rStyle w:val="CharSectno"/>
        </w:rPr>
        <w:t>32</w:t>
      </w:r>
      <w:r>
        <w:rPr>
          <w:snapToGrid w:val="0"/>
        </w:rPr>
        <w:t>.</w:t>
      </w:r>
      <w:r>
        <w:rPr>
          <w:snapToGrid w:val="0"/>
        </w:rPr>
        <w:tab/>
        <w:t>Notification of result of appeal to executive officer</w:t>
      </w:r>
      <w:bookmarkEnd w:id="39"/>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No. 16 of 1992 s. 11.] </w:t>
      </w:r>
    </w:p>
    <w:p>
      <w:pPr>
        <w:pStyle w:val="Heading5"/>
        <w:rPr>
          <w:snapToGrid w:val="0"/>
        </w:rPr>
      </w:pPr>
      <w:bookmarkStart w:id="40" w:name="_Toc32242328"/>
      <w:r>
        <w:rPr>
          <w:rStyle w:val="CharSectno"/>
        </w:rPr>
        <w:t>33</w:t>
      </w:r>
      <w:r>
        <w:rPr>
          <w:snapToGrid w:val="0"/>
        </w:rPr>
        <w:t>.</w:t>
      </w:r>
      <w:r>
        <w:rPr>
          <w:snapToGrid w:val="0"/>
        </w:rPr>
        <w:tab/>
        <w:t>Discontinuance of appeal</w:t>
      </w:r>
      <w:bookmarkEnd w:id="40"/>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No. 16 of 1992 s. 18; No. 55 of 2004 s. 433.] </w:t>
      </w:r>
    </w:p>
    <w:p>
      <w:pPr>
        <w:pStyle w:val="Heading5"/>
        <w:rPr>
          <w:snapToGrid w:val="0"/>
        </w:rPr>
      </w:pPr>
      <w:bookmarkStart w:id="41" w:name="_Toc32242329"/>
      <w:r>
        <w:rPr>
          <w:rStyle w:val="CharSectno"/>
        </w:rPr>
        <w:t>34</w:t>
      </w:r>
      <w:r>
        <w:rPr>
          <w:snapToGrid w:val="0"/>
        </w:rPr>
        <w:t>.</w:t>
      </w:r>
      <w:r>
        <w:rPr>
          <w:snapToGrid w:val="0"/>
        </w:rPr>
        <w:tab/>
        <w:t>Dismissal for want of prosecution</w:t>
      </w:r>
      <w:bookmarkEnd w:id="41"/>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42" w:name="_Toc32242330"/>
      <w:r>
        <w:rPr>
          <w:rStyle w:val="CharSectno"/>
        </w:rPr>
        <w:t>35</w:t>
      </w:r>
      <w:r>
        <w:rPr>
          <w:snapToGrid w:val="0"/>
        </w:rPr>
        <w:t>.</w:t>
      </w:r>
      <w:r>
        <w:rPr>
          <w:snapToGrid w:val="0"/>
        </w:rPr>
        <w:tab/>
        <w:t>Application for reinstatement of appeal</w:t>
      </w:r>
      <w:bookmarkEnd w:id="42"/>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43" w:name="_Toc32242331"/>
      <w:r>
        <w:rPr>
          <w:rStyle w:val="CharSectno"/>
        </w:rPr>
        <w:t>36</w:t>
      </w:r>
      <w:r>
        <w:rPr>
          <w:snapToGrid w:val="0"/>
        </w:rPr>
        <w:t>.</w:t>
      </w:r>
      <w:r>
        <w:rPr>
          <w:snapToGrid w:val="0"/>
        </w:rPr>
        <w:tab/>
        <w:t>Time may be extended or shortened</w:t>
      </w:r>
      <w:bookmarkEnd w:id="43"/>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44" w:name="_Toc32242332"/>
      <w:r>
        <w:rPr>
          <w:rStyle w:val="CharSectno"/>
        </w:rPr>
        <w:t>37</w:t>
      </w:r>
      <w:r>
        <w:rPr>
          <w:snapToGrid w:val="0"/>
        </w:rPr>
        <w:t>.</w:t>
      </w:r>
      <w:r>
        <w:rPr>
          <w:snapToGrid w:val="0"/>
        </w:rPr>
        <w:tab/>
        <w:t>Enforcement of order for costs</w:t>
      </w:r>
      <w:bookmarkEnd w:id="44"/>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No. 55 of 2004 s. 434.]</w:t>
      </w:r>
    </w:p>
    <w:p>
      <w:pPr>
        <w:pStyle w:val="Heading2"/>
      </w:pPr>
      <w:bookmarkStart w:id="45" w:name="_Toc32242110"/>
      <w:bookmarkStart w:id="46" w:name="_Toc32242333"/>
      <w:r>
        <w:rPr>
          <w:rStyle w:val="CharPartNo"/>
        </w:rPr>
        <w:t>Part 4</w:t>
      </w:r>
      <w:r>
        <w:rPr>
          <w:rStyle w:val="CharDivNo"/>
        </w:rPr>
        <w:t> </w:t>
      </w:r>
      <w:r>
        <w:t>—</w:t>
      </w:r>
      <w:r>
        <w:rPr>
          <w:rStyle w:val="CharDivText"/>
        </w:rPr>
        <w:t> </w:t>
      </w:r>
      <w:r>
        <w:rPr>
          <w:rStyle w:val="CharPartText"/>
        </w:rPr>
        <w:t>Applications for guardianship and administration orders</w:t>
      </w:r>
      <w:bookmarkEnd w:id="45"/>
      <w:bookmarkEnd w:id="46"/>
      <w:r>
        <w:rPr>
          <w:rStyle w:val="CharPartText"/>
        </w:rPr>
        <w:t xml:space="preserve"> </w:t>
      </w:r>
    </w:p>
    <w:p>
      <w:pPr>
        <w:pStyle w:val="Ednotesection"/>
        <w:ind w:left="890" w:hanging="890"/>
      </w:pPr>
      <w:r>
        <w:t>[</w:t>
      </w:r>
      <w:r>
        <w:rPr>
          <w:b/>
        </w:rPr>
        <w:t>39.</w:t>
      </w:r>
      <w:r>
        <w:tab/>
        <w:t xml:space="preserve">Deleted: No. 7 of 1996 s. 17.] </w:t>
      </w:r>
    </w:p>
    <w:p>
      <w:pPr>
        <w:pStyle w:val="Heading5"/>
        <w:rPr>
          <w:snapToGrid w:val="0"/>
        </w:rPr>
      </w:pPr>
      <w:bookmarkStart w:id="47" w:name="_Toc32242334"/>
      <w:r>
        <w:rPr>
          <w:rStyle w:val="CharSectno"/>
        </w:rPr>
        <w:t>40</w:t>
      </w:r>
      <w:r>
        <w:rPr>
          <w:snapToGrid w:val="0"/>
        </w:rPr>
        <w:t>.</w:t>
      </w:r>
      <w:r>
        <w:rPr>
          <w:snapToGrid w:val="0"/>
        </w:rPr>
        <w:tab/>
        <w:t>Application</w:t>
      </w:r>
      <w:bookmarkEnd w:id="47"/>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No. 16 of 1992 s. 18; No. 7 of 1996 s. 18; No. 55 of 2004 s. 435 and 466(1).] </w:t>
      </w:r>
    </w:p>
    <w:p>
      <w:pPr>
        <w:pStyle w:val="Heading5"/>
        <w:rPr>
          <w:snapToGrid w:val="0"/>
        </w:rPr>
      </w:pPr>
      <w:bookmarkStart w:id="48" w:name="_Toc32242335"/>
      <w:r>
        <w:rPr>
          <w:rStyle w:val="CharSectno"/>
        </w:rPr>
        <w:t>41</w:t>
      </w:r>
      <w:r>
        <w:rPr>
          <w:snapToGrid w:val="0"/>
        </w:rPr>
        <w:t>.</w:t>
      </w:r>
      <w:r>
        <w:rPr>
          <w:snapToGrid w:val="0"/>
        </w:rPr>
        <w:tab/>
        <w:t>Notice of hearing</w:t>
      </w:r>
      <w:bookmarkEnd w:id="48"/>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No. 16 of 1992 s. 18; No. 7 of 1996 s. 36; No. 55 of 2004 s. 436 and 466(1); No. 19 of 2010 s. 18(2).] </w:t>
      </w:r>
    </w:p>
    <w:p>
      <w:pPr>
        <w:pStyle w:val="Ednotesection"/>
      </w:pPr>
      <w:r>
        <w:t>[</w:t>
      </w:r>
      <w:r>
        <w:rPr>
          <w:b/>
        </w:rPr>
        <w:t>42.</w:t>
      </w:r>
      <w:r>
        <w:rPr>
          <w:b/>
        </w:rPr>
        <w:tab/>
      </w:r>
      <w:r>
        <w:t>Deleted: No. 55 of 2004 s. 437.]</w:t>
      </w:r>
    </w:p>
    <w:p>
      <w:pPr>
        <w:pStyle w:val="Heading2"/>
      </w:pPr>
      <w:bookmarkStart w:id="49" w:name="_Toc32242113"/>
      <w:bookmarkStart w:id="50" w:name="_Toc32242336"/>
      <w:r>
        <w:rPr>
          <w:rStyle w:val="CharPartNo"/>
        </w:rPr>
        <w:t>Part 5</w:t>
      </w:r>
      <w:r>
        <w:t> — </w:t>
      </w:r>
      <w:r>
        <w:rPr>
          <w:rStyle w:val="CharPartText"/>
        </w:rPr>
        <w:t>Guardianship</w:t>
      </w:r>
      <w:bookmarkEnd w:id="49"/>
      <w:bookmarkEnd w:id="50"/>
      <w:r>
        <w:rPr>
          <w:rStyle w:val="CharPartText"/>
        </w:rPr>
        <w:t xml:space="preserve"> </w:t>
      </w:r>
    </w:p>
    <w:p>
      <w:pPr>
        <w:pStyle w:val="Heading3"/>
        <w:rPr>
          <w:snapToGrid w:val="0"/>
        </w:rPr>
      </w:pPr>
      <w:bookmarkStart w:id="51" w:name="_Toc32242114"/>
      <w:bookmarkStart w:id="52" w:name="_Toc32242337"/>
      <w:r>
        <w:rPr>
          <w:rStyle w:val="CharDivNo"/>
        </w:rPr>
        <w:t>Division 1</w:t>
      </w:r>
      <w:r>
        <w:rPr>
          <w:snapToGrid w:val="0"/>
        </w:rPr>
        <w:t> — </w:t>
      </w:r>
      <w:r>
        <w:rPr>
          <w:rStyle w:val="CharDivText"/>
        </w:rPr>
        <w:t>Appointment of guardian</w:t>
      </w:r>
      <w:bookmarkEnd w:id="51"/>
      <w:bookmarkEnd w:id="52"/>
      <w:r>
        <w:rPr>
          <w:rStyle w:val="CharDivText"/>
        </w:rPr>
        <w:t xml:space="preserve"> </w:t>
      </w:r>
    </w:p>
    <w:p>
      <w:pPr>
        <w:pStyle w:val="Heading5"/>
        <w:rPr>
          <w:snapToGrid w:val="0"/>
        </w:rPr>
      </w:pPr>
      <w:bookmarkStart w:id="53" w:name="_Toc32242338"/>
      <w:r>
        <w:rPr>
          <w:rStyle w:val="CharSectno"/>
        </w:rPr>
        <w:t>43</w:t>
      </w:r>
      <w:r>
        <w:rPr>
          <w:snapToGrid w:val="0"/>
        </w:rPr>
        <w:t>.</w:t>
      </w:r>
      <w:r>
        <w:rPr>
          <w:snapToGrid w:val="0"/>
        </w:rPr>
        <w:tab/>
        <w:t>Making of guardianship order</w:t>
      </w:r>
      <w:bookmarkEnd w:id="53"/>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No. 55 of 2004 s. 466; No. 5 of 2008 s. 57(1) and (2).]</w:t>
      </w:r>
    </w:p>
    <w:p>
      <w:pPr>
        <w:pStyle w:val="Heading5"/>
        <w:spacing w:before="180"/>
        <w:rPr>
          <w:snapToGrid w:val="0"/>
        </w:rPr>
      </w:pPr>
      <w:bookmarkStart w:id="54" w:name="_Toc32242339"/>
      <w:r>
        <w:rPr>
          <w:rStyle w:val="CharSectno"/>
        </w:rPr>
        <w:t>44</w:t>
      </w:r>
      <w:r>
        <w:rPr>
          <w:snapToGrid w:val="0"/>
        </w:rPr>
        <w:t>.</w:t>
      </w:r>
      <w:r>
        <w:rPr>
          <w:snapToGrid w:val="0"/>
        </w:rPr>
        <w:tab/>
        <w:t>Who may be appointed guardian</w:t>
      </w:r>
      <w:bookmarkEnd w:id="54"/>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rPr>
          <w:snapToGrid w:val="0"/>
        </w:rPr>
      </w:pPr>
      <w:r>
        <w:rPr>
          <w:snapToGrid w:val="0"/>
        </w:rPr>
        <w:tab/>
        <w:t>(a)</w:t>
      </w:r>
      <w:r>
        <w:rPr>
          <w:snapToGrid w:val="0"/>
        </w:rPr>
        <w:tab/>
        <w:t>will act in the best interests of the person in respect of whom the application is made;</w:t>
      </w:r>
    </w:p>
    <w:p>
      <w:pPr>
        <w:pStyle w:val="Indenta"/>
        <w:rPr>
          <w:snapToGrid w:val="0"/>
        </w:rPr>
      </w:pPr>
      <w:r>
        <w:rPr>
          <w:snapToGrid w:val="0"/>
        </w:rPr>
        <w:tab/>
        <w:t>(b)</w:t>
      </w:r>
      <w:r>
        <w:rPr>
          <w:snapToGrid w:val="0"/>
        </w:rPr>
        <w:tab/>
        <w:t>is not in a position where his interests conflict or may conflict with the interests of that person; and</w:t>
      </w:r>
    </w:p>
    <w:p>
      <w:pPr>
        <w:pStyle w:val="Indenta"/>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rPr>
          <w:snapToGrid w:val="0"/>
        </w:rPr>
      </w:pPr>
      <w:r>
        <w:rPr>
          <w:snapToGrid w:val="0"/>
        </w:rPr>
        <w:tab/>
        <w:t>(b)</w:t>
      </w:r>
      <w:r>
        <w:rPr>
          <w:snapToGrid w:val="0"/>
        </w:rPr>
        <w:tab/>
        <w:t>the compatibility of the proposed appointee with that person and with the administrator (if any) of that person’s estate;</w:t>
      </w:r>
    </w:p>
    <w:p>
      <w:pPr>
        <w:pStyle w:val="Indenta"/>
        <w:rPr>
          <w:snapToGrid w:val="0"/>
        </w:rPr>
      </w:pPr>
      <w:r>
        <w:rPr>
          <w:snapToGrid w:val="0"/>
        </w:rPr>
        <w:tab/>
        <w:t>(c)</w:t>
      </w:r>
      <w:r>
        <w:rPr>
          <w:snapToGrid w:val="0"/>
        </w:rPr>
        <w:tab/>
        <w:t>the wishes of the person in respect of whom the application is made; and</w:t>
      </w:r>
    </w:p>
    <w:p>
      <w:pPr>
        <w:pStyle w:val="Indenta"/>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No. 7 of 1996 s. 36; No. 55 of 2004 s. 466(1).] </w:t>
      </w:r>
    </w:p>
    <w:p>
      <w:pPr>
        <w:pStyle w:val="Heading5"/>
        <w:rPr>
          <w:snapToGrid w:val="0"/>
        </w:rPr>
      </w:pPr>
      <w:bookmarkStart w:id="55" w:name="_Toc32242340"/>
      <w:r>
        <w:rPr>
          <w:rStyle w:val="CharSectno"/>
        </w:rPr>
        <w:t>44A</w:t>
      </w:r>
      <w:r>
        <w:rPr>
          <w:snapToGrid w:val="0"/>
        </w:rPr>
        <w:t xml:space="preserve">. </w:t>
      </w:r>
      <w:r>
        <w:rPr>
          <w:snapToGrid w:val="0"/>
        </w:rPr>
        <w:tab/>
        <w:t>Interstate arrangements for guardianship orders</w:t>
      </w:r>
      <w:bookmarkEnd w:id="55"/>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ind w:left="890" w:hanging="890"/>
      </w:pPr>
      <w:r>
        <w:tab/>
        <w:t xml:space="preserve">[Section 44A inserted: No. 7 of 1996 s. 19.] </w:t>
      </w:r>
    </w:p>
    <w:p>
      <w:pPr>
        <w:pStyle w:val="Heading3"/>
        <w:rPr>
          <w:snapToGrid w:val="0"/>
        </w:rPr>
      </w:pPr>
      <w:bookmarkStart w:id="56" w:name="_Toc32242118"/>
      <w:bookmarkStart w:id="57" w:name="_Toc32242341"/>
      <w:r>
        <w:rPr>
          <w:rStyle w:val="CharDivNo"/>
        </w:rPr>
        <w:t>Division 2</w:t>
      </w:r>
      <w:r>
        <w:rPr>
          <w:snapToGrid w:val="0"/>
        </w:rPr>
        <w:t> — </w:t>
      </w:r>
      <w:r>
        <w:rPr>
          <w:rStyle w:val="CharDivText"/>
        </w:rPr>
        <w:t>Functions of guardians</w:t>
      </w:r>
      <w:bookmarkEnd w:id="56"/>
      <w:bookmarkEnd w:id="57"/>
      <w:r>
        <w:rPr>
          <w:rStyle w:val="CharDivText"/>
        </w:rPr>
        <w:t xml:space="preserve"> </w:t>
      </w:r>
    </w:p>
    <w:p>
      <w:pPr>
        <w:pStyle w:val="Heading5"/>
        <w:rPr>
          <w:snapToGrid w:val="0"/>
        </w:rPr>
      </w:pPr>
      <w:bookmarkStart w:id="58" w:name="_Toc32242342"/>
      <w:r>
        <w:rPr>
          <w:rStyle w:val="CharSectno"/>
        </w:rPr>
        <w:t>45</w:t>
      </w:r>
      <w:r>
        <w:rPr>
          <w:snapToGrid w:val="0"/>
        </w:rPr>
        <w:t>.</w:t>
      </w:r>
      <w:r>
        <w:rPr>
          <w:snapToGrid w:val="0"/>
        </w:rPr>
        <w:tab/>
        <w:t>Authority of plenary guardian</w:t>
      </w:r>
      <w:bookmarkEnd w:id="58"/>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 do any of the following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pPr>
      <w:r>
        <w:tab/>
        <w:t>(d)</w:t>
      </w:r>
      <w:r>
        <w:tab/>
        <w:t>subject to subsection (4A), make treatment decisions for the represented person;</w:t>
      </w:r>
    </w:p>
    <w:p>
      <w:pPr>
        <w:pStyle w:val="Indenta"/>
      </w:pPr>
      <w:r>
        <w:tab/>
        <w:t>(e)</w:t>
      </w:r>
      <w:r>
        <w:tab/>
        <w:t>decide what education and training the represented person is to receive;</w:t>
      </w:r>
    </w:p>
    <w:p>
      <w:pPr>
        <w:pStyle w:val="Indenta"/>
        <w:keepNext/>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 xml:space="preserve">A plenary guardian </w:t>
      </w:r>
      <w:r>
        <w:t>cannot do any of the following on behalf of the represented person —</w:t>
      </w:r>
    </w:p>
    <w:p>
      <w:pPr>
        <w:pStyle w:val="Indenta"/>
        <w:rPr>
          <w:snapToGrid w:val="0"/>
        </w:rPr>
      </w:pPr>
      <w:r>
        <w:rPr>
          <w:snapToGrid w:val="0"/>
        </w:rPr>
        <w:tab/>
        <w:t>(a)</w:t>
      </w:r>
      <w:r>
        <w:rPr>
          <w:snapToGrid w:val="0"/>
        </w:rPr>
        <w:tab/>
        <w:t>vote in any election;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pPr>
      <w:r>
        <w:tab/>
        <w:t>(4A)</w:t>
      </w:r>
      <w:r>
        <w:tab/>
        <w:t>A plenary guardian cannot consent to the sterilisation of the represented person,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No. 7 of 1996 s. 20; No. 69 of 1996 s. 34; No. 41 of 1997 s. 32; No. 70 of 2000 s. 8; No. 35 of 2006 s. 205; No. 27 of 2007 s. 25; No. 25 of 2008 s. 6; No. 47 of 2008 s. 64; No. 17 of 2014 s. 22(2) and (3).] </w:t>
      </w:r>
    </w:p>
    <w:p>
      <w:pPr>
        <w:pStyle w:val="Heading5"/>
        <w:rPr>
          <w:snapToGrid w:val="0"/>
        </w:rPr>
      </w:pPr>
      <w:bookmarkStart w:id="59" w:name="_Toc32242343"/>
      <w:r>
        <w:rPr>
          <w:rStyle w:val="CharSectno"/>
        </w:rPr>
        <w:t>46</w:t>
      </w:r>
      <w:r>
        <w:rPr>
          <w:snapToGrid w:val="0"/>
        </w:rPr>
        <w:t>.</w:t>
      </w:r>
      <w:r>
        <w:rPr>
          <w:snapToGrid w:val="0"/>
        </w:rPr>
        <w:tab/>
        <w:t>Authority of limited guardian</w:t>
      </w:r>
      <w:bookmarkEnd w:id="59"/>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No. 55 of 2004 s. 466(1).]</w:t>
      </w:r>
    </w:p>
    <w:p>
      <w:pPr>
        <w:pStyle w:val="Heading5"/>
        <w:keepLines w:val="0"/>
        <w:rPr>
          <w:snapToGrid w:val="0"/>
        </w:rPr>
      </w:pPr>
      <w:bookmarkStart w:id="60" w:name="_Toc32242344"/>
      <w:r>
        <w:rPr>
          <w:rStyle w:val="CharSectno"/>
        </w:rPr>
        <w:t>47</w:t>
      </w:r>
      <w:r>
        <w:rPr>
          <w:snapToGrid w:val="0"/>
        </w:rPr>
        <w:t>.</w:t>
      </w:r>
      <w:r>
        <w:rPr>
          <w:snapToGrid w:val="0"/>
        </w:rPr>
        <w:tab/>
        <w:t>Guardian may apply for directions</w:t>
      </w:r>
      <w:bookmarkEnd w:id="60"/>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No. 16 of 1992 s. 18; No. 55 of 2004 s. 466.] </w:t>
      </w:r>
    </w:p>
    <w:p>
      <w:pPr>
        <w:pStyle w:val="Heading5"/>
        <w:rPr>
          <w:snapToGrid w:val="0"/>
        </w:rPr>
      </w:pPr>
      <w:bookmarkStart w:id="61" w:name="_Toc32242345"/>
      <w:r>
        <w:rPr>
          <w:rStyle w:val="CharSectno"/>
        </w:rPr>
        <w:t>48</w:t>
      </w:r>
      <w:r>
        <w:rPr>
          <w:snapToGrid w:val="0"/>
        </w:rPr>
        <w:t>.</w:t>
      </w:r>
      <w:r>
        <w:rPr>
          <w:snapToGrid w:val="0"/>
        </w:rPr>
        <w:tab/>
        <w:t>Guardian may execute documents etc.</w:t>
      </w:r>
      <w:bookmarkEnd w:id="61"/>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62" w:name="_Toc32242346"/>
      <w:r>
        <w:rPr>
          <w:rStyle w:val="CharSectno"/>
        </w:rPr>
        <w:t>49</w:t>
      </w:r>
      <w:r>
        <w:rPr>
          <w:snapToGrid w:val="0"/>
        </w:rPr>
        <w:t>.</w:t>
      </w:r>
      <w:r>
        <w:rPr>
          <w:snapToGrid w:val="0"/>
        </w:rPr>
        <w:tab/>
        <w:t>Guardian may obtain warrant to enter</w:t>
      </w:r>
      <w:bookmarkEnd w:id="62"/>
      <w:r>
        <w:rPr>
          <w:snapToGrid w:val="0"/>
        </w:rPr>
        <w:t xml:space="preserve"> </w:t>
      </w:r>
    </w:p>
    <w:p>
      <w:pPr>
        <w:pStyle w:val="Subsection"/>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No. 50 of 2003 s. 70(2); No. 55 of 2004 s. 466(1).]</w:t>
      </w:r>
    </w:p>
    <w:p>
      <w:pPr>
        <w:pStyle w:val="Heading5"/>
        <w:rPr>
          <w:snapToGrid w:val="0"/>
        </w:rPr>
      </w:pPr>
      <w:bookmarkStart w:id="63" w:name="_Toc32242347"/>
      <w:r>
        <w:rPr>
          <w:rStyle w:val="CharSectno"/>
        </w:rPr>
        <w:t>50</w:t>
      </w:r>
      <w:r>
        <w:rPr>
          <w:snapToGrid w:val="0"/>
        </w:rPr>
        <w:t>.</w:t>
      </w:r>
      <w:r>
        <w:rPr>
          <w:snapToGrid w:val="0"/>
        </w:rPr>
        <w:tab/>
        <w:t>Effect of actions etc. of guardian</w:t>
      </w:r>
      <w:bookmarkEnd w:id="63"/>
      <w:r>
        <w:rPr>
          <w:snapToGrid w:val="0"/>
        </w:rPr>
        <w:t xml:space="preserve"> </w:t>
      </w:r>
    </w:p>
    <w:p>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pPr>
        <w:pStyle w:val="Footnotesection"/>
      </w:pPr>
      <w:r>
        <w:tab/>
        <w:t>[Section 50 amended: No. 25 of 2008 s. 7.]</w:t>
      </w:r>
    </w:p>
    <w:p>
      <w:pPr>
        <w:pStyle w:val="Heading5"/>
        <w:rPr>
          <w:snapToGrid w:val="0"/>
        </w:rPr>
      </w:pPr>
      <w:bookmarkStart w:id="64" w:name="_Toc32242348"/>
      <w:r>
        <w:rPr>
          <w:rStyle w:val="CharSectno"/>
        </w:rPr>
        <w:t>51</w:t>
      </w:r>
      <w:r>
        <w:rPr>
          <w:snapToGrid w:val="0"/>
        </w:rPr>
        <w:t>.</w:t>
      </w:r>
      <w:r>
        <w:rPr>
          <w:snapToGrid w:val="0"/>
        </w:rPr>
        <w:tab/>
        <w:t>Guardian to act in best interests of represented person</w:t>
      </w:r>
      <w:bookmarkEnd w:id="64"/>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rPr>
          <w:snapToGrid w:val="0"/>
        </w:rPr>
      </w:pPr>
      <w:r>
        <w:rPr>
          <w:snapToGrid w:val="0"/>
        </w:rPr>
        <w:tab/>
        <w:t>(3)</w:t>
      </w:r>
      <w:r>
        <w:rPr>
          <w:snapToGrid w:val="0"/>
        </w:rPr>
        <w:tab/>
        <w:t>Nothing in subsection (2)(a) shall be read as authorising a guardian to act contrary to the</w:t>
      </w:r>
      <w:r>
        <w:rPr>
          <w:i/>
        </w:rPr>
        <w:t xml:space="preserve"> </w:t>
      </w:r>
      <w:r>
        <w:rPr>
          <w:i/>
          <w:iCs/>
          <w:snapToGrid w:val="0"/>
        </w:rPr>
        <w:t>Legal Profession Act 2008</w:t>
      </w:r>
      <w:r>
        <w:rPr>
          <w:snapToGrid w:val="0"/>
        </w:rPr>
        <w:t>.</w:t>
      </w:r>
    </w:p>
    <w:p>
      <w:pPr>
        <w:pStyle w:val="Footnotesection"/>
      </w:pPr>
      <w:r>
        <w:tab/>
        <w:t xml:space="preserve">[Section 51 amended: No. 7 of 1996 s. 21; No. 65 of 2003 s. 40(4); No. 55 of 2004 s. 466(1); No. 21 of 2008 s. 667(3).] </w:t>
      </w:r>
    </w:p>
    <w:p>
      <w:pPr>
        <w:pStyle w:val="Ednotesection"/>
        <w:ind w:left="890" w:hanging="890"/>
      </w:pPr>
      <w:r>
        <w:t>[</w:t>
      </w:r>
      <w:r>
        <w:rPr>
          <w:b/>
        </w:rPr>
        <w:t>52.</w:t>
      </w:r>
      <w:r>
        <w:tab/>
        <w:t>Deleted: No. 69 of 1996 s. 35.]</w:t>
      </w:r>
    </w:p>
    <w:p>
      <w:pPr>
        <w:pStyle w:val="Heading5"/>
        <w:rPr>
          <w:snapToGrid w:val="0"/>
        </w:rPr>
      </w:pPr>
      <w:bookmarkStart w:id="65" w:name="_Toc32242349"/>
      <w:r>
        <w:rPr>
          <w:rStyle w:val="CharSectno"/>
        </w:rPr>
        <w:t>53</w:t>
      </w:r>
      <w:r>
        <w:rPr>
          <w:snapToGrid w:val="0"/>
        </w:rPr>
        <w:t>.</w:t>
      </w:r>
      <w:r>
        <w:rPr>
          <w:snapToGrid w:val="0"/>
        </w:rPr>
        <w:tab/>
        <w:t>Guardians to act unanimously</w:t>
      </w:r>
      <w:bookmarkEnd w:id="65"/>
      <w:r>
        <w:rPr>
          <w:snapToGrid w:val="0"/>
        </w:rPr>
        <w:t xml:space="preserve"> </w:t>
      </w:r>
    </w:p>
    <w:p>
      <w:pPr>
        <w:pStyle w:val="Subsection"/>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No. 55 of 2004 s. 466(1).]</w:t>
      </w:r>
    </w:p>
    <w:p>
      <w:pPr>
        <w:pStyle w:val="Heading5"/>
        <w:rPr>
          <w:snapToGrid w:val="0"/>
        </w:rPr>
      </w:pPr>
      <w:bookmarkStart w:id="66" w:name="_Toc32242350"/>
      <w:r>
        <w:rPr>
          <w:rStyle w:val="CharSectno"/>
        </w:rPr>
        <w:t>54</w:t>
      </w:r>
      <w:r>
        <w:rPr>
          <w:snapToGrid w:val="0"/>
        </w:rPr>
        <w:t>.</w:t>
      </w:r>
      <w:r>
        <w:rPr>
          <w:snapToGrid w:val="0"/>
        </w:rPr>
        <w:tab/>
        <w:t>Death of joint guardian</w:t>
      </w:r>
      <w:bookmarkEnd w:id="66"/>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67" w:name="_Toc32242351"/>
      <w:r>
        <w:rPr>
          <w:rStyle w:val="CharSectno"/>
        </w:rPr>
        <w:t>55</w:t>
      </w:r>
      <w:r>
        <w:rPr>
          <w:snapToGrid w:val="0"/>
        </w:rPr>
        <w:t>.</w:t>
      </w:r>
      <w:r>
        <w:rPr>
          <w:snapToGrid w:val="0"/>
        </w:rPr>
        <w:tab/>
        <w:t>Alternate guardian to take over on death of guardian</w:t>
      </w:r>
      <w:bookmarkEnd w:id="67"/>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No. 55 of 2004 s. 438.]</w:t>
      </w:r>
    </w:p>
    <w:p>
      <w:pPr>
        <w:pStyle w:val="Heading5"/>
      </w:pPr>
      <w:bookmarkStart w:id="68" w:name="_Toc32242352"/>
      <w:r>
        <w:rPr>
          <w:rStyle w:val="CharSectno"/>
        </w:rPr>
        <w:t>55A</w:t>
      </w:r>
      <w:r>
        <w:t>.</w:t>
      </w:r>
      <w:r>
        <w:tab/>
        <w:t>Priority of guardianship order</w:t>
      </w:r>
      <w:bookmarkEnd w:id="68"/>
    </w:p>
    <w:p>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pPr>
        <w:pStyle w:val="Footnotesection"/>
        <w:spacing w:before="100"/>
        <w:ind w:left="890" w:hanging="890"/>
      </w:pPr>
      <w:r>
        <w:tab/>
        <w:t>[Section 55A inserted: No. 25 of 2008 s. 8.]</w:t>
      </w:r>
    </w:p>
    <w:p>
      <w:pPr>
        <w:pStyle w:val="Heading3"/>
        <w:spacing w:before="200"/>
        <w:rPr>
          <w:snapToGrid w:val="0"/>
        </w:rPr>
      </w:pPr>
      <w:bookmarkStart w:id="69" w:name="_Toc32242130"/>
      <w:bookmarkStart w:id="70" w:name="_Toc32242353"/>
      <w:r>
        <w:rPr>
          <w:rStyle w:val="CharDivNo"/>
        </w:rPr>
        <w:t>Division 3</w:t>
      </w:r>
      <w:r>
        <w:rPr>
          <w:snapToGrid w:val="0"/>
        </w:rPr>
        <w:t> — </w:t>
      </w:r>
      <w:r>
        <w:rPr>
          <w:rStyle w:val="CharDivText"/>
        </w:rPr>
        <w:t>Limitations on sterilisation of persons under guardianship or where application for guardianship made</w:t>
      </w:r>
      <w:bookmarkEnd w:id="69"/>
      <w:bookmarkEnd w:id="70"/>
      <w:r>
        <w:rPr>
          <w:rStyle w:val="CharDivText"/>
        </w:rPr>
        <w:t xml:space="preserve"> </w:t>
      </w:r>
    </w:p>
    <w:p>
      <w:pPr>
        <w:pStyle w:val="Heading5"/>
        <w:spacing w:before="180"/>
        <w:rPr>
          <w:snapToGrid w:val="0"/>
        </w:rPr>
      </w:pPr>
      <w:bookmarkStart w:id="71" w:name="_Toc32242354"/>
      <w:r>
        <w:rPr>
          <w:rStyle w:val="CharSectno"/>
        </w:rPr>
        <w:t>56</w:t>
      </w:r>
      <w:r>
        <w:rPr>
          <w:snapToGrid w:val="0"/>
        </w:rPr>
        <w:t>.</w:t>
      </w:r>
      <w:r>
        <w:rPr>
          <w:snapToGrid w:val="0"/>
        </w:rPr>
        <w:tab/>
        <w:t>Terms used</w:t>
      </w:r>
      <w:bookmarkEnd w:id="71"/>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pPr>
        <w:pStyle w:val="Defstart"/>
      </w:pPr>
      <w:r>
        <w:rPr>
          <w:b/>
        </w:rPr>
        <w:tab/>
      </w:r>
      <w:r>
        <w:rPr>
          <w:rStyle w:val="CharDefText"/>
        </w:rPr>
        <w:t>represented person</w:t>
      </w:r>
      <w:r>
        <w:t xml:space="preserve"> means a person in respect of whom a guardianship order is in force.</w:t>
      </w:r>
    </w:p>
    <w:p>
      <w:pPr>
        <w:pStyle w:val="Heading5"/>
        <w:spacing w:before="180"/>
        <w:rPr>
          <w:snapToGrid w:val="0"/>
        </w:rPr>
      </w:pPr>
      <w:bookmarkStart w:id="72" w:name="_Toc32242355"/>
      <w:r>
        <w:rPr>
          <w:rStyle w:val="CharSectno"/>
        </w:rPr>
        <w:t>56A</w:t>
      </w:r>
      <w:r>
        <w:rPr>
          <w:snapToGrid w:val="0"/>
        </w:rPr>
        <w:t xml:space="preserve">. </w:t>
      </w:r>
      <w:r>
        <w:rPr>
          <w:snapToGrid w:val="0"/>
        </w:rPr>
        <w:tab/>
        <w:t>Only Full Tribunal to act under this Division</w:t>
      </w:r>
      <w:bookmarkEnd w:id="72"/>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spacing w:before="100"/>
        <w:ind w:left="890" w:hanging="890"/>
      </w:pPr>
      <w:r>
        <w:tab/>
        <w:t xml:space="preserve">[Section 56A inserted: No. 16 of 1992 s. 12; amended: No. 55 of 2004 s. 439 and 466; No. 5 of 2008 s. 58.] </w:t>
      </w:r>
    </w:p>
    <w:p>
      <w:pPr>
        <w:pStyle w:val="Heading5"/>
        <w:keepNext w:val="0"/>
        <w:keepLines w:val="0"/>
        <w:spacing w:before="180"/>
        <w:rPr>
          <w:snapToGrid w:val="0"/>
        </w:rPr>
      </w:pPr>
      <w:bookmarkStart w:id="73" w:name="_Toc32242356"/>
      <w:r>
        <w:rPr>
          <w:rStyle w:val="CharSectno"/>
        </w:rPr>
        <w:t>57</w:t>
      </w:r>
      <w:r>
        <w:rPr>
          <w:snapToGrid w:val="0"/>
        </w:rPr>
        <w:t>.</w:t>
      </w:r>
      <w:r>
        <w:rPr>
          <w:snapToGrid w:val="0"/>
        </w:rPr>
        <w:tab/>
        <w:t>Prerequisites for sterilisation of persons to whom this Division applies</w:t>
      </w:r>
      <w:bookmarkEnd w:id="73"/>
      <w:r>
        <w:rPr>
          <w:snapToGrid w:val="0"/>
        </w:rPr>
        <w:t xml:space="preserve"> </w:t>
      </w:r>
    </w:p>
    <w:p>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sterilisation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No. 55 of 2004 s. 466(1).]</w:t>
      </w:r>
    </w:p>
    <w:p>
      <w:pPr>
        <w:pStyle w:val="Heading5"/>
        <w:rPr>
          <w:snapToGrid w:val="0"/>
        </w:rPr>
      </w:pPr>
      <w:bookmarkStart w:id="74" w:name="_Toc32242357"/>
      <w:r>
        <w:rPr>
          <w:rStyle w:val="CharSectno"/>
        </w:rPr>
        <w:t>58</w:t>
      </w:r>
      <w:r>
        <w:rPr>
          <w:snapToGrid w:val="0"/>
        </w:rPr>
        <w:t>.</w:t>
      </w:r>
      <w:r>
        <w:rPr>
          <w:snapToGrid w:val="0"/>
        </w:rPr>
        <w:tab/>
        <w:t>Restriction on guardian’s consent</w:t>
      </w:r>
      <w:bookmarkEnd w:id="74"/>
      <w:r>
        <w:rPr>
          <w:snapToGrid w:val="0"/>
        </w:rPr>
        <w:t xml:space="preserve"> </w:t>
      </w:r>
    </w:p>
    <w:p>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No. 55 of 2004 s. 466(1).]</w:t>
      </w:r>
    </w:p>
    <w:p>
      <w:pPr>
        <w:pStyle w:val="Heading5"/>
        <w:rPr>
          <w:snapToGrid w:val="0"/>
        </w:rPr>
      </w:pPr>
      <w:bookmarkStart w:id="75" w:name="_Toc32242358"/>
      <w:r>
        <w:rPr>
          <w:rStyle w:val="CharSectno"/>
        </w:rPr>
        <w:t>59</w:t>
      </w:r>
      <w:r>
        <w:rPr>
          <w:snapToGrid w:val="0"/>
        </w:rPr>
        <w:t>.</w:t>
      </w:r>
      <w:r>
        <w:rPr>
          <w:snapToGrid w:val="0"/>
        </w:rPr>
        <w:tab/>
        <w:t>Application for consent</w:t>
      </w:r>
      <w:bookmarkEnd w:id="75"/>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pPr>
        <w:pStyle w:val="Ednotesubsection"/>
      </w:pPr>
      <w:r>
        <w:tab/>
        <w:t>[(2)</w:t>
      </w:r>
      <w:r>
        <w:tab/>
        <w:t>deleted]</w:t>
      </w:r>
    </w:p>
    <w:p>
      <w:pPr>
        <w:pStyle w:val="Footnotesection"/>
      </w:pPr>
      <w:r>
        <w:tab/>
        <w:t xml:space="preserve">[Section 59 amended: No. 16 of 1992 s. 18; No. 7 of 1996 s. 36; No. 55 of 2004 s. 440 and 466(1).] </w:t>
      </w:r>
    </w:p>
    <w:p>
      <w:pPr>
        <w:pStyle w:val="Heading5"/>
        <w:rPr>
          <w:snapToGrid w:val="0"/>
        </w:rPr>
      </w:pPr>
      <w:bookmarkStart w:id="76" w:name="_Toc32242359"/>
      <w:r>
        <w:rPr>
          <w:rStyle w:val="CharSectno"/>
        </w:rPr>
        <w:t>60</w:t>
      </w:r>
      <w:r>
        <w:rPr>
          <w:snapToGrid w:val="0"/>
        </w:rPr>
        <w:t>.</w:t>
      </w:r>
      <w:r>
        <w:rPr>
          <w:snapToGrid w:val="0"/>
        </w:rPr>
        <w:tab/>
        <w:t>Notice of hearing</w:t>
      </w:r>
      <w:bookmarkEnd w:id="76"/>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w:t>
      </w:r>
      <w:r>
        <w:rPr>
          <w:rFonts w:eastAsia="MS Mincho"/>
        </w:rPr>
        <w:t>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No. 16 of 1992 s. 18; No. 7 of 1996 s. 36; No. 55 of 2004 s. 441 and 466(1); No. 19 of 2010 s. 18(2).] </w:t>
      </w:r>
    </w:p>
    <w:p>
      <w:pPr>
        <w:pStyle w:val="Ednotesection"/>
        <w:ind w:left="890" w:hanging="890"/>
      </w:pPr>
      <w:r>
        <w:t>[</w:t>
      </w:r>
      <w:r>
        <w:rPr>
          <w:b/>
        </w:rPr>
        <w:t>61.</w:t>
      </w:r>
      <w:r>
        <w:tab/>
        <w:t xml:space="preserve">Deleted: No. 55 of 2004 s. 442.] </w:t>
      </w:r>
    </w:p>
    <w:p>
      <w:pPr>
        <w:pStyle w:val="Ednotesection"/>
        <w:ind w:left="890" w:hanging="890"/>
      </w:pPr>
      <w:r>
        <w:t>[</w:t>
      </w:r>
      <w:r>
        <w:rPr>
          <w:b/>
        </w:rPr>
        <w:t>62.</w:t>
      </w:r>
      <w:r>
        <w:tab/>
        <w:t xml:space="preserve">Deleted: No. 7 of 1996 s. 22.] </w:t>
      </w:r>
    </w:p>
    <w:p>
      <w:pPr>
        <w:pStyle w:val="Heading5"/>
        <w:rPr>
          <w:snapToGrid w:val="0"/>
        </w:rPr>
      </w:pPr>
      <w:bookmarkStart w:id="77" w:name="_Toc32242360"/>
      <w:r>
        <w:rPr>
          <w:rStyle w:val="CharSectno"/>
        </w:rPr>
        <w:t>63</w:t>
      </w:r>
      <w:r>
        <w:rPr>
          <w:snapToGrid w:val="0"/>
        </w:rPr>
        <w:t>.</w:t>
      </w:r>
      <w:r>
        <w:rPr>
          <w:snapToGrid w:val="0"/>
        </w:rPr>
        <w:tab/>
        <w:t>State Administrative Tribunal may consent if in best interests of represented person</w:t>
      </w:r>
      <w:bookmarkEnd w:id="77"/>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No. 55 of 2004 s. 466(1).]</w:t>
      </w:r>
    </w:p>
    <w:p>
      <w:pPr>
        <w:pStyle w:val="Heading2"/>
      </w:pPr>
      <w:bookmarkStart w:id="78" w:name="_Toc32242138"/>
      <w:bookmarkStart w:id="79" w:name="_Toc32242361"/>
      <w:r>
        <w:rPr>
          <w:rStyle w:val="CharPartNo"/>
        </w:rPr>
        <w:t>Part 6</w:t>
      </w:r>
      <w:r>
        <w:t> — </w:t>
      </w:r>
      <w:r>
        <w:rPr>
          <w:rStyle w:val="CharPartText"/>
        </w:rPr>
        <w:t>Estate administration</w:t>
      </w:r>
      <w:bookmarkEnd w:id="78"/>
      <w:bookmarkEnd w:id="79"/>
      <w:r>
        <w:rPr>
          <w:rStyle w:val="CharPartText"/>
        </w:rPr>
        <w:t xml:space="preserve"> </w:t>
      </w:r>
    </w:p>
    <w:p>
      <w:pPr>
        <w:pStyle w:val="Heading3"/>
        <w:rPr>
          <w:snapToGrid w:val="0"/>
        </w:rPr>
      </w:pPr>
      <w:bookmarkStart w:id="80" w:name="_Toc32242139"/>
      <w:bookmarkStart w:id="81" w:name="_Toc32242362"/>
      <w:r>
        <w:rPr>
          <w:rStyle w:val="CharDivNo"/>
        </w:rPr>
        <w:t>Division 1</w:t>
      </w:r>
      <w:r>
        <w:rPr>
          <w:snapToGrid w:val="0"/>
        </w:rPr>
        <w:t> — </w:t>
      </w:r>
      <w:r>
        <w:rPr>
          <w:rStyle w:val="CharDivText"/>
        </w:rPr>
        <w:t>Appointment of administrator</w:t>
      </w:r>
      <w:bookmarkEnd w:id="80"/>
      <w:bookmarkEnd w:id="81"/>
      <w:r>
        <w:rPr>
          <w:rStyle w:val="CharDivText"/>
        </w:rPr>
        <w:t xml:space="preserve"> </w:t>
      </w:r>
    </w:p>
    <w:p>
      <w:pPr>
        <w:pStyle w:val="Heading5"/>
        <w:spacing w:before="180"/>
        <w:rPr>
          <w:snapToGrid w:val="0"/>
        </w:rPr>
      </w:pPr>
      <w:bookmarkStart w:id="82" w:name="_Toc32242363"/>
      <w:r>
        <w:rPr>
          <w:rStyle w:val="CharSectno"/>
        </w:rPr>
        <w:t>64</w:t>
      </w:r>
      <w:r>
        <w:rPr>
          <w:snapToGrid w:val="0"/>
        </w:rPr>
        <w:t>.</w:t>
      </w:r>
      <w:r>
        <w:rPr>
          <w:snapToGrid w:val="0"/>
        </w:rPr>
        <w:tab/>
        <w:t>Making of administration order</w:t>
      </w:r>
      <w:bookmarkEnd w:id="82"/>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No. 16 of 1992 s. 18; No. 57 of 1997 s. 67; No 70 of 2000 s. 9; </w:t>
      </w:r>
      <w:r>
        <w:rPr>
          <w:spacing w:val="-6"/>
        </w:rPr>
        <w:t>No. 34 of 2004 Sch. 2 cl. 11</w:t>
      </w:r>
      <w:r>
        <w:t xml:space="preserve">; No. 55 of 2004 s. 466.] </w:t>
      </w:r>
    </w:p>
    <w:p>
      <w:pPr>
        <w:pStyle w:val="Heading5"/>
        <w:rPr>
          <w:snapToGrid w:val="0"/>
        </w:rPr>
      </w:pPr>
      <w:bookmarkStart w:id="83" w:name="_Toc32242364"/>
      <w:r>
        <w:rPr>
          <w:rStyle w:val="CharSectno"/>
        </w:rPr>
        <w:t>65</w:t>
      </w:r>
      <w:r>
        <w:rPr>
          <w:snapToGrid w:val="0"/>
        </w:rPr>
        <w:t>.</w:t>
      </w:r>
      <w:r>
        <w:rPr>
          <w:snapToGrid w:val="0"/>
        </w:rPr>
        <w:tab/>
        <w:t>Emergency provision</w:t>
      </w:r>
      <w:bookmarkEnd w:id="83"/>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No. 55 of 2004 s. 466.]</w:t>
      </w:r>
    </w:p>
    <w:p>
      <w:pPr>
        <w:pStyle w:val="Heading5"/>
        <w:spacing w:before="180"/>
        <w:rPr>
          <w:snapToGrid w:val="0"/>
        </w:rPr>
      </w:pPr>
      <w:bookmarkStart w:id="84" w:name="_Toc32242365"/>
      <w:r>
        <w:rPr>
          <w:rStyle w:val="CharSectno"/>
        </w:rPr>
        <w:t>66</w:t>
      </w:r>
      <w:r>
        <w:rPr>
          <w:snapToGrid w:val="0"/>
        </w:rPr>
        <w:t>.</w:t>
      </w:r>
      <w:r>
        <w:rPr>
          <w:snapToGrid w:val="0"/>
        </w:rPr>
        <w:tab/>
        <w:t>Acts may be authorised without administration order</w:t>
      </w:r>
      <w:bookmarkEnd w:id="84"/>
      <w:r>
        <w:rPr>
          <w:snapToGrid w:val="0"/>
        </w:rPr>
        <w:t xml:space="preserve"> </w:t>
      </w:r>
    </w:p>
    <w:p>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No. 55 of 2004 s. 466.]</w:t>
      </w:r>
    </w:p>
    <w:p>
      <w:pPr>
        <w:pStyle w:val="Heading5"/>
        <w:rPr>
          <w:snapToGrid w:val="0"/>
        </w:rPr>
      </w:pPr>
      <w:bookmarkStart w:id="85" w:name="_Toc32242366"/>
      <w:r>
        <w:rPr>
          <w:rStyle w:val="CharSectno"/>
        </w:rPr>
        <w:t>67</w:t>
      </w:r>
      <w:r>
        <w:rPr>
          <w:snapToGrid w:val="0"/>
        </w:rPr>
        <w:t>.</w:t>
      </w:r>
      <w:r>
        <w:rPr>
          <w:snapToGrid w:val="0"/>
        </w:rPr>
        <w:tab/>
        <w:t>Non</w:t>
      </w:r>
      <w:r>
        <w:rPr>
          <w:snapToGrid w:val="0"/>
        </w:rPr>
        <w:noBreakHyphen/>
        <w:t>residents etc.</w:t>
      </w:r>
      <w:bookmarkEnd w:id="85"/>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No. 55 of 2004 s. 466(1).]</w:t>
      </w:r>
    </w:p>
    <w:p>
      <w:pPr>
        <w:pStyle w:val="Heading5"/>
        <w:rPr>
          <w:snapToGrid w:val="0"/>
        </w:rPr>
      </w:pPr>
      <w:bookmarkStart w:id="86" w:name="_Toc32242367"/>
      <w:r>
        <w:rPr>
          <w:rStyle w:val="CharSectno"/>
        </w:rPr>
        <w:t>68</w:t>
      </w:r>
      <w:r>
        <w:rPr>
          <w:snapToGrid w:val="0"/>
        </w:rPr>
        <w:t>.</w:t>
      </w:r>
      <w:r>
        <w:rPr>
          <w:snapToGrid w:val="0"/>
        </w:rPr>
        <w:tab/>
        <w:t>Who may be appointed administrator</w:t>
      </w:r>
      <w:bookmarkEnd w:id="86"/>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No. 7 of 1996 s. 23; No. 55 of 2004 s. 466(1).] </w:t>
      </w:r>
    </w:p>
    <w:p>
      <w:pPr>
        <w:pStyle w:val="Heading3"/>
        <w:rPr>
          <w:snapToGrid w:val="0"/>
        </w:rPr>
      </w:pPr>
      <w:bookmarkStart w:id="87" w:name="_Toc32242145"/>
      <w:bookmarkStart w:id="88" w:name="_Toc32242368"/>
      <w:r>
        <w:rPr>
          <w:rStyle w:val="CharDivNo"/>
        </w:rPr>
        <w:t>Division 2</w:t>
      </w:r>
      <w:r>
        <w:rPr>
          <w:snapToGrid w:val="0"/>
        </w:rPr>
        <w:t> — </w:t>
      </w:r>
      <w:r>
        <w:rPr>
          <w:rStyle w:val="CharDivText"/>
        </w:rPr>
        <w:t>Functions of administrators</w:t>
      </w:r>
      <w:bookmarkEnd w:id="87"/>
      <w:bookmarkEnd w:id="88"/>
      <w:r>
        <w:rPr>
          <w:rStyle w:val="CharDivText"/>
        </w:rPr>
        <w:t xml:space="preserve"> </w:t>
      </w:r>
    </w:p>
    <w:p>
      <w:pPr>
        <w:pStyle w:val="Heading5"/>
        <w:rPr>
          <w:snapToGrid w:val="0"/>
        </w:rPr>
      </w:pPr>
      <w:bookmarkStart w:id="89" w:name="_Toc32242369"/>
      <w:r>
        <w:rPr>
          <w:rStyle w:val="CharSectno"/>
        </w:rPr>
        <w:t>69</w:t>
      </w:r>
      <w:r>
        <w:rPr>
          <w:snapToGrid w:val="0"/>
        </w:rPr>
        <w:t>.</w:t>
      </w:r>
      <w:r>
        <w:rPr>
          <w:snapToGrid w:val="0"/>
        </w:rPr>
        <w:tab/>
        <w:t>Authority of administrator</w:t>
      </w:r>
      <w:bookmarkEnd w:id="89"/>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No. 55 of 2004 s. 466(1).]</w:t>
      </w:r>
    </w:p>
    <w:p>
      <w:pPr>
        <w:pStyle w:val="Heading5"/>
        <w:rPr>
          <w:snapToGrid w:val="0"/>
        </w:rPr>
      </w:pPr>
      <w:bookmarkStart w:id="90" w:name="_Toc32242370"/>
      <w:r>
        <w:rPr>
          <w:rStyle w:val="CharSectno"/>
        </w:rPr>
        <w:t>70</w:t>
      </w:r>
      <w:r>
        <w:rPr>
          <w:snapToGrid w:val="0"/>
        </w:rPr>
        <w:t>.</w:t>
      </w:r>
      <w:r>
        <w:rPr>
          <w:snapToGrid w:val="0"/>
        </w:rPr>
        <w:tab/>
        <w:t>Administrator to act in best interests of represented person</w:t>
      </w:r>
      <w:bookmarkEnd w:id="90"/>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w:t>
      </w:r>
      <w:r>
        <w:rPr>
          <w:i/>
          <w:iCs/>
        </w:rPr>
        <w:t>Legal Profession Act 2008</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No. 70 of 2000 s. 10; No. 65 of 2003 s. 40(4); No. 21 of 2008 s. 667(4).]</w:t>
      </w:r>
    </w:p>
    <w:p>
      <w:pPr>
        <w:pStyle w:val="Heading5"/>
        <w:rPr>
          <w:snapToGrid w:val="0"/>
        </w:rPr>
      </w:pPr>
      <w:bookmarkStart w:id="91" w:name="_Toc32242371"/>
      <w:r>
        <w:rPr>
          <w:rStyle w:val="CharSectno"/>
        </w:rPr>
        <w:t>71</w:t>
      </w:r>
      <w:r>
        <w:rPr>
          <w:snapToGrid w:val="0"/>
        </w:rPr>
        <w:t>.</w:t>
      </w:r>
      <w:r>
        <w:rPr>
          <w:snapToGrid w:val="0"/>
        </w:rPr>
        <w:tab/>
        <w:t>Authority which may be conferred on administrator</w:t>
      </w:r>
      <w:bookmarkEnd w:id="91"/>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 and in particular may, if the circumstances so require, empower an administrator to make a payment or enter into a transaction of a kind described in section 72(3) on behalf of the represented person.</w:t>
      </w:r>
    </w:p>
    <w:p>
      <w:pPr>
        <w:pStyle w:val="Footnotesection"/>
      </w:pPr>
      <w:r>
        <w:tab/>
        <w:t>[Section 71 amended: No. 55 of 2004 s. 466(1); No. 27 of 2007 s. 25; No. 19 of 2010 s. 51.]</w:t>
      </w:r>
    </w:p>
    <w:p>
      <w:pPr>
        <w:pStyle w:val="Heading5"/>
        <w:rPr>
          <w:snapToGrid w:val="0"/>
        </w:rPr>
      </w:pPr>
      <w:bookmarkStart w:id="92" w:name="_Toc32242372"/>
      <w:r>
        <w:rPr>
          <w:rStyle w:val="CharSectno"/>
        </w:rPr>
        <w:t>71A</w:t>
      </w:r>
      <w:r>
        <w:rPr>
          <w:snapToGrid w:val="0"/>
        </w:rPr>
        <w:t>.</w:t>
      </w:r>
      <w:r>
        <w:rPr>
          <w:snapToGrid w:val="0"/>
        </w:rPr>
        <w:tab/>
        <w:t>Amendment of order to confer particular function</w:t>
      </w:r>
      <w:bookmarkEnd w:id="9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No. 7 of 1996 s. 24; amended: No. 55 of 2004 s. 466(1).] </w:t>
      </w:r>
    </w:p>
    <w:p>
      <w:pPr>
        <w:pStyle w:val="Heading5"/>
        <w:rPr>
          <w:snapToGrid w:val="0"/>
        </w:rPr>
      </w:pPr>
      <w:bookmarkStart w:id="93" w:name="_Toc32242373"/>
      <w:r>
        <w:rPr>
          <w:rStyle w:val="CharSectno"/>
        </w:rPr>
        <w:t>72</w:t>
      </w:r>
      <w:r>
        <w:rPr>
          <w:snapToGrid w:val="0"/>
        </w:rPr>
        <w:t>.</w:t>
      </w:r>
      <w:r>
        <w:rPr>
          <w:snapToGrid w:val="0"/>
        </w:rPr>
        <w:tab/>
        <w:t>Further provisions as to authority of administrators</w:t>
      </w:r>
      <w:bookmarkEnd w:id="9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No. 55 of 2004 s. 466(1).]</w:t>
      </w:r>
    </w:p>
    <w:p>
      <w:pPr>
        <w:pStyle w:val="Ednotesection"/>
        <w:ind w:left="890" w:hanging="890"/>
      </w:pPr>
      <w:r>
        <w:t>[</w:t>
      </w:r>
      <w:r>
        <w:rPr>
          <w:b/>
        </w:rPr>
        <w:t>73.</w:t>
      </w:r>
      <w:r>
        <w:rPr>
          <w:b/>
        </w:rPr>
        <w:tab/>
      </w:r>
      <w:r>
        <w:t xml:space="preserve">Deleted: No. 7 of 1996 s. 25.] </w:t>
      </w:r>
    </w:p>
    <w:p>
      <w:pPr>
        <w:pStyle w:val="Heading5"/>
        <w:rPr>
          <w:snapToGrid w:val="0"/>
        </w:rPr>
      </w:pPr>
      <w:bookmarkStart w:id="94" w:name="_Toc32242374"/>
      <w:r>
        <w:rPr>
          <w:rStyle w:val="CharSectno"/>
        </w:rPr>
        <w:t>74</w:t>
      </w:r>
      <w:r>
        <w:rPr>
          <w:snapToGrid w:val="0"/>
        </w:rPr>
        <w:t>.</w:t>
      </w:r>
      <w:r>
        <w:rPr>
          <w:snapToGrid w:val="0"/>
        </w:rPr>
        <w:tab/>
        <w:t>Administrator may apply for directions</w:t>
      </w:r>
      <w:bookmarkEnd w:id="94"/>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No. 16 of 1992 s. 18; No. 55 of 2004 s. 466.] </w:t>
      </w:r>
    </w:p>
    <w:p>
      <w:pPr>
        <w:pStyle w:val="Heading5"/>
        <w:rPr>
          <w:snapToGrid w:val="0"/>
        </w:rPr>
      </w:pPr>
      <w:bookmarkStart w:id="95" w:name="_Toc32242375"/>
      <w:r>
        <w:rPr>
          <w:rStyle w:val="CharSectno"/>
        </w:rPr>
        <w:t>75</w:t>
      </w:r>
      <w:r>
        <w:rPr>
          <w:snapToGrid w:val="0"/>
        </w:rPr>
        <w:t>.</w:t>
      </w:r>
      <w:r>
        <w:rPr>
          <w:snapToGrid w:val="0"/>
        </w:rPr>
        <w:tab/>
        <w:t>Administrators to act unanimously</w:t>
      </w:r>
      <w:bookmarkEnd w:id="95"/>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No. 55 of 2004 s. 466(1).]</w:t>
      </w:r>
    </w:p>
    <w:p>
      <w:pPr>
        <w:pStyle w:val="Heading5"/>
        <w:rPr>
          <w:snapToGrid w:val="0"/>
        </w:rPr>
      </w:pPr>
      <w:bookmarkStart w:id="96" w:name="_Toc32242376"/>
      <w:r>
        <w:rPr>
          <w:rStyle w:val="CharSectno"/>
        </w:rPr>
        <w:t>76</w:t>
      </w:r>
      <w:r>
        <w:rPr>
          <w:snapToGrid w:val="0"/>
        </w:rPr>
        <w:t>.</w:t>
      </w:r>
      <w:r>
        <w:rPr>
          <w:snapToGrid w:val="0"/>
        </w:rPr>
        <w:tab/>
        <w:t>Administrator may employ agents</w:t>
      </w:r>
      <w:bookmarkEnd w:id="96"/>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w:t>
      </w:r>
      <w:r>
        <w:t xml:space="preserve">section 50 </w:t>
      </w:r>
      <w:r>
        <w:rPr>
          <w:snapToGrid w:val="0"/>
        </w:rPr>
        <w:t xml:space="preserve">of the </w:t>
      </w:r>
      <w:r>
        <w:rPr>
          <w:i/>
          <w:snapToGrid w:val="0"/>
        </w:rPr>
        <w:t>Public Trustee Act 1941</w:t>
      </w:r>
      <w:r>
        <w:rPr>
          <w:snapToGrid w:val="0"/>
          <w:vertAlign w:val="superscript"/>
        </w:rPr>
        <w:t> 4</w:t>
      </w:r>
      <w:r>
        <w:rPr>
          <w:snapToGrid w:val="0"/>
        </w:rPr>
        <w:t>.</w:t>
      </w:r>
    </w:p>
    <w:p>
      <w:pPr>
        <w:pStyle w:val="Footnotesection"/>
      </w:pPr>
      <w:r>
        <w:tab/>
        <w:t>[Section 76 amended: No. 17 of 2014 s. 22(4).]</w:t>
      </w:r>
    </w:p>
    <w:p>
      <w:pPr>
        <w:pStyle w:val="Heading5"/>
        <w:rPr>
          <w:snapToGrid w:val="0"/>
        </w:rPr>
      </w:pPr>
      <w:bookmarkStart w:id="97" w:name="_Toc32242377"/>
      <w:r>
        <w:rPr>
          <w:rStyle w:val="CharSectno"/>
        </w:rPr>
        <w:t>77</w:t>
      </w:r>
      <w:r>
        <w:rPr>
          <w:snapToGrid w:val="0"/>
        </w:rPr>
        <w:t>.</w:t>
      </w:r>
      <w:r>
        <w:rPr>
          <w:snapToGrid w:val="0"/>
        </w:rPr>
        <w:tab/>
        <w:t>Represented person incapable of dealing with estate</w:t>
      </w:r>
      <w:bookmarkEnd w:id="97"/>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No. 55 of 2004 s. 466.]</w:t>
      </w:r>
    </w:p>
    <w:p>
      <w:pPr>
        <w:pStyle w:val="Heading5"/>
        <w:rPr>
          <w:snapToGrid w:val="0"/>
        </w:rPr>
      </w:pPr>
      <w:bookmarkStart w:id="98" w:name="_Toc32242378"/>
      <w:r>
        <w:rPr>
          <w:rStyle w:val="CharSectno"/>
        </w:rPr>
        <w:t>78</w:t>
      </w:r>
      <w:r>
        <w:rPr>
          <w:snapToGrid w:val="0"/>
        </w:rPr>
        <w:t>.</w:t>
      </w:r>
      <w:r>
        <w:rPr>
          <w:snapToGrid w:val="0"/>
        </w:rPr>
        <w:tab/>
        <w:t>Cessation of authority of administrator</w:t>
      </w:r>
      <w:bookmarkEnd w:id="98"/>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No. 55 of 2004 s. 466(1).]</w:t>
      </w:r>
    </w:p>
    <w:p>
      <w:pPr>
        <w:pStyle w:val="Heading5"/>
        <w:rPr>
          <w:snapToGrid w:val="0"/>
        </w:rPr>
      </w:pPr>
      <w:bookmarkStart w:id="99" w:name="_Toc32242379"/>
      <w:r>
        <w:rPr>
          <w:rStyle w:val="CharSectno"/>
        </w:rPr>
        <w:t>79</w:t>
      </w:r>
      <w:r>
        <w:rPr>
          <w:snapToGrid w:val="0"/>
        </w:rPr>
        <w:t>.</w:t>
      </w:r>
      <w:r>
        <w:rPr>
          <w:snapToGrid w:val="0"/>
        </w:rPr>
        <w:tab/>
        <w:t>Represented person bound by acts of administrator</w:t>
      </w:r>
      <w:bookmarkEnd w:id="99"/>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100" w:name="_Toc32242380"/>
      <w:r>
        <w:rPr>
          <w:rStyle w:val="CharSectno"/>
        </w:rPr>
        <w:t>80</w:t>
      </w:r>
      <w:r>
        <w:rPr>
          <w:snapToGrid w:val="0"/>
        </w:rPr>
        <w:t>.</w:t>
      </w:r>
      <w:r>
        <w:rPr>
          <w:snapToGrid w:val="0"/>
        </w:rPr>
        <w:tab/>
        <w:t>Accounts</w:t>
      </w:r>
      <w:bookmarkEnd w:id="100"/>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No. 16 of 1992 s. 13 and 18; No. 55 of 2004 s. 443.] </w:t>
      </w:r>
    </w:p>
    <w:p>
      <w:pPr>
        <w:pStyle w:val="Heading5"/>
        <w:rPr>
          <w:snapToGrid w:val="0"/>
        </w:rPr>
      </w:pPr>
      <w:bookmarkStart w:id="101" w:name="_Toc32242381"/>
      <w:r>
        <w:rPr>
          <w:rStyle w:val="CharSectno"/>
        </w:rPr>
        <w:t>81</w:t>
      </w:r>
      <w:r>
        <w:rPr>
          <w:snapToGrid w:val="0"/>
        </w:rPr>
        <w:t>.</w:t>
      </w:r>
      <w:r>
        <w:rPr>
          <w:snapToGrid w:val="0"/>
        </w:rPr>
        <w:tab/>
        <w:t>Enforcement of security</w:t>
      </w:r>
      <w:bookmarkEnd w:id="101"/>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ind w:left="890" w:hanging="890"/>
      </w:pPr>
      <w:r>
        <w:tab/>
        <w:t xml:space="preserve">[Section 81 amended: No. 16 of 1992 s. 18; No. 55 of 2004 s. 466(1).] </w:t>
      </w:r>
    </w:p>
    <w:p>
      <w:pPr>
        <w:pStyle w:val="Heading5"/>
        <w:rPr>
          <w:snapToGrid w:val="0"/>
        </w:rPr>
      </w:pPr>
      <w:bookmarkStart w:id="102" w:name="_Toc32242382"/>
      <w:r>
        <w:rPr>
          <w:rStyle w:val="CharSectno"/>
        </w:rPr>
        <w:t>82</w:t>
      </w:r>
      <w:r>
        <w:rPr>
          <w:snapToGrid w:val="0"/>
        </w:rPr>
        <w:t>.</w:t>
      </w:r>
      <w:r>
        <w:rPr>
          <w:snapToGrid w:val="0"/>
        </w:rPr>
        <w:tab/>
        <w:t>Transactions may be set aside</w:t>
      </w:r>
      <w:bookmarkEnd w:id="102"/>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No. 55 of 2004 s. 444.]</w:t>
      </w:r>
    </w:p>
    <w:p>
      <w:pPr>
        <w:pStyle w:val="Heading5"/>
        <w:rPr>
          <w:snapToGrid w:val="0"/>
        </w:rPr>
      </w:pPr>
      <w:bookmarkStart w:id="103" w:name="_Toc32242383"/>
      <w:r>
        <w:rPr>
          <w:rStyle w:val="CharSectno"/>
        </w:rPr>
        <w:t>83</w:t>
      </w:r>
      <w:r>
        <w:rPr>
          <w:snapToGrid w:val="0"/>
        </w:rPr>
        <w:t>.</w:t>
      </w:r>
      <w:r>
        <w:rPr>
          <w:snapToGrid w:val="0"/>
        </w:rPr>
        <w:tab/>
        <w:t>Saving for certain rules of court</w:t>
      </w:r>
      <w:bookmarkEnd w:id="103"/>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104" w:name="_Toc32242161"/>
      <w:bookmarkStart w:id="105" w:name="_Toc32242384"/>
      <w:r>
        <w:rPr>
          <w:rStyle w:val="CharDivNo"/>
        </w:rPr>
        <w:t>Division 3</w:t>
      </w:r>
      <w:r>
        <w:rPr>
          <w:snapToGrid w:val="0"/>
        </w:rPr>
        <w:t> — </w:t>
      </w:r>
      <w:r>
        <w:rPr>
          <w:rStyle w:val="CharDivText"/>
        </w:rPr>
        <w:t>Interjurisdictional arrangements in relation to administration powers</w:t>
      </w:r>
      <w:bookmarkEnd w:id="104"/>
      <w:bookmarkEnd w:id="105"/>
      <w:r>
        <w:rPr>
          <w:rStyle w:val="CharDivText"/>
        </w:rPr>
        <w:t xml:space="preserve"> </w:t>
      </w:r>
    </w:p>
    <w:p>
      <w:pPr>
        <w:pStyle w:val="Footnoteheading"/>
        <w:rPr>
          <w:snapToGrid w:val="0"/>
        </w:rPr>
      </w:pPr>
      <w:r>
        <w:rPr>
          <w:snapToGrid w:val="0"/>
        </w:rPr>
        <w:tab/>
        <w:t xml:space="preserve">[Heading inserted: No. 7 of 1996 s. 26.] </w:t>
      </w:r>
    </w:p>
    <w:p>
      <w:pPr>
        <w:pStyle w:val="Heading5"/>
        <w:rPr>
          <w:snapToGrid w:val="0"/>
        </w:rPr>
      </w:pPr>
      <w:bookmarkStart w:id="106" w:name="_Toc32242385"/>
      <w:r>
        <w:rPr>
          <w:rStyle w:val="CharSectno"/>
        </w:rPr>
        <w:t>83A</w:t>
      </w:r>
      <w:r>
        <w:rPr>
          <w:snapToGrid w:val="0"/>
        </w:rPr>
        <w:t>.</w:t>
      </w:r>
      <w:r>
        <w:rPr>
          <w:snapToGrid w:val="0"/>
        </w:rPr>
        <w:tab/>
        <w:t>Reciprocating States</w:t>
      </w:r>
      <w:bookmarkEnd w:id="106"/>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No. 7 of 1996 s. 26.] </w:t>
      </w:r>
    </w:p>
    <w:p>
      <w:pPr>
        <w:pStyle w:val="Heading5"/>
        <w:rPr>
          <w:snapToGrid w:val="0"/>
        </w:rPr>
      </w:pPr>
      <w:bookmarkStart w:id="107" w:name="_Toc32242386"/>
      <w:r>
        <w:rPr>
          <w:rStyle w:val="CharSectno"/>
        </w:rPr>
        <w:t>83B</w:t>
      </w:r>
      <w:r>
        <w:rPr>
          <w:snapToGrid w:val="0"/>
        </w:rPr>
        <w:t>.</w:t>
      </w:r>
      <w:r>
        <w:rPr>
          <w:snapToGrid w:val="0"/>
        </w:rPr>
        <w:tab/>
        <w:t>Foreign administrator may authorise Public Trustee to administer property in this State</w:t>
      </w:r>
      <w:bookmarkEnd w:id="107"/>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keepNext/>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No. 7 of 1996 s. 26.] </w:t>
      </w:r>
    </w:p>
    <w:p>
      <w:pPr>
        <w:pStyle w:val="Heading5"/>
        <w:rPr>
          <w:snapToGrid w:val="0"/>
        </w:rPr>
      </w:pPr>
      <w:bookmarkStart w:id="108" w:name="_Toc32242387"/>
      <w:r>
        <w:rPr>
          <w:rStyle w:val="CharSectno"/>
        </w:rPr>
        <w:t>83C</w:t>
      </w:r>
      <w:r>
        <w:rPr>
          <w:snapToGrid w:val="0"/>
        </w:rPr>
        <w:t>.</w:t>
      </w:r>
      <w:r>
        <w:rPr>
          <w:snapToGrid w:val="0"/>
        </w:rPr>
        <w:tab/>
        <w:t>Administrator may authorise relevant official to administer property in reciprocating State</w:t>
      </w:r>
      <w:bookmarkEnd w:id="108"/>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rPr>
          <w:snapToGrid w:val="0"/>
        </w:rPr>
      </w:pPr>
      <w:r>
        <w:rPr>
          <w:snapToGrid w:val="0"/>
        </w:rPr>
        <w:tab/>
        <w:t>(a)</w:t>
      </w:r>
      <w:r>
        <w:rPr>
          <w:snapToGrid w:val="0"/>
        </w:rPr>
        <w:tab/>
        <w:t xml:space="preserve">certify that he has the control and management of the estate of the represented person; </w:t>
      </w:r>
    </w:p>
    <w:p>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No. 7 of 1996 s. 26.] </w:t>
      </w:r>
    </w:p>
    <w:p>
      <w:pPr>
        <w:pStyle w:val="Heading5"/>
        <w:rPr>
          <w:snapToGrid w:val="0"/>
        </w:rPr>
      </w:pPr>
      <w:bookmarkStart w:id="109" w:name="_Toc32242388"/>
      <w:r>
        <w:rPr>
          <w:rStyle w:val="CharSectno"/>
        </w:rPr>
        <w:t>83D</w:t>
      </w:r>
      <w:r>
        <w:rPr>
          <w:snapToGrid w:val="0"/>
        </w:rPr>
        <w:t>.</w:t>
      </w:r>
      <w:r>
        <w:rPr>
          <w:snapToGrid w:val="0"/>
        </w:rPr>
        <w:tab/>
        <w:t>Interstate arrangements for recognition of administration orders</w:t>
      </w:r>
      <w:bookmarkEnd w:id="109"/>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ind w:left="890" w:hanging="890"/>
      </w:pPr>
      <w:r>
        <w:tab/>
        <w:t xml:space="preserve">[Section 83D inserted: No. 7 of 1996 s. 26.] </w:t>
      </w:r>
    </w:p>
    <w:p>
      <w:pPr>
        <w:pStyle w:val="Heading2"/>
      </w:pPr>
      <w:bookmarkStart w:id="110" w:name="_Toc32242166"/>
      <w:bookmarkStart w:id="111" w:name="_Toc32242389"/>
      <w:r>
        <w:rPr>
          <w:rStyle w:val="CharPartNo"/>
        </w:rPr>
        <w:t>Part 7</w:t>
      </w:r>
      <w:r>
        <w:rPr>
          <w:rStyle w:val="CharDivNo"/>
        </w:rPr>
        <w:t> </w:t>
      </w:r>
      <w:r>
        <w:t>—</w:t>
      </w:r>
      <w:r>
        <w:rPr>
          <w:rStyle w:val="CharDivText"/>
        </w:rPr>
        <w:t> </w:t>
      </w:r>
      <w:r>
        <w:rPr>
          <w:rStyle w:val="CharPartText"/>
        </w:rPr>
        <w:t>Review of orders</w:t>
      </w:r>
      <w:bookmarkEnd w:id="110"/>
      <w:bookmarkEnd w:id="111"/>
      <w:r>
        <w:rPr>
          <w:rStyle w:val="CharPartText"/>
        </w:rPr>
        <w:t xml:space="preserve"> </w:t>
      </w:r>
    </w:p>
    <w:p>
      <w:pPr>
        <w:pStyle w:val="Heading5"/>
        <w:rPr>
          <w:snapToGrid w:val="0"/>
        </w:rPr>
      </w:pPr>
      <w:bookmarkStart w:id="112" w:name="_Toc32242390"/>
      <w:r>
        <w:rPr>
          <w:rStyle w:val="CharSectno"/>
        </w:rPr>
        <w:t>84</w:t>
      </w:r>
      <w:r>
        <w:rPr>
          <w:snapToGrid w:val="0"/>
        </w:rPr>
        <w:t>.</w:t>
      </w:r>
      <w:r>
        <w:rPr>
          <w:snapToGrid w:val="0"/>
        </w:rPr>
        <w:tab/>
        <w:t>State Administrative Tribunal to review orders periodically</w:t>
      </w:r>
      <w:bookmarkEnd w:id="112"/>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No. 55 of 2004 s. 466(1).]</w:t>
      </w:r>
    </w:p>
    <w:p>
      <w:pPr>
        <w:pStyle w:val="Heading5"/>
        <w:rPr>
          <w:snapToGrid w:val="0"/>
        </w:rPr>
      </w:pPr>
      <w:bookmarkStart w:id="113" w:name="_Toc32242391"/>
      <w:r>
        <w:rPr>
          <w:rStyle w:val="CharSectno"/>
        </w:rPr>
        <w:t>85</w:t>
      </w:r>
      <w:r>
        <w:rPr>
          <w:snapToGrid w:val="0"/>
        </w:rPr>
        <w:t>.</w:t>
      </w:r>
      <w:r>
        <w:rPr>
          <w:snapToGrid w:val="0"/>
        </w:rPr>
        <w:tab/>
        <w:t>Circumstances in which review mandatory</w:t>
      </w:r>
      <w:bookmarkEnd w:id="113"/>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keepNext/>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No. 55 of 2004 s. 445 and 466; No. 18 of 2009 s. 38(2).]</w:t>
      </w:r>
    </w:p>
    <w:p>
      <w:pPr>
        <w:pStyle w:val="Heading5"/>
        <w:rPr>
          <w:snapToGrid w:val="0"/>
        </w:rPr>
      </w:pPr>
      <w:bookmarkStart w:id="114" w:name="_Toc32242392"/>
      <w:r>
        <w:rPr>
          <w:rStyle w:val="CharSectno"/>
        </w:rPr>
        <w:t>86</w:t>
      </w:r>
      <w:r>
        <w:rPr>
          <w:snapToGrid w:val="0"/>
        </w:rPr>
        <w:t>.</w:t>
      </w:r>
      <w:r>
        <w:rPr>
          <w:snapToGrid w:val="0"/>
        </w:rPr>
        <w:tab/>
        <w:t>Review on application</w:t>
      </w:r>
      <w:bookmarkEnd w:id="114"/>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No. 16 of 1992 s. 14; No. 55 of 2004 s. 446; No. 5 of 2008 s. 59.] </w:t>
      </w:r>
    </w:p>
    <w:p>
      <w:pPr>
        <w:pStyle w:val="Heading5"/>
        <w:rPr>
          <w:snapToGrid w:val="0"/>
        </w:rPr>
      </w:pPr>
      <w:bookmarkStart w:id="115" w:name="_Toc32242393"/>
      <w:r>
        <w:rPr>
          <w:rStyle w:val="CharSectno"/>
        </w:rPr>
        <w:t>87</w:t>
      </w:r>
      <w:r>
        <w:rPr>
          <w:snapToGrid w:val="0"/>
        </w:rPr>
        <w:t>.</w:t>
      </w:r>
      <w:r>
        <w:rPr>
          <w:snapToGrid w:val="0"/>
        </w:rPr>
        <w:tab/>
        <w:t>Leave to apply for review</w:t>
      </w:r>
      <w:bookmarkEnd w:id="115"/>
      <w:r>
        <w:rPr>
          <w:snapToGrid w:val="0"/>
        </w:rPr>
        <w:t xml:space="preserve"> </w:t>
      </w:r>
    </w:p>
    <w:p>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No. 16 of 1992 s. 18; No. 55 of 2004 s. 447 and 466(1).] </w:t>
      </w:r>
    </w:p>
    <w:p>
      <w:pPr>
        <w:pStyle w:val="Heading5"/>
        <w:rPr>
          <w:snapToGrid w:val="0"/>
        </w:rPr>
      </w:pPr>
      <w:bookmarkStart w:id="116" w:name="_Toc32242394"/>
      <w:r>
        <w:rPr>
          <w:rStyle w:val="CharSectno"/>
        </w:rPr>
        <w:t>88</w:t>
      </w:r>
      <w:r>
        <w:rPr>
          <w:snapToGrid w:val="0"/>
        </w:rPr>
        <w:t>.</w:t>
      </w:r>
      <w:r>
        <w:rPr>
          <w:snapToGrid w:val="0"/>
        </w:rPr>
        <w:tab/>
        <w:t>Application for review</w:t>
      </w:r>
      <w:bookmarkEnd w:id="116"/>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No. 16 of 1992 s. 18; No. 55 of 2004 s. 448.] </w:t>
      </w:r>
    </w:p>
    <w:p>
      <w:pPr>
        <w:pStyle w:val="Heading5"/>
        <w:rPr>
          <w:snapToGrid w:val="0"/>
        </w:rPr>
      </w:pPr>
      <w:bookmarkStart w:id="117" w:name="_Toc32242395"/>
      <w:r>
        <w:rPr>
          <w:rStyle w:val="CharSectno"/>
        </w:rPr>
        <w:t>89</w:t>
      </w:r>
      <w:r>
        <w:rPr>
          <w:snapToGrid w:val="0"/>
        </w:rPr>
        <w:t>.</w:t>
      </w:r>
      <w:r>
        <w:rPr>
          <w:snapToGrid w:val="0"/>
        </w:rPr>
        <w:tab/>
        <w:t>Notice of review</w:t>
      </w:r>
      <w:bookmarkEnd w:id="117"/>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No. 16 of 1992 s. 18; No. 7 of 1996 s. 36; No. 55 of 2004 s. 449 and 466(1); No. 19 of 2010 s. 18(2).] </w:t>
      </w:r>
    </w:p>
    <w:p>
      <w:pPr>
        <w:pStyle w:val="Heading5"/>
        <w:keepLines w:val="0"/>
        <w:rPr>
          <w:snapToGrid w:val="0"/>
        </w:rPr>
      </w:pPr>
      <w:bookmarkStart w:id="118" w:name="_Toc32242396"/>
      <w:r>
        <w:rPr>
          <w:rStyle w:val="CharSectno"/>
        </w:rPr>
        <w:t>90</w:t>
      </w:r>
      <w:r>
        <w:rPr>
          <w:snapToGrid w:val="0"/>
        </w:rPr>
        <w:t>.</w:t>
      </w:r>
      <w:r>
        <w:rPr>
          <w:snapToGrid w:val="0"/>
        </w:rPr>
        <w:tab/>
        <w:t>Powers of State Administrative Tribunal on review</w:t>
      </w:r>
      <w:bookmarkEnd w:id="118"/>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No. 70 of 2000 s. 11; No. 55 of 2004 s. 450 and 466(1).]</w:t>
      </w:r>
    </w:p>
    <w:p>
      <w:pPr>
        <w:pStyle w:val="Heading2"/>
      </w:pPr>
      <w:bookmarkStart w:id="119" w:name="_Toc32242174"/>
      <w:bookmarkStart w:id="120" w:name="_Toc32242397"/>
      <w:r>
        <w:rPr>
          <w:rStyle w:val="CharPartNo"/>
        </w:rPr>
        <w:t>Part 8</w:t>
      </w:r>
      <w:r>
        <w:rPr>
          <w:rStyle w:val="CharDivNo"/>
        </w:rPr>
        <w:t> </w:t>
      </w:r>
      <w:r>
        <w:t>—</w:t>
      </w:r>
      <w:r>
        <w:rPr>
          <w:rStyle w:val="CharDivText"/>
        </w:rPr>
        <w:t> </w:t>
      </w:r>
      <w:r>
        <w:rPr>
          <w:rStyle w:val="CharPartText"/>
        </w:rPr>
        <w:t>The Public Advocate</w:t>
      </w:r>
      <w:bookmarkEnd w:id="119"/>
      <w:bookmarkEnd w:id="120"/>
      <w:r>
        <w:rPr>
          <w:rStyle w:val="CharPartText"/>
        </w:rPr>
        <w:t xml:space="preserve"> </w:t>
      </w:r>
    </w:p>
    <w:p>
      <w:pPr>
        <w:pStyle w:val="Footnoteheading"/>
        <w:rPr>
          <w:snapToGrid w:val="0"/>
        </w:rPr>
      </w:pPr>
      <w:r>
        <w:rPr>
          <w:snapToGrid w:val="0"/>
        </w:rPr>
        <w:tab/>
        <w:t xml:space="preserve">[Heading amended: No. 7 of 1996 s. 36.] </w:t>
      </w:r>
    </w:p>
    <w:p>
      <w:pPr>
        <w:pStyle w:val="Heading5"/>
        <w:rPr>
          <w:snapToGrid w:val="0"/>
        </w:rPr>
      </w:pPr>
      <w:bookmarkStart w:id="121" w:name="_Toc32242398"/>
      <w:r>
        <w:rPr>
          <w:rStyle w:val="CharSectno"/>
        </w:rPr>
        <w:t>91</w:t>
      </w:r>
      <w:r>
        <w:rPr>
          <w:snapToGrid w:val="0"/>
        </w:rPr>
        <w:t>.</w:t>
      </w:r>
      <w:r>
        <w:rPr>
          <w:snapToGrid w:val="0"/>
        </w:rPr>
        <w:tab/>
        <w:t>Public Advocate</w:t>
      </w:r>
      <w:bookmarkEnd w:id="121"/>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w:t>
      </w:r>
      <w:r>
        <w:t xml:space="preserve"> Public Sector Commissioner</w:t>
      </w:r>
      <w:r>
        <w:rPr>
          <w:snapToGrid w:val="0"/>
          <w:spacing w:val="-2"/>
        </w:rPr>
        <w:t>.</w:t>
      </w:r>
    </w:p>
    <w:p>
      <w:pPr>
        <w:pStyle w:val="Footnotesection"/>
      </w:pPr>
      <w:r>
        <w:tab/>
        <w:t xml:space="preserve">[Section 91 amended: No. 7 of 1996 s. 36; No. 39 of 2010 s. 89.] </w:t>
      </w:r>
    </w:p>
    <w:p>
      <w:pPr>
        <w:pStyle w:val="Heading5"/>
        <w:rPr>
          <w:snapToGrid w:val="0"/>
        </w:rPr>
      </w:pPr>
      <w:bookmarkStart w:id="122" w:name="_Toc32242399"/>
      <w:r>
        <w:rPr>
          <w:rStyle w:val="CharSectno"/>
        </w:rPr>
        <w:t>92</w:t>
      </w:r>
      <w:r>
        <w:rPr>
          <w:snapToGrid w:val="0"/>
        </w:rPr>
        <w:t>.</w:t>
      </w:r>
      <w:r>
        <w:rPr>
          <w:snapToGrid w:val="0"/>
        </w:rPr>
        <w:tab/>
        <w:t>Resignation, removal etc.</w:t>
      </w:r>
      <w:bookmarkEnd w:id="122"/>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No. 7 of 1996 s. 36; No. 18 of 2009 s. 38(3).] </w:t>
      </w:r>
    </w:p>
    <w:p>
      <w:pPr>
        <w:pStyle w:val="Heading5"/>
        <w:rPr>
          <w:snapToGrid w:val="0"/>
        </w:rPr>
      </w:pPr>
      <w:bookmarkStart w:id="123" w:name="_Toc32242400"/>
      <w:r>
        <w:rPr>
          <w:rStyle w:val="CharSectno"/>
        </w:rPr>
        <w:t>93</w:t>
      </w:r>
      <w:r>
        <w:rPr>
          <w:snapToGrid w:val="0"/>
        </w:rPr>
        <w:t>.</w:t>
      </w:r>
      <w:r>
        <w:rPr>
          <w:snapToGrid w:val="0"/>
        </w:rPr>
        <w:tab/>
        <w:t>Acting Public Advocate</w:t>
      </w:r>
      <w:bookmarkEnd w:id="123"/>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w:t>
      </w:r>
      <w:r>
        <w:t xml:space="preserve"> Public Sector Commissioner</w:t>
      </w:r>
      <w:r>
        <w:rPr>
          <w:snapToGrid w:val="0"/>
        </w:rPr>
        <w: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No. 7 of 1996 s. 36; No. 39 of 2010 s. 89.] </w:t>
      </w:r>
    </w:p>
    <w:p>
      <w:pPr>
        <w:pStyle w:val="Heading5"/>
        <w:rPr>
          <w:snapToGrid w:val="0"/>
        </w:rPr>
      </w:pPr>
      <w:bookmarkStart w:id="124" w:name="_Toc32242401"/>
      <w:r>
        <w:rPr>
          <w:rStyle w:val="CharSectno"/>
        </w:rPr>
        <w:t>94</w:t>
      </w:r>
      <w:r>
        <w:rPr>
          <w:snapToGrid w:val="0"/>
        </w:rPr>
        <w:t>.</w:t>
      </w:r>
      <w:r>
        <w:rPr>
          <w:snapToGrid w:val="0"/>
        </w:rPr>
        <w:tab/>
        <w:t>Staff</w:t>
      </w:r>
      <w:bookmarkEnd w:id="124"/>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No. 32 of 1994 s. 3(2); No. 7 of 1996 s. 36.] </w:t>
      </w:r>
    </w:p>
    <w:p>
      <w:pPr>
        <w:pStyle w:val="Heading5"/>
        <w:rPr>
          <w:snapToGrid w:val="0"/>
        </w:rPr>
      </w:pPr>
      <w:bookmarkStart w:id="125" w:name="_Toc32242402"/>
      <w:r>
        <w:rPr>
          <w:rStyle w:val="CharSectno"/>
        </w:rPr>
        <w:t>95</w:t>
      </w:r>
      <w:r>
        <w:rPr>
          <w:snapToGrid w:val="0"/>
        </w:rPr>
        <w:t>.</w:t>
      </w:r>
      <w:r>
        <w:rPr>
          <w:snapToGrid w:val="0"/>
        </w:rPr>
        <w:tab/>
        <w:t>Powers of delegation</w:t>
      </w:r>
      <w:bookmarkEnd w:id="125"/>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No. 7 of 1996 s. 36; No. 55 of 2004 s. 466.] </w:t>
      </w:r>
    </w:p>
    <w:p>
      <w:pPr>
        <w:pStyle w:val="Heading5"/>
        <w:rPr>
          <w:snapToGrid w:val="0"/>
        </w:rPr>
      </w:pPr>
      <w:bookmarkStart w:id="126" w:name="_Toc32242403"/>
      <w:r>
        <w:rPr>
          <w:rStyle w:val="CharSectno"/>
        </w:rPr>
        <w:t>96</w:t>
      </w:r>
      <w:r>
        <w:rPr>
          <w:snapToGrid w:val="0"/>
        </w:rPr>
        <w:t>.</w:t>
      </w:r>
      <w:r>
        <w:rPr>
          <w:snapToGrid w:val="0"/>
        </w:rPr>
        <w:tab/>
        <w:t>Existing rights etc.</w:t>
      </w:r>
      <w:bookmarkEnd w:id="126"/>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No. 32 of 1994 s. 3(2); No. 7 of 1996 s. 36.] </w:t>
      </w:r>
    </w:p>
    <w:p>
      <w:pPr>
        <w:pStyle w:val="Heading5"/>
        <w:rPr>
          <w:snapToGrid w:val="0"/>
        </w:rPr>
      </w:pPr>
      <w:bookmarkStart w:id="127" w:name="_Toc32242404"/>
      <w:r>
        <w:rPr>
          <w:rStyle w:val="CharSectno"/>
        </w:rPr>
        <w:t>97</w:t>
      </w:r>
      <w:r>
        <w:rPr>
          <w:snapToGrid w:val="0"/>
        </w:rPr>
        <w:t>.</w:t>
      </w:r>
      <w:r>
        <w:rPr>
          <w:snapToGrid w:val="0"/>
        </w:rPr>
        <w:tab/>
        <w:t>Functions of Public Advocate</w:t>
      </w:r>
      <w:bookmarkEnd w:id="127"/>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No. 7 of 1996 s. 27; No. 55 of 2004 s. 451 and 466; No. 59 of 2004 s. 141; No. 59 of 2006 s. 73.]</w:t>
      </w:r>
    </w:p>
    <w:p>
      <w:pPr>
        <w:pStyle w:val="Heading5"/>
        <w:rPr>
          <w:snapToGrid w:val="0"/>
        </w:rPr>
      </w:pPr>
      <w:bookmarkStart w:id="128" w:name="_Toc32242405"/>
      <w:r>
        <w:rPr>
          <w:rStyle w:val="CharSectno"/>
        </w:rPr>
        <w:t>98</w:t>
      </w:r>
      <w:r>
        <w:rPr>
          <w:snapToGrid w:val="0"/>
        </w:rPr>
        <w:t>.</w:t>
      </w:r>
      <w:r>
        <w:rPr>
          <w:snapToGrid w:val="0"/>
        </w:rPr>
        <w:tab/>
        <w:t>Notification to Public Advocate as to mentally impaired accused</w:t>
      </w:r>
      <w:bookmarkEnd w:id="128"/>
    </w:p>
    <w:p>
      <w:pPr>
        <w:pStyle w:val="Subsection"/>
      </w:pPr>
      <w:r>
        <w:tab/>
        <w:t>(1)</w:t>
      </w:r>
      <w:r>
        <w:tab/>
        <w:t xml:space="preserve">If a person becomes a mentally impaired accused (as defined in Part 5 of the </w:t>
      </w:r>
      <w:r>
        <w:rPr>
          <w:i/>
        </w:rPr>
        <w:t>Criminal Law (Mentally Impaired Accused) Act 1996</w:t>
      </w:r>
      <w:r>
        <w:t>) the registrar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No. 7 of 1996 s. 36; No. 69 of 1996 s. 36; No. 84 of 2004 s. 82; No. 17 of 2014 s. 12.] </w:t>
      </w:r>
    </w:p>
    <w:p>
      <w:pPr>
        <w:pStyle w:val="Heading5"/>
        <w:rPr>
          <w:snapToGrid w:val="0"/>
        </w:rPr>
      </w:pPr>
      <w:bookmarkStart w:id="129" w:name="_Toc32242406"/>
      <w:r>
        <w:rPr>
          <w:rStyle w:val="CharSectno"/>
        </w:rPr>
        <w:t>99</w:t>
      </w:r>
      <w:r>
        <w:rPr>
          <w:snapToGrid w:val="0"/>
        </w:rPr>
        <w:t>.</w:t>
      </w:r>
      <w:r>
        <w:rPr>
          <w:snapToGrid w:val="0"/>
        </w:rPr>
        <w:tab/>
        <w:t>Public Advocate to act on death of guardian or administrator</w:t>
      </w:r>
      <w:bookmarkEnd w:id="129"/>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No. 7 of 1996 s. 36.] </w:t>
      </w:r>
    </w:p>
    <w:p>
      <w:pPr>
        <w:pStyle w:val="Heading5"/>
        <w:rPr>
          <w:snapToGrid w:val="0"/>
        </w:rPr>
      </w:pPr>
      <w:bookmarkStart w:id="130" w:name="_Toc32242407"/>
      <w:r>
        <w:rPr>
          <w:rStyle w:val="CharSectno"/>
        </w:rPr>
        <w:t>100</w:t>
      </w:r>
      <w:r>
        <w:rPr>
          <w:snapToGrid w:val="0"/>
        </w:rPr>
        <w:t>.</w:t>
      </w:r>
      <w:r>
        <w:rPr>
          <w:snapToGrid w:val="0"/>
        </w:rPr>
        <w:tab/>
        <w:t>Judicial notice</w:t>
      </w:r>
      <w:bookmarkEnd w:id="130"/>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No. 7 of 1996 s. 36.] </w:t>
      </w:r>
    </w:p>
    <w:p>
      <w:pPr>
        <w:pStyle w:val="Heading5"/>
        <w:rPr>
          <w:snapToGrid w:val="0"/>
        </w:rPr>
      </w:pPr>
      <w:bookmarkStart w:id="131" w:name="_Toc32242408"/>
      <w:r>
        <w:rPr>
          <w:rStyle w:val="CharSectno"/>
        </w:rPr>
        <w:t>101</w:t>
      </w:r>
      <w:r>
        <w:rPr>
          <w:snapToGrid w:val="0"/>
        </w:rPr>
        <w:t>.</w:t>
      </w:r>
      <w:r>
        <w:rPr>
          <w:snapToGrid w:val="0"/>
        </w:rPr>
        <w:tab/>
        <w:t>Annual report of Public Advocate</w:t>
      </w:r>
      <w:bookmarkEnd w:id="131"/>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No. 7 of 1996 s. 28 and 36.] </w:t>
      </w:r>
    </w:p>
    <w:p>
      <w:pPr>
        <w:pStyle w:val="Heading5"/>
        <w:rPr>
          <w:snapToGrid w:val="0"/>
        </w:rPr>
      </w:pPr>
      <w:bookmarkStart w:id="132" w:name="_Toc32242409"/>
      <w:r>
        <w:rPr>
          <w:rStyle w:val="CharSectno"/>
        </w:rPr>
        <w:t>101A</w:t>
      </w:r>
      <w:r>
        <w:rPr>
          <w:snapToGrid w:val="0"/>
        </w:rPr>
        <w:t>.</w:t>
      </w:r>
      <w:r>
        <w:rPr>
          <w:snapToGrid w:val="0"/>
        </w:rPr>
        <w:tab/>
        <w:t>Public Advocate may raise matters with Minister</w:t>
      </w:r>
      <w:bookmarkEnd w:id="132"/>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No. 7 of 1996 s. 29.] </w:t>
      </w:r>
    </w:p>
    <w:p>
      <w:pPr>
        <w:pStyle w:val="Heading2"/>
      </w:pPr>
      <w:bookmarkStart w:id="133" w:name="_Toc32242187"/>
      <w:bookmarkStart w:id="134" w:name="_Toc32242410"/>
      <w:r>
        <w:rPr>
          <w:rStyle w:val="CharPartNo"/>
        </w:rPr>
        <w:t>Part 9</w:t>
      </w:r>
      <w:r>
        <w:rPr>
          <w:rStyle w:val="CharDivNo"/>
        </w:rPr>
        <w:t> </w:t>
      </w:r>
      <w:r>
        <w:t>—</w:t>
      </w:r>
      <w:r>
        <w:rPr>
          <w:rStyle w:val="CharDivText"/>
        </w:rPr>
        <w:t> </w:t>
      </w:r>
      <w:r>
        <w:rPr>
          <w:rStyle w:val="CharPartText"/>
        </w:rPr>
        <w:t>Enduring powers of attorney</w:t>
      </w:r>
      <w:bookmarkEnd w:id="133"/>
      <w:bookmarkEnd w:id="134"/>
      <w:r>
        <w:rPr>
          <w:rStyle w:val="CharPartText"/>
        </w:rPr>
        <w:t xml:space="preserve"> </w:t>
      </w:r>
    </w:p>
    <w:p>
      <w:pPr>
        <w:pStyle w:val="Heading5"/>
        <w:rPr>
          <w:snapToGrid w:val="0"/>
        </w:rPr>
      </w:pPr>
      <w:bookmarkStart w:id="135" w:name="_Toc32242411"/>
      <w:r>
        <w:rPr>
          <w:rStyle w:val="CharSectno"/>
        </w:rPr>
        <w:t>102</w:t>
      </w:r>
      <w:r>
        <w:rPr>
          <w:snapToGrid w:val="0"/>
        </w:rPr>
        <w:t>.</w:t>
      </w:r>
      <w:r>
        <w:rPr>
          <w:snapToGrid w:val="0"/>
        </w:rPr>
        <w:tab/>
        <w:t>Terms used</w:t>
      </w:r>
      <w:bookmarkEnd w:id="13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pPr>
        <w:pStyle w:val="Footnotesection"/>
      </w:pPr>
      <w:r>
        <w:tab/>
        <w:t xml:space="preserve">[Section 102 amended: No. 7 of 1996 s. 30; No. 70 of 2000 s. 12; No. 55 of 2004 s. 466(1).] </w:t>
      </w:r>
    </w:p>
    <w:p>
      <w:pPr>
        <w:pStyle w:val="Heading5"/>
        <w:rPr>
          <w:snapToGrid w:val="0"/>
        </w:rPr>
      </w:pPr>
      <w:bookmarkStart w:id="136" w:name="_Toc32242412"/>
      <w:r>
        <w:rPr>
          <w:rStyle w:val="CharSectno"/>
        </w:rPr>
        <w:t>103</w:t>
      </w:r>
      <w:r>
        <w:rPr>
          <w:snapToGrid w:val="0"/>
        </w:rPr>
        <w:t>.</w:t>
      </w:r>
      <w:r>
        <w:rPr>
          <w:snapToGrid w:val="0"/>
        </w:rPr>
        <w:tab/>
        <w:t>Other Acts</w:t>
      </w:r>
      <w:bookmarkEnd w:id="136"/>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137" w:name="_Toc32242413"/>
      <w:r>
        <w:rPr>
          <w:rStyle w:val="CharSectno"/>
        </w:rPr>
        <w:t>104</w:t>
      </w:r>
      <w:r>
        <w:rPr>
          <w:snapToGrid w:val="0"/>
        </w:rPr>
        <w:t>.</w:t>
      </w:r>
      <w:r>
        <w:rPr>
          <w:snapToGrid w:val="0"/>
        </w:rPr>
        <w:tab/>
        <w:t>Execution of enduring power of attorney</w:t>
      </w:r>
      <w:bookmarkEnd w:id="137"/>
      <w:r>
        <w:rPr>
          <w:snapToGrid w:val="0"/>
        </w:rPr>
        <w:t xml:space="preserve"> </w:t>
      </w:r>
    </w:p>
    <w:p>
      <w:pPr>
        <w:pStyle w:val="Subsection"/>
      </w:pPr>
      <w:r>
        <w:tab/>
        <w:t>(1a)</w:t>
      </w:r>
      <w:r>
        <w:tab/>
        <w:t>A person who has reached 18 years of age and has full legal capacity may create an enduring power of attorney.</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keepLines/>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pPr>
      <w:r>
        <w:tab/>
        <w:t>(a)</w:t>
      </w:r>
      <w:r>
        <w:tab/>
        <w:t>there are 2 attesting witnesses to the instrument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pPr>
      <w:r>
        <w:tab/>
        <w:t>(3)</w:t>
      </w:r>
      <w:r>
        <w:tab/>
        <w:t xml:space="preserve">A witness referred to in subsection (2)(a)(ii)(II) must be a person — </w:t>
      </w:r>
    </w:p>
    <w:p>
      <w:pPr>
        <w:pStyle w:val="Indenta"/>
      </w:pPr>
      <w:r>
        <w:tab/>
        <w:t>(a)</w:t>
      </w:r>
      <w:r>
        <w:tab/>
        <w:t>who has reached 18 years of age; and</w:t>
      </w:r>
    </w:p>
    <w:p>
      <w:pPr>
        <w:pStyle w:val="Indenta"/>
      </w:pPr>
      <w:r>
        <w:tab/>
        <w:t>(b)</w:t>
      </w:r>
      <w:r>
        <w:tab/>
        <w:t>who is not a person appointed to be a donee or substitute donee of the power.</w:t>
      </w:r>
    </w:p>
    <w:p>
      <w:pPr>
        <w:pStyle w:val="Footnotesection"/>
      </w:pPr>
      <w:r>
        <w:tab/>
        <w:t>[Section 104 amended: No. 70 of 2000 s. 13; No. 55 of 2004 s. 466(1); No. 25 of 2008 s. 9.]</w:t>
      </w:r>
    </w:p>
    <w:p>
      <w:pPr>
        <w:pStyle w:val="Heading5"/>
        <w:rPr>
          <w:snapToGrid w:val="0"/>
        </w:rPr>
      </w:pPr>
      <w:bookmarkStart w:id="138" w:name="_Toc32242414"/>
      <w:r>
        <w:rPr>
          <w:rStyle w:val="CharSectno"/>
        </w:rPr>
        <w:t>104A</w:t>
      </w:r>
      <w:r>
        <w:rPr>
          <w:snapToGrid w:val="0"/>
        </w:rPr>
        <w:t>.</w:t>
      </w:r>
      <w:r>
        <w:rPr>
          <w:snapToGrid w:val="0"/>
        </w:rPr>
        <w:tab/>
        <w:t>Recognition of powers of attorney created in other jurisdictions</w:t>
      </w:r>
      <w:bookmarkEnd w:id="138"/>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No. 7 of 1996 s. 3; amended: No. 55 of 2004 s. 452 and 466.] </w:t>
      </w:r>
    </w:p>
    <w:p>
      <w:pPr>
        <w:pStyle w:val="Heading5"/>
      </w:pPr>
      <w:bookmarkStart w:id="139" w:name="_Toc32242415"/>
      <w:r>
        <w:rPr>
          <w:rStyle w:val="CharSectno"/>
        </w:rPr>
        <w:t>104B</w:t>
      </w:r>
      <w:r>
        <w:t>.</w:t>
      </w:r>
      <w:r>
        <w:tab/>
        <w:t>Substitute donees</w:t>
      </w:r>
      <w:bookmarkEnd w:id="139"/>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No. 70 of 2000 s. 14.]</w:t>
      </w:r>
    </w:p>
    <w:p>
      <w:pPr>
        <w:pStyle w:val="Heading5"/>
      </w:pPr>
      <w:bookmarkStart w:id="140" w:name="_Toc32242416"/>
      <w:r>
        <w:rPr>
          <w:rStyle w:val="CharSectno"/>
        </w:rPr>
        <w:t>104C</w:t>
      </w:r>
      <w:r>
        <w:t>.</w:t>
      </w:r>
      <w:r>
        <w:tab/>
        <w:t>Eligibility for appointment as donee or substitute donee</w:t>
      </w:r>
      <w:bookmarkEnd w:id="140"/>
    </w:p>
    <w:p>
      <w:pPr>
        <w:pStyle w:val="Subsection"/>
      </w:pPr>
      <w:r>
        <w:tab/>
      </w:r>
      <w:r>
        <w:tab/>
        <w:t>A person is eligible to be appointed as a donee or substitute donee of an enduring power of attorney if the person has reached 18 years of age and has full legal capacity.</w:t>
      </w:r>
    </w:p>
    <w:p>
      <w:pPr>
        <w:pStyle w:val="Footnotesection"/>
      </w:pPr>
      <w:r>
        <w:tab/>
        <w:t>[Section 104C inserted: No. 25 of 2008 s. 10.]</w:t>
      </w:r>
    </w:p>
    <w:p>
      <w:pPr>
        <w:pStyle w:val="Heading5"/>
        <w:rPr>
          <w:snapToGrid w:val="0"/>
        </w:rPr>
      </w:pPr>
      <w:bookmarkStart w:id="141" w:name="_Toc32242417"/>
      <w:r>
        <w:rPr>
          <w:rStyle w:val="CharSectno"/>
        </w:rPr>
        <w:t>105</w:t>
      </w:r>
      <w:r>
        <w:rPr>
          <w:snapToGrid w:val="0"/>
        </w:rPr>
        <w:t>.</w:t>
      </w:r>
      <w:r>
        <w:rPr>
          <w:snapToGrid w:val="0"/>
        </w:rPr>
        <w:tab/>
        <w:t>Enduring power of attorney survives incapacity</w:t>
      </w:r>
      <w:bookmarkEnd w:id="141"/>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142" w:name="_Toc32242418"/>
      <w:r>
        <w:rPr>
          <w:rStyle w:val="CharSectno"/>
        </w:rPr>
        <w:t>106</w:t>
      </w:r>
      <w:r>
        <w:rPr>
          <w:snapToGrid w:val="0"/>
        </w:rPr>
        <w:t>.</w:t>
      </w:r>
      <w:r>
        <w:rPr>
          <w:snapToGrid w:val="0"/>
        </w:rPr>
        <w:tab/>
        <w:t>Donee may apply for declaration of legal incapacity</w:t>
      </w:r>
      <w:bookmarkEnd w:id="142"/>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No. 70 of 2000 s. 15; No. 55 of 2004 s. 453 and 466.]</w:t>
      </w:r>
    </w:p>
    <w:p>
      <w:pPr>
        <w:pStyle w:val="Heading5"/>
        <w:keepLines w:val="0"/>
        <w:rPr>
          <w:snapToGrid w:val="0"/>
        </w:rPr>
      </w:pPr>
      <w:bookmarkStart w:id="143" w:name="_Toc32242419"/>
      <w:r>
        <w:rPr>
          <w:rStyle w:val="CharSectno"/>
        </w:rPr>
        <w:t>107</w:t>
      </w:r>
      <w:r>
        <w:rPr>
          <w:snapToGrid w:val="0"/>
        </w:rPr>
        <w:t>.</w:t>
      </w:r>
      <w:r>
        <w:rPr>
          <w:snapToGrid w:val="0"/>
        </w:rPr>
        <w:tab/>
        <w:t>Obligations of donee</w:t>
      </w:r>
      <w:bookmarkEnd w:id="143"/>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No. 7 of 1996 s. 32; No. 70 of 2000 s. 16; No. 55 of 2004 s. 466(1).] </w:t>
      </w:r>
    </w:p>
    <w:p>
      <w:pPr>
        <w:pStyle w:val="Heading5"/>
        <w:rPr>
          <w:snapToGrid w:val="0"/>
        </w:rPr>
      </w:pPr>
      <w:bookmarkStart w:id="144" w:name="_Toc32242420"/>
      <w:r>
        <w:rPr>
          <w:rStyle w:val="CharSectno"/>
        </w:rPr>
        <w:t>108</w:t>
      </w:r>
      <w:r>
        <w:rPr>
          <w:snapToGrid w:val="0"/>
        </w:rPr>
        <w:t>.</w:t>
      </w:r>
      <w:r>
        <w:rPr>
          <w:snapToGrid w:val="0"/>
        </w:rPr>
        <w:tab/>
        <w:t>Appointment of administrator</w:t>
      </w:r>
      <w:bookmarkEnd w:id="144"/>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No. 7 of 1996 s. 33; No. 55 of 2004 s. 454 and 466.] </w:t>
      </w:r>
    </w:p>
    <w:p>
      <w:pPr>
        <w:pStyle w:val="Heading5"/>
        <w:keepLines w:val="0"/>
        <w:spacing w:before="180"/>
        <w:rPr>
          <w:snapToGrid w:val="0"/>
        </w:rPr>
      </w:pPr>
      <w:bookmarkStart w:id="145" w:name="_Toc32242421"/>
      <w:r>
        <w:rPr>
          <w:rStyle w:val="CharSectno"/>
        </w:rPr>
        <w:t>109</w:t>
      </w:r>
      <w:r>
        <w:rPr>
          <w:snapToGrid w:val="0"/>
        </w:rPr>
        <w:t>.</w:t>
      </w:r>
      <w:r>
        <w:rPr>
          <w:snapToGrid w:val="0"/>
        </w:rPr>
        <w:tab/>
        <w:t>On application State Administrative Tribunal may intervene</w:t>
      </w:r>
      <w:bookmarkEnd w:id="145"/>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No. 7 of 1996 s. 34; No. 70 of 2000 s. 17; No. 55 of 2004 s. 466.] </w:t>
      </w:r>
    </w:p>
    <w:p>
      <w:pPr>
        <w:pStyle w:val="Heading5"/>
        <w:rPr>
          <w:snapToGrid w:val="0"/>
        </w:rPr>
      </w:pPr>
      <w:bookmarkStart w:id="146" w:name="_Toc32242422"/>
      <w:r>
        <w:rPr>
          <w:rStyle w:val="CharSectno"/>
        </w:rPr>
        <w:t>110</w:t>
      </w:r>
      <w:r>
        <w:rPr>
          <w:snapToGrid w:val="0"/>
        </w:rPr>
        <w:t>.</w:t>
      </w:r>
      <w:r>
        <w:rPr>
          <w:snapToGrid w:val="0"/>
        </w:rPr>
        <w:tab/>
        <w:t>Notice of application</w:t>
      </w:r>
      <w:bookmarkEnd w:id="146"/>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No. 55 of 2004 s. 466(1).]</w:t>
      </w:r>
    </w:p>
    <w:p>
      <w:pPr>
        <w:pStyle w:val="Heading2"/>
      </w:pPr>
      <w:bookmarkStart w:id="147" w:name="_Toc32242200"/>
      <w:bookmarkStart w:id="148" w:name="_Toc32242423"/>
      <w:r>
        <w:rPr>
          <w:rStyle w:val="CharPartNo"/>
        </w:rPr>
        <w:t>Part 9A</w:t>
      </w:r>
      <w:r>
        <w:rPr>
          <w:b w:val="0"/>
        </w:rPr>
        <w:t> </w:t>
      </w:r>
      <w:r>
        <w:t>—</w:t>
      </w:r>
      <w:r>
        <w:rPr>
          <w:b w:val="0"/>
        </w:rPr>
        <w:t> </w:t>
      </w:r>
      <w:r>
        <w:rPr>
          <w:rStyle w:val="CharPartText"/>
        </w:rPr>
        <w:t>Enduring powers of guardianship</w:t>
      </w:r>
      <w:bookmarkEnd w:id="147"/>
      <w:bookmarkEnd w:id="148"/>
    </w:p>
    <w:p>
      <w:pPr>
        <w:pStyle w:val="Footnoteheading"/>
      </w:pPr>
      <w:r>
        <w:tab/>
        <w:t>[Heading inserted: No. 25 of 2008 s. 11.]</w:t>
      </w:r>
    </w:p>
    <w:p>
      <w:pPr>
        <w:pStyle w:val="Heading3"/>
      </w:pPr>
      <w:bookmarkStart w:id="149" w:name="_Toc32242201"/>
      <w:bookmarkStart w:id="150" w:name="_Toc32242424"/>
      <w:r>
        <w:rPr>
          <w:rStyle w:val="CharDivNo"/>
        </w:rPr>
        <w:t>Division 1</w:t>
      </w:r>
      <w:r>
        <w:t> — </w:t>
      </w:r>
      <w:r>
        <w:rPr>
          <w:rStyle w:val="CharDivText"/>
        </w:rPr>
        <w:t>Preliminary matters</w:t>
      </w:r>
      <w:bookmarkEnd w:id="149"/>
      <w:bookmarkEnd w:id="150"/>
    </w:p>
    <w:p>
      <w:pPr>
        <w:pStyle w:val="Footnoteheading"/>
      </w:pPr>
      <w:r>
        <w:tab/>
        <w:t>[Heading inserted: No. 25 of 2008 s. 11.]</w:t>
      </w:r>
    </w:p>
    <w:p>
      <w:pPr>
        <w:pStyle w:val="Heading5"/>
      </w:pPr>
      <w:bookmarkStart w:id="151" w:name="_Toc32242425"/>
      <w:r>
        <w:rPr>
          <w:rStyle w:val="CharSectno"/>
        </w:rPr>
        <w:t>110A</w:t>
      </w:r>
      <w:r>
        <w:t>.</w:t>
      </w:r>
      <w:r>
        <w:tab/>
        <w:t>Term used: appointor</w:t>
      </w:r>
      <w:bookmarkEnd w:id="151"/>
    </w:p>
    <w:p>
      <w:pPr>
        <w:pStyle w:val="Subsection"/>
      </w:pPr>
      <w:r>
        <w:tab/>
      </w:r>
      <w:r>
        <w:tab/>
        <w:t xml:space="preserve">In this Part — </w:t>
      </w:r>
    </w:p>
    <w:p>
      <w:pPr>
        <w:pStyle w:val="Defstart"/>
      </w:pPr>
      <w:r>
        <w:rPr>
          <w:b/>
        </w:rPr>
        <w:tab/>
      </w:r>
      <w:r>
        <w:rPr>
          <w:rStyle w:val="CharDefText"/>
        </w:rPr>
        <w:t>appointor</w:t>
      </w:r>
      <w:r>
        <w:rPr>
          <w:bCs/>
        </w:rPr>
        <w:t>, in relation to an enduring power of guardianship, means the maker of the power</w:t>
      </w:r>
      <w:r>
        <w:t>.</w:t>
      </w:r>
    </w:p>
    <w:p>
      <w:pPr>
        <w:pStyle w:val="Footnotesection"/>
      </w:pPr>
      <w:r>
        <w:tab/>
        <w:t>[Section 110A inserted: No. 25 of 2008 s. 11.]</w:t>
      </w:r>
    </w:p>
    <w:p>
      <w:pPr>
        <w:pStyle w:val="Heading3"/>
      </w:pPr>
      <w:bookmarkStart w:id="152" w:name="_Toc32242203"/>
      <w:bookmarkStart w:id="153" w:name="_Toc32242426"/>
      <w:r>
        <w:rPr>
          <w:rStyle w:val="CharDivNo"/>
        </w:rPr>
        <w:t>Division 2</w:t>
      </w:r>
      <w:r>
        <w:t> — </w:t>
      </w:r>
      <w:r>
        <w:rPr>
          <w:rStyle w:val="CharDivText"/>
        </w:rPr>
        <w:t>Making of enduring power of guardianship</w:t>
      </w:r>
      <w:bookmarkEnd w:id="152"/>
      <w:bookmarkEnd w:id="153"/>
    </w:p>
    <w:p>
      <w:pPr>
        <w:pStyle w:val="Footnoteheading"/>
      </w:pPr>
      <w:r>
        <w:tab/>
        <w:t>[Heading inserted: No. 25 of 2008 s. 11.]</w:t>
      </w:r>
    </w:p>
    <w:p>
      <w:pPr>
        <w:pStyle w:val="Heading5"/>
      </w:pPr>
      <w:bookmarkStart w:id="154" w:name="_Toc32242427"/>
      <w:r>
        <w:rPr>
          <w:rStyle w:val="CharSectno"/>
        </w:rPr>
        <w:t>110B.</w:t>
      </w:r>
      <w:r>
        <w:tab/>
        <w:t>Appointing enduring guardian</w:t>
      </w:r>
      <w:bookmarkEnd w:id="154"/>
    </w:p>
    <w:p>
      <w:pPr>
        <w:pStyle w:val="Subsection"/>
      </w:pPr>
      <w:r>
        <w:tab/>
      </w:r>
      <w:r>
        <w:tab/>
        <w:t xml:space="preserve">A person who has reached 18 years of age and has full legal capacity may make an enduring power of guardianship appointing — </w:t>
      </w:r>
    </w:p>
    <w:p>
      <w:pPr>
        <w:pStyle w:val="Indenta"/>
      </w:pPr>
      <w:r>
        <w:tab/>
        <w:t>(a)</w:t>
      </w:r>
      <w:r>
        <w:tab/>
        <w:t>a person as the enduring guardian of the person; or</w:t>
      </w:r>
    </w:p>
    <w:p>
      <w:pPr>
        <w:pStyle w:val="Indenta"/>
      </w:pPr>
      <w:r>
        <w:tab/>
        <w:t>(b)</w:t>
      </w:r>
      <w:r>
        <w:tab/>
        <w:t>2 or more persons as the joint enduring guardians of the person.</w:t>
      </w:r>
    </w:p>
    <w:p>
      <w:pPr>
        <w:pStyle w:val="Footnotesection"/>
      </w:pPr>
      <w:r>
        <w:tab/>
        <w:t>[Section 110B inserted: No. 25 of 2008 s. 11.]</w:t>
      </w:r>
    </w:p>
    <w:p>
      <w:pPr>
        <w:pStyle w:val="Heading5"/>
      </w:pPr>
      <w:bookmarkStart w:id="155" w:name="_Toc32242428"/>
      <w:r>
        <w:rPr>
          <w:rStyle w:val="CharSectno"/>
        </w:rPr>
        <w:t>110C</w:t>
      </w:r>
      <w:r>
        <w:t>.</w:t>
      </w:r>
      <w:r>
        <w:tab/>
        <w:t>Substitute enduring guardians</w:t>
      </w:r>
      <w:bookmarkEnd w:id="155"/>
    </w:p>
    <w:p>
      <w:pPr>
        <w:pStyle w:val="Subsection"/>
      </w:pPr>
      <w:r>
        <w:tab/>
        <w:t>(1)</w:t>
      </w:r>
      <w:r>
        <w:tab/>
        <w:t>An appointor may, in the enduring power of guardianship, appoint one or more persons to be substitute enduring guardians.</w:t>
      </w:r>
    </w:p>
    <w:p>
      <w:pPr>
        <w:pStyle w:val="Subsection"/>
      </w:pPr>
      <w:r>
        <w:tab/>
        <w:t>(2)</w:t>
      </w:r>
      <w:r>
        <w:tab/>
        <w:t>A substitute enduring guardian becomes the enduring guardian or a joint enduring guardian (as the case may be) in the circumstances specified in the enduring power of guardianship.</w:t>
      </w:r>
    </w:p>
    <w:p>
      <w:pPr>
        <w:pStyle w:val="Footnotesection"/>
      </w:pPr>
      <w:r>
        <w:tab/>
        <w:t>[Section 110C inserted: No. 25 of 2008 s. 11.]</w:t>
      </w:r>
    </w:p>
    <w:p>
      <w:pPr>
        <w:pStyle w:val="Heading5"/>
      </w:pPr>
      <w:bookmarkStart w:id="156" w:name="_Toc32242429"/>
      <w:r>
        <w:rPr>
          <w:rStyle w:val="CharSectno"/>
        </w:rPr>
        <w:t>110D</w:t>
      </w:r>
      <w:r>
        <w:t>.</w:t>
      </w:r>
      <w:r>
        <w:tab/>
        <w:t>Who is eligible to be appointed</w:t>
      </w:r>
      <w:bookmarkEnd w:id="156"/>
    </w:p>
    <w:p>
      <w:pPr>
        <w:pStyle w:val="Subsection"/>
      </w:pPr>
      <w:r>
        <w:tab/>
      </w:r>
      <w:r>
        <w:tab/>
        <w:t>A person is eligible to be appointed under section 110B or 110C(1) if the person has reached 18 years of age and has full legal capacity.</w:t>
      </w:r>
    </w:p>
    <w:p>
      <w:pPr>
        <w:pStyle w:val="Footnotesection"/>
      </w:pPr>
      <w:r>
        <w:tab/>
        <w:t>[Section 110D inserted: No. 25 of 2008 s. 11.]</w:t>
      </w:r>
    </w:p>
    <w:p>
      <w:pPr>
        <w:pStyle w:val="Heading5"/>
      </w:pPr>
      <w:bookmarkStart w:id="157" w:name="_Toc32242430"/>
      <w:r>
        <w:rPr>
          <w:rStyle w:val="CharSectno"/>
        </w:rPr>
        <w:t>110E</w:t>
      </w:r>
      <w:r>
        <w:t>.</w:t>
      </w:r>
      <w:r>
        <w:tab/>
        <w:t>Formal requirements</w:t>
      </w:r>
      <w:bookmarkEnd w:id="157"/>
    </w:p>
    <w:p>
      <w:pPr>
        <w:pStyle w:val="Subsection"/>
      </w:pPr>
      <w:r>
        <w:tab/>
        <w:t>(1)</w:t>
      </w:r>
      <w:r>
        <w:tab/>
        <w:t xml:space="preserve">An enduring power of guardianship is not valid unless — </w:t>
      </w:r>
    </w:p>
    <w:p>
      <w:pPr>
        <w:pStyle w:val="Indenta"/>
      </w:pPr>
      <w:r>
        <w:tab/>
        <w:t>(a)</w:t>
      </w:r>
      <w:r>
        <w:tab/>
        <w:t>it is in the form or substantially in the form prescribed by the regulations; and</w:t>
      </w:r>
    </w:p>
    <w:p>
      <w:pPr>
        <w:pStyle w:val="Indenta"/>
      </w:pPr>
      <w:r>
        <w:tab/>
        <w:t>(b)</w:t>
      </w:r>
      <w:r>
        <w:tab/>
        <w:t>it is signed by the appointor or by another person in the presence of, and at the direction of, the appointor; and</w:t>
      </w:r>
    </w:p>
    <w:p>
      <w:pPr>
        <w:pStyle w:val="Indenta"/>
      </w:pPr>
      <w:r>
        <w:tab/>
        <w:t>(c)</w:t>
      </w:r>
      <w:r>
        <w:tab/>
        <w:t>the signature referred to in paragraph (b)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(d)</w:t>
      </w:r>
      <w:r>
        <w:tab/>
        <w:t xml:space="preserve">it is signed by the witnesses referred to in paragraph (c) in the presence of — </w:t>
      </w:r>
    </w:p>
    <w:p>
      <w:pPr>
        <w:pStyle w:val="Indenti"/>
      </w:pPr>
      <w:r>
        <w:tab/>
        <w:t>(i)</w:t>
      </w:r>
      <w:r>
        <w:tab/>
        <w:t>the appointor; and</w:t>
      </w:r>
    </w:p>
    <w:p>
      <w:pPr>
        <w:pStyle w:val="Indenti"/>
      </w:pPr>
      <w:r>
        <w:tab/>
        <w:t>(ii)</w:t>
      </w:r>
      <w:r>
        <w:tab/>
        <w:t>the person who signed it at the appointor’s direction (if applicable); and</w:t>
      </w:r>
    </w:p>
    <w:p>
      <w:pPr>
        <w:pStyle w:val="Indenti"/>
      </w:pPr>
      <w:r>
        <w:tab/>
        <w:t>(iii)</w:t>
      </w:r>
      <w:r>
        <w:tab/>
        <w:t>each other;</w:t>
      </w:r>
    </w:p>
    <w:p>
      <w:pPr>
        <w:pStyle w:val="Indenta"/>
      </w:pPr>
      <w:r>
        <w:tab/>
      </w:r>
      <w:r>
        <w:tab/>
        <w:t>and</w:t>
      </w:r>
    </w:p>
    <w:p>
      <w:pPr>
        <w:pStyle w:val="Indenta"/>
        <w:keepNext/>
        <w:keepLines/>
      </w:pPr>
      <w:r>
        <w:tab/>
        <w:t>(e)</w:t>
      </w:r>
      <w:r>
        <w:tab/>
        <w:t>it is signed by each person being appointed as an enduring guardian or substitute enduring guardian (an </w:t>
      </w:r>
      <w:r>
        <w:rPr>
          <w:rStyle w:val="CharDefText"/>
        </w:rPr>
        <w:t>appointee</w:t>
      </w:r>
      <w:r>
        <w:t>) to indicate the appointee’s acceptance of the appointment; and</w:t>
      </w:r>
    </w:p>
    <w:p>
      <w:pPr>
        <w:pStyle w:val="Indenta"/>
      </w:pPr>
      <w:r>
        <w:tab/>
        <w:t>(f)</w:t>
      </w:r>
      <w:r>
        <w:tab/>
        <w:t>the signature of the appointee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(g)</w:t>
      </w:r>
      <w:r>
        <w:tab/>
        <w:t>it is signed by the witnesses referred to in paragraph (f) in the presence of the appointee and each other.</w:t>
      </w:r>
    </w:p>
    <w:p>
      <w:pPr>
        <w:pStyle w:val="Subsection"/>
      </w:pPr>
      <w:r>
        <w:tab/>
        <w:t>(2)</w:t>
      </w:r>
      <w:r>
        <w:tab/>
        <w:t xml:space="preserve">A witness referred to in subsection (1)(c)(ii)(II) or (f)(ii)(II)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appointor; or</w:t>
      </w:r>
    </w:p>
    <w:p>
      <w:pPr>
        <w:pStyle w:val="Indenti"/>
      </w:pPr>
      <w:r>
        <w:tab/>
        <w:t>(ii)</w:t>
      </w:r>
      <w:r>
        <w:tab/>
        <w:t>the person who signed the enduring power of guardianship at the appointor’s direction (if applicable); or</w:t>
      </w:r>
    </w:p>
    <w:p>
      <w:pPr>
        <w:pStyle w:val="Indenti"/>
      </w:pPr>
      <w:r>
        <w:tab/>
        <w:t>(iii)</w:t>
      </w:r>
      <w:r>
        <w:tab/>
        <w:t>an appointee.</w:t>
      </w:r>
    </w:p>
    <w:p>
      <w:pPr>
        <w:pStyle w:val="Footnotesection"/>
      </w:pPr>
      <w:r>
        <w:tab/>
        <w:t>[Section 110E inserted: No. 25 of 2008 s. 11.]</w:t>
      </w:r>
    </w:p>
    <w:p>
      <w:pPr>
        <w:pStyle w:val="Heading3"/>
        <w:keepLines/>
      </w:pPr>
      <w:bookmarkStart w:id="158" w:name="_Toc32242208"/>
      <w:bookmarkStart w:id="159" w:name="_Toc32242431"/>
      <w:r>
        <w:rPr>
          <w:rStyle w:val="CharDivNo"/>
        </w:rPr>
        <w:t>Division 3</w:t>
      </w:r>
      <w:r>
        <w:t> — </w:t>
      </w:r>
      <w:r>
        <w:rPr>
          <w:rStyle w:val="CharDivText"/>
        </w:rPr>
        <w:t>Operation of enduring power of guardianship</w:t>
      </w:r>
      <w:bookmarkEnd w:id="158"/>
      <w:bookmarkEnd w:id="159"/>
    </w:p>
    <w:p>
      <w:pPr>
        <w:pStyle w:val="Footnoteheading"/>
        <w:keepNext/>
        <w:keepLines/>
      </w:pPr>
      <w:r>
        <w:tab/>
        <w:t>[Heading inserted: No. 25 of 2008 s. 11.]</w:t>
      </w:r>
    </w:p>
    <w:p>
      <w:pPr>
        <w:pStyle w:val="Heading5"/>
      </w:pPr>
      <w:bookmarkStart w:id="160" w:name="_Toc32242432"/>
      <w:r>
        <w:rPr>
          <w:rStyle w:val="CharSectno"/>
        </w:rPr>
        <w:t>110F</w:t>
      </w:r>
      <w:r>
        <w:t>.</w:t>
      </w:r>
      <w:r>
        <w:tab/>
        <w:t>When enduring guardian may act</w:t>
      </w:r>
      <w:bookmarkEnd w:id="160"/>
    </w:p>
    <w:p>
      <w:pPr>
        <w:pStyle w:val="Subsection"/>
        <w:spacing w:before="120"/>
      </w:pPr>
      <w:r>
        <w:tab/>
      </w:r>
      <w:r>
        <w:tab/>
        <w:t>An enduring power of guardianship has effect, subject to its terms, at any time the appointor is unable to make reasonable judgments in respect of matters relating to his or her person.</w:t>
      </w:r>
    </w:p>
    <w:p>
      <w:pPr>
        <w:pStyle w:val="Footnotesection"/>
      </w:pPr>
      <w:r>
        <w:tab/>
        <w:t>[Section 110F inserted: No. 25 of 2008 s. 11.]</w:t>
      </w:r>
    </w:p>
    <w:p>
      <w:pPr>
        <w:pStyle w:val="Heading5"/>
      </w:pPr>
      <w:bookmarkStart w:id="161" w:name="_Toc32242433"/>
      <w:r>
        <w:rPr>
          <w:rStyle w:val="CharSectno"/>
        </w:rPr>
        <w:t>110G</w:t>
      </w:r>
      <w:r>
        <w:t>.</w:t>
      </w:r>
      <w:r>
        <w:tab/>
        <w:t>Functions generally</w:t>
      </w:r>
      <w:bookmarkEnd w:id="161"/>
    </w:p>
    <w:p>
      <w:pPr>
        <w:pStyle w:val="Subsection"/>
      </w:pPr>
      <w:r>
        <w:tab/>
        <w:t>(1)</w:t>
      </w:r>
      <w:r>
        <w:tab/>
        <w:t>Subject to this section, an enduring guardian has the same functions under section 45(1) and (2), and is subject to the same limitations under section 45(3), (4A) and (4), in relation to the appointor as a plenary guardian has and is subject to in relation to a represented person.</w:t>
      </w:r>
    </w:p>
    <w:p>
      <w:pPr>
        <w:pStyle w:val="Subsection"/>
      </w:pPr>
      <w:r>
        <w:tab/>
        <w:t>(2)</w:t>
      </w:r>
      <w:r>
        <w:tab/>
        <w:t>An enduring power of guardianship may limit the functions of the enduring guardian to the functions specified in the power.</w:t>
      </w:r>
    </w:p>
    <w:p>
      <w:pPr>
        <w:pStyle w:val="Subsection"/>
      </w:pPr>
      <w:r>
        <w:tab/>
        <w:t>(3)</w:t>
      </w:r>
      <w:r>
        <w:tab/>
        <w:t>An enduring power of guardianship may limit the circumstances in which the enduring guardian may act to the circumstances specified in the power.</w:t>
      </w:r>
    </w:p>
    <w:p>
      <w:pPr>
        <w:pStyle w:val="Subsection"/>
      </w:pPr>
      <w:r>
        <w:tab/>
        <w:t>(4)</w:t>
      </w:r>
      <w:r>
        <w:tab/>
        <w:t>An enduring power of guardianship may include directions about how the enduring guardian is to perform any of his or her functions.</w:t>
      </w:r>
    </w:p>
    <w:p>
      <w:pPr>
        <w:pStyle w:val="Footnotesection"/>
      </w:pPr>
      <w:r>
        <w:tab/>
        <w:t>[Section 110G inserted: No. 25 of 2008 s. 11; amended: No. 17 of 2014 s. 22(5).]</w:t>
      </w:r>
    </w:p>
    <w:p>
      <w:pPr>
        <w:pStyle w:val="Heading5"/>
      </w:pPr>
      <w:bookmarkStart w:id="162" w:name="_Toc32242434"/>
      <w:r>
        <w:rPr>
          <w:rStyle w:val="CharSectno"/>
        </w:rPr>
        <w:t>110H</w:t>
      </w:r>
      <w:r>
        <w:t>.</w:t>
      </w:r>
      <w:r>
        <w:tab/>
        <w:t>Certain provisions apply in relation to enduring guardian and appointor</w:t>
      </w:r>
      <w:bookmarkEnd w:id="162"/>
    </w:p>
    <w:p>
      <w:pPr>
        <w:pStyle w:val="Subsection"/>
      </w:pPr>
      <w:r>
        <w:tab/>
      </w:r>
      <w:r>
        <w:tab/>
        <w:t xml:space="preserve">The following provisions apply (with the necessary changes) in relation to an enduring guardian and appointor as if they were a guardian and represented person respectively — </w:t>
      </w:r>
    </w:p>
    <w:p>
      <w:pPr>
        <w:pStyle w:val="Indenta"/>
      </w:pPr>
      <w:r>
        <w:tab/>
        <w:t>(a)</w:t>
      </w:r>
      <w:r>
        <w:tab/>
        <w:t>sections 48 to 51;</w:t>
      </w:r>
    </w:p>
    <w:p>
      <w:pPr>
        <w:pStyle w:val="Indenta"/>
      </w:pPr>
      <w:r>
        <w:tab/>
        <w:t>(b)</w:t>
      </w:r>
      <w:r>
        <w:tab/>
        <w:t>section 53(a);</w:t>
      </w:r>
    </w:p>
    <w:p>
      <w:pPr>
        <w:pStyle w:val="Indenta"/>
      </w:pPr>
      <w:r>
        <w:tab/>
        <w:t>(c)</w:t>
      </w:r>
      <w:r>
        <w:tab/>
        <w:t>subject to the terms of the enduring power of guardianship, section 54 as if it were not subject to section 85;</w:t>
      </w:r>
    </w:p>
    <w:p>
      <w:pPr>
        <w:pStyle w:val="Indenta"/>
      </w:pPr>
      <w:r>
        <w:tab/>
        <w:t>(d)</w:t>
      </w:r>
      <w:r>
        <w:tab/>
        <w:t>Part 5 Division 3 other than section 57(2).</w:t>
      </w:r>
    </w:p>
    <w:p>
      <w:pPr>
        <w:pStyle w:val="Footnotesection"/>
      </w:pPr>
      <w:r>
        <w:tab/>
        <w:t>[Section 110H inserted: No. 25 of 2008 s. 11.]</w:t>
      </w:r>
    </w:p>
    <w:p>
      <w:pPr>
        <w:pStyle w:val="Heading5"/>
      </w:pPr>
      <w:bookmarkStart w:id="163" w:name="_Toc32242435"/>
      <w:r>
        <w:rPr>
          <w:rStyle w:val="CharSectno"/>
        </w:rPr>
        <w:t>110I</w:t>
      </w:r>
      <w:r>
        <w:t>.</w:t>
      </w:r>
      <w:r>
        <w:tab/>
        <w:t>Priority of enduring power of guardianship</w:t>
      </w:r>
      <w:bookmarkEnd w:id="163"/>
    </w:p>
    <w:p>
      <w:pPr>
        <w:pStyle w:val="Subsection"/>
      </w:pPr>
      <w:r>
        <w:tab/>
        <w:t>(1)</w:t>
      </w:r>
      <w:r>
        <w:tab/>
        <w:t>To the extent an enduring power of guardianship relates to the making of a treatment decision for the appointor, the priority to be given to the power is determined in accordance with section 110ZJ.</w:t>
      </w:r>
    </w:p>
    <w:p>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Footnotesection"/>
      </w:pPr>
      <w:r>
        <w:tab/>
        <w:t>[Section 110I inserted: No. 25 of 2008 s. 11.]</w:t>
      </w:r>
    </w:p>
    <w:p>
      <w:pPr>
        <w:pStyle w:val="Heading3"/>
      </w:pPr>
      <w:bookmarkStart w:id="164" w:name="_Toc32242213"/>
      <w:bookmarkStart w:id="165" w:name="_Toc32242436"/>
      <w:r>
        <w:rPr>
          <w:rStyle w:val="CharDivNo"/>
        </w:rPr>
        <w:t>Division 4</w:t>
      </w:r>
      <w:r>
        <w:t> — </w:t>
      </w:r>
      <w:r>
        <w:rPr>
          <w:rStyle w:val="CharDivText"/>
        </w:rPr>
        <w:t>Jurisdiction of State Administrative Tribunal</w:t>
      </w:r>
      <w:bookmarkEnd w:id="164"/>
      <w:bookmarkEnd w:id="165"/>
    </w:p>
    <w:p>
      <w:pPr>
        <w:pStyle w:val="Footnoteheading"/>
      </w:pPr>
      <w:r>
        <w:tab/>
        <w:t>[Heading inserted: No. 25 of 2008 s. 11.]</w:t>
      </w:r>
    </w:p>
    <w:p>
      <w:pPr>
        <w:pStyle w:val="Heading5"/>
      </w:pPr>
      <w:bookmarkStart w:id="166" w:name="_Toc32242437"/>
      <w:r>
        <w:rPr>
          <w:rStyle w:val="CharSectno"/>
        </w:rPr>
        <w:t>110J</w:t>
      </w:r>
      <w:r>
        <w:t>.</w:t>
      </w:r>
      <w:r>
        <w:tab/>
        <w:t>Who may apply</w:t>
      </w:r>
      <w:bookmarkEnd w:id="166"/>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110J inserted: No. 25 of 2008 s. 11.]</w:t>
      </w:r>
    </w:p>
    <w:p>
      <w:pPr>
        <w:pStyle w:val="Heading5"/>
      </w:pPr>
      <w:bookmarkStart w:id="167" w:name="_Toc32242438"/>
      <w:r>
        <w:rPr>
          <w:rStyle w:val="CharSectno"/>
        </w:rPr>
        <w:t>110K</w:t>
      </w:r>
      <w:r>
        <w:t>.</w:t>
      </w:r>
      <w:r>
        <w:tab/>
        <w:t>Declaration about validity of enduring power of guardianship</w:t>
      </w:r>
      <w:bookmarkEnd w:id="167"/>
    </w:p>
    <w:p>
      <w:pPr>
        <w:pStyle w:val="Subsection"/>
      </w:pPr>
      <w:r>
        <w:tab/>
        <w:t>(1)</w:t>
      </w:r>
      <w:r>
        <w:tab/>
        <w:t>The State Administrative Tribunal may declare that an enduring power of guardianship is valid or invalid.</w:t>
      </w:r>
    </w:p>
    <w:p>
      <w:pPr>
        <w:pStyle w:val="Subsection"/>
        <w:keepNext/>
        <w:keepLines/>
      </w:pPr>
      <w:r>
        <w:tab/>
        <w:t>(2)</w:t>
      </w:r>
      <w:r>
        <w:tab/>
        <w:t>A declaration made under subsection (1) has effect according to its terms.</w:t>
      </w:r>
    </w:p>
    <w:p>
      <w:pPr>
        <w:pStyle w:val="Footnotesection"/>
      </w:pPr>
      <w:r>
        <w:tab/>
        <w:t>[Section 110K inserted: No. 25 of 2008 s. 11.]</w:t>
      </w:r>
    </w:p>
    <w:p>
      <w:pPr>
        <w:pStyle w:val="Heading5"/>
      </w:pPr>
      <w:bookmarkStart w:id="168" w:name="_Toc32242439"/>
      <w:r>
        <w:rPr>
          <w:rStyle w:val="CharSectno"/>
        </w:rPr>
        <w:t>110L</w:t>
      </w:r>
      <w:r>
        <w:t>.</w:t>
      </w:r>
      <w:r>
        <w:tab/>
        <w:t>Declaration of incapacity of appointor</w:t>
      </w:r>
      <w:bookmarkEnd w:id="168"/>
    </w:p>
    <w:p>
      <w:pPr>
        <w:pStyle w:val="Subsection"/>
      </w:pPr>
      <w:r>
        <w:tab/>
        <w:t>(1)</w:t>
      </w:r>
      <w:r>
        <w:tab/>
        <w:t>The State Administrative Tribunal may declare that the appointor under an enduring power of guardianship is unable to make reasonable judgments in respect of matters relating to his or her person.</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110L inserted: No. 25 of 2008 s. 11.]</w:t>
      </w:r>
    </w:p>
    <w:p>
      <w:pPr>
        <w:pStyle w:val="Heading5"/>
      </w:pPr>
      <w:bookmarkStart w:id="169" w:name="_Toc32242440"/>
      <w:r>
        <w:rPr>
          <w:rStyle w:val="CharSectno"/>
        </w:rPr>
        <w:t>110M</w:t>
      </w:r>
      <w:r>
        <w:t>.</w:t>
      </w:r>
      <w:r>
        <w:tab/>
        <w:t>Directions as to construction of terms etc.</w:t>
      </w:r>
      <w:bookmarkEnd w:id="169"/>
    </w:p>
    <w:p>
      <w:pPr>
        <w:pStyle w:val="Subsection"/>
      </w:pPr>
      <w:r>
        <w:tab/>
      </w:r>
      <w:r>
        <w:tab/>
        <w:t xml:space="preserve">The State Administrative Tribunal may give directions as to matters connected with — </w:t>
      </w:r>
    </w:p>
    <w:p>
      <w:pPr>
        <w:pStyle w:val="Indenta"/>
      </w:pPr>
      <w:r>
        <w:tab/>
        <w:t>(a)</w:t>
      </w:r>
      <w:r>
        <w:tab/>
        <w:t>the exercise of an enduring power of guardianship; or</w:t>
      </w:r>
    </w:p>
    <w:p>
      <w:pPr>
        <w:pStyle w:val="Indenta"/>
      </w:pPr>
      <w:r>
        <w:tab/>
        <w:t>(b)</w:t>
      </w:r>
      <w:r>
        <w:tab/>
        <w:t>the construction of the terms of an enduring power of guardianship.</w:t>
      </w:r>
    </w:p>
    <w:p>
      <w:pPr>
        <w:pStyle w:val="Footnotesection"/>
      </w:pPr>
      <w:r>
        <w:tab/>
        <w:t>[Section 110M inserted: No. 25 of 2008 s. 11.]</w:t>
      </w:r>
    </w:p>
    <w:p>
      <w:pPr>
        <w:pStyle w:val="Heading5"/>
      </w:pPr>
      <w:bookmarkStart w:id="170" w:name="_Toc32242441"/>
      <w:r>
        <w:rPr>
          <w:rStyle w:val="CharSectno"/>
        </w:rPr>
        <w:t>110N</w:t>
      </w:r>
      <w:r>
        <w:t>.</w:t>
      </w:r>
      <w:r>
        <w:tab/>
        <w:t>Revocation or variation of enduring power of guardianship</w:t>
      </w:r>
      <w:bookmarkEnd w:id="170"/>
    </w:p>
    <w:p>
      <w:pPr>
        <w:pStyle w:val="Subsection"/>
      </w:pPr>
      <w:r>
        <w:tab/>
        <w:t>(1)</w:t>
      </w:r>
      <w:r>
        <w:tab/>
        <w:t xml:space="preserve">The State Administrative Tribunal may make an order — </w:t>
      </w:r>
    </w:p>
    <w:p>
      <w:pPr>
        <w:pStyle w:val="Indenta"/>
      </w:pPr>
      <w:r>
        <w:tab/>
        <w:t>(a)</w:t>
      </w:r>
      <w:r>
        <w:tab/>
        <w:t>revoking an enduring power of guardianship; or</w:t>
      </w:r>
    </w:p>
    <w:p>
      <w:pPr>
        <w:pStyle w:val="Indenta"/>
      </w:pPr>
      <w:r>
        <w:tab/>
        <w:t>(b)</w:t>
      </w:r>
      <w:r>
        <w:tab/>
        <w:t xml:space="preserve">revoking the appointment of one or some of the persons who are joint enduring guardians under an enduring power of guardianship if the person or each of the persons — </w:t>
      </w:r>
    </w:p>
    <w:p>
      <w:pPr>
        <w:pStyle w:val="Indenti"/>
      </w:pPr>
      <w:r>
        <w:tab/>
        <w:t>(i)</w:t>
      </w:r>
      <w:r>
        <w:tab/>
        <w:t>wishes to be discharged; or</w:t>
      </w:r>
    </w:p>
    <w:p>
      <w:pPr>
        <w:pStyle w:val="Indenti"/>
      </w:pPr>
      <w:r>
        <w:tab/>
        <w:t>(ii)</w:t>
      </w:r>
      <w:r>
        <w:tab/>
        <w:t>has been guilty of such neglect or misconduct or of such default as, in the opinion of the Tribunal, renders the person unfit to continue as an enduring guardian; or</w:t>
      </w:r>
    </w:p>
    <w:p>
      <w:pPr>
        <w:pStyle w:val="Indenti"/>
      </w:pPr>
      <w:r>
        <w:tab/>
        <w:t>(iii)</w:t>
      </w:r>
      <w:r>
        <w:tab/>
        <w:t>appears to the Tribunal to be incapable by reason of mental or physical incapacity of carrying out the person’s duties;</w:t>
      </w:r>
    </w:p>
    <w:p>
      <w:pPr>
        <w:pStyle w:val="Indenta"/>
      </w:pPr>
      <w:r>
        <w:tab/>
      </w:r>
      <w:r>
        <w:tab/>
        <w:t>or</w:t>
      </w:r>
    </w:p>
    <w:p>
      <w:pPr>
        <w:pStyle w:val="Indenta"/>
      </w:pPr>
      <w:r>
        <w:tab/>
        <w:t>(c)</w:t>
      </w:r>
      <w:r>
        <w:tab/>
        <w:t>revoking or varying any of the terms of an enduring power of guardianship.</w:t>
      </w:r>
    </w:p>
    <w:p>
      <w:pPr>
        <w:pStyle w:val="Subsection"/>
      </w:pPr>
      <w:r>
        <w:tab/>
        <w:t>(2)</w:t>
      </w:r>
      <w:r>
        <w:tab/>
        <w:t>If the Tribunal makes an order under subsection (1)(b), subject to the terms of the enduring power of guardianship, the remaining enduring guardian or guardians may act under the power.</w:t>
      </w:r>
    </w:p>
    <w:p>
      <w:pPr>
        <w:pStyle w:val="Subsection"/>
      </w:pPr>
      <w:r>
        <w:tab/>
        <w:t>(3)</w:t>
      </w:r>
      <w:r>
        <w:tab/>
        <w:t>An order made under subsection (1) may be expressed to come into effect at a time earlier than immediately after it is made.</w:t>
      </w:r>
    </w:p>
    <w:p>
      <w:pPr>
        <w:pStyle w:val="Footnotesection"/>
      </w:pPr>
      <w:r>
        <w:tab/>
        <w:t>[Section 110N inserted: No. 25 of 2008 s. 11.]</w:t>
      </w:r>
    </w:p>
    <w:p>
      <w:pPr>
        <w:pStyle w:val="Heading5"/>
      </w:pPr>
      <w:bookmarkStart w:id="171" w:name="_Toc32242442"/>
      <w:r>
        <w:rPr>
          <w:rStyle w:val="CharSectno"/>
        </w:rPr>
        <w:t>110O</w:t>
      </w:r>
      <w:r>
        <w:t>.</w:t>
      </w:r>
      <w:r>
        <w:tab/>
        <w:t>Recognition of instrument created in another jurisdiction</w:t>
      </w:r>
      <w:bookmarkEnd w:id="171"/>
    </w:p>
    <w:p>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Subsection"/>
      </w:pPr>
      <w:r>
        <w:tab/>
        <w:t>(2)</w:t>
      </w:r>
      <w:r>
        <w:tab/>
        <w:t>The Tribunal may revoke an order made under subsection (1).</w:t>
      </w:r>
    </w:p>
    <w:p>
      <w:pPr>
        <w:pStyle w:val="Footnotesection"/>
      </w:pPr>
      <w:r>
        <w:tab/>
        <w:t>[Section 110O inserted: No. 25 of 2008 s. 11.]</w:t>
      </w:r>
    </w:p>
    <w:p>
      <w:pPr>
        <w:pStyle w:val="Heading2"/>
      </w:pPr>
      <w:bookmarkStart w:id="172" w:name="_Toc32242220"/>
      <w:bookmarkStart w:id="173" w:name="_Toc32242443"/>
      <w:r>
        <w:rPr>
          <w:rStyle w:val="CharPartNo"/>
        </w:rPr>
        <w:t>Part 9B</w:t>
      </w:r>
      <w:r>
        <w:rPr>
          <w:b w:val="0"/>
        </w:rPr>
        <w:t> </w:t>
      </w:r>
      <w:r>
        <w:t>—</w:t>
      </w:r>
      <w:r>
        <w:rPr>
          <w:b w:val="0"/>
        </w:rPr>
        <w:t> </w:t>
      </w:r>
      <w:r>
        <w:rPr>
          <w:rStyle w:val="CharPartText"/>
        </w:rPr>
        <w:t>Advance health directives</w:t>
      </w:r>
      <w:bookmarkEnd w:id="172"/>
      <w:bookmarkEnd w:id="173"/>
    </w:p>
    <w:p>
      <w:pPr>
        <w:pStyle w:val="Footnoteheading"/>
      </w:pPr>
      <w:r>
        <w:tab/>
        <w:t>[Heading inserted: No. 25 of 2008 s. 11.]</w:t>
      </w:r>
    </w:p>
    <w:p>
      <w:pPr>
        <w:pStyle w:val="Heading3"/>
      </w:pPr>
      <w:bookmarkStart w:id="174" w:name="_Toc32242221"/>
      <w:bookmarkStart w:id="175" w:name="_Toc32242444"/>
      <w:r>
        <w:rPr>
          <w:rStyle w:val="CharDivNo"/>
        </w:rPr>
        <w:t>Division 1</w:t>
      </w:r>
      <w:r>
        <w:t> — </w:t>
      </w:r>
      <w:r>
        <w:rPr>
          <w:rStyle w:val="CharDivText"/>
        </w:rPr>
        <w:t>Making of advance health directive</w:t>
      </w:r>
      <w:bookmarkEnd w:id="174"/>
      <w:bookmarkEnd w:id="175"/>
    </w:p>
    <w:p>
      <w:pPr>
        <w:pStyle w:val="Footnoteheading"/>
      </w:pPr>
      <w:r>
        <w:tab/>
        <w:t>[Heading inserted: No. 25 of 2008 s. 11.]</w:t>
      </w:r>
    </w:p>
    <w:p>
      <w:pPr>
        <w:pStyle w:val="Heading5"/>
      </w:pPr>
      <w:bookmarkStart w:id="176" w:name="_Toc32242445"/>
      <w:r>
        <w:rPr>
          <w:rStyle w:val="CharSectno"/>
        </w:rPr>
        <w:t>110P</w:t>
      </w:r>
      <w:r>
        <w:t>.</w:t>
      </w:r>
      <w:r>
        <w:tab/>
        <w:t>Making advance health directive</w:t>
      </w:r>
      <w:bookmarkEnd w:id="176"/>
    </w:p>
    <w:p>
      <w:pPr>
        <w:pStyle w:val="Subsection"/>
      </w:pPr>
      <w:r>
        <w:tab/>
      </w:r>
      <w:r>
        <w:tab/>
        <w:t>A person who has reached 18 years of age and has full legal capacity may make an advance health directive containing treatment decisions in respect of the person’s future treatment.</w:t>
      </w:r>
    </w:p>
    <w:p>
      <w:pPr>
        <w:pStyle w:val="Footnotesection"/>
      </w:pPr>
      <w:r>
        <w:tab/>
        <w:t>[Section 110P inserted: No. 25 of 2008 s. 11.]</w:t>
      </w:r>
    </w:p>
    <w:p>
      <w:pPr>
        <w:pStyle w:val="Heading5"/>
      </w:pPr>
      <w:bookmarkStart w:id="177" w:name="_Toc32242446"/>
      <w:r>
        <w:rPr>
          <w:rStyle w:val="CharSectno"/>
        </w:rPr>
        <w:t>110Q</w:t>
      </w:r>
      <w:r>
        <w:t>.</w:t>
      </w:r>
      <w:r>
        <w:tab/>
        <w:t>Formal requirements</w:t>
      </w:r>
      <w:bookmarkEnd w:id="177"/>
    </w:p>
    <w:p>
      <w:pPr>
        <w:pStyle w:val="Subsection"/>
      </w:pPr>
      <w:r>
        <w:tab/>
        <w:t>(1)</w:t>
      </w:r>
      <w:r>
        <w:tab/>
        <w:t xml:space="preserve">An advance health directive is not valid unless — </w:t>
      </w:r>
    </w:p>
    <w:p>
      <w:pPr>
        <w:pStyle w:val="Indenta"/>
      </w:pPr>
      <w:r>
        <w:tab/>
        <w:t>(a)</w:t>
      </w:r>
      <w:r>
        <w:tab/>
        <w:t>it is in the form or substantially in the form prescribed by the regulations; and</w:t>
      </w:r>
    </w:p>
    <w:p>
      <w:pPr>
        <w:pStyle w:val="Indenta"/>
      </w:pPr>
      <w:r>
        <w:tab/>
        <w:t>(b)</w:t>
      </w:r>
      <w:r>
        <w:tab/>
        <w:t>the maker is encouraged to seek legal or medical advice; and</w:t>
      </w:r>
    </w:p>
    <w:p>
      <w:pPr>
        <w:pStyle w:val="Indenta"/>
      </w:pPr>
      <w:r>
        <w:tab/>
        <w:t>(c)</w:t>
      </w:r>
      <w:r>
        <w:tab/>
        <w:t>it is signed by its maker or by another person in the presence of, and at the direction of, its maker; and</w:t>
      </w:r>
    </w:p>
    <w:p>
      <w:pPr>
        <w:pStyle w:val="Indenta"/>
      </w:pPr>
      <w:r>
        <w:tab/>
        <w:t>(d)</w:t>
      </w:r>
      <w:r>
        <w:tab/>
        <w:t>the signature referred to in paragraph (c)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tab/>
        <w:t>(e)</w:t>
      </w:r>
      <w:r>
        <w:tab/>
        <w:t xml:space="preserve">it is signed by the witnesses in the presence of — </w:t>
      </w:r>
    </w:p>
    <w:p>
      <w:pPr>
        <w:pStyle w:val="Indenti"/>
      </w:pPr>
      <w:r>
        <w:tab/>
        <w:t>(i)</w:t>
      </w:r>
      <w:r>
        <w:tab/>
        <w:t>its maker; and</w:t>
      </w:r>
    </w:p>
    <w:p>
      <w:pPr>
        <w:pStyle w:val="Indenti"/>
      </w:pPr>
      <w:r>
        <w:tab/>
        <w:t>(ii)</w:t>
      </w:r>
      <w:r>
        <w:tab/>
        <w:t>the person who signed it at its maker’s direction (if applicable); and</w:t>
      </w:r>
    </w:p>
    <w:p>
      <w:pPr>
        <w:pStyle w:val="Indenti"/>
      </w:pPr>
      <w:r>
        <w:tab/>
        <w:t>(iii)</w:t>
      </w:r>
      <w:r>
        <w:tab/>
        <w:t>each other.</w:t>
      </w:r>
    </w:p>
    <w:p>
      <w:pPr>
        <w:pStyle w:val="Subsection"/>
      </w:pPr>
      <w:r>
        <w:rPr>
          <w:szCs w:val="22"/>
        </w:rPr>
        <w:tab/>
        <w:t>(2)</w:t>
      </w:r>
      <w:r>
        <w:rPr>
          <w:szCs w:val="22"/>
        </w:rPr>
        <w:tab/>
        <w:t>Despite subsection (1)(b), the validity of an advance health directive is not affected by a failure to comply with subsection (1)(b).</w:t>
      </w:r>
    </w:p>
    <w:p>
      <w:pPr>
        <w:pStyle w:val="Subsection"/>
      </w:pPr>
      <w:r>
        <w:tab/>
        <w:t>(3)</w:t>
      </w:r>
      <w:r>
        <w:tab/>
        <w:t xml:space="preserve">A witness referred to in subsection (1)(d)(ii)(II)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maker of the advance health directive; or</w:t>
      </w:r>
    </w:p>
    <w:p>
      <w:pPr>
        <w:pStyle w:val="Indenti"/>
      </w:pPr>
      <w:r>
        <w:tab/>
        <w:t>(ii)</w:t>
      </w:r>
      <w:r>
        <w:tab/>
        <w:t>the person who signed the directive at its maker’s direction (if applicable).</w:t>
      </w:r>
    </w:p>
    <w:p>
      <w:pPr>
        <w:pStyle w:val="Footnotesection"/>
      </w:pPr>
      <w:r>
        <w:tab/>
        <w:t>[Section 110Q inserted: No. 25 of 2008 s. 11.]</w:t>
      </w:r>
    </w:p>
    <w:p>
      <w:pPr>
        <w:pStyle w:val="Heading5"/>
      </w:pPr>
      <w:bookmarkStart w:id="178" w:name="_Toc32242447"/>
      <w:r>
        <w:rPr>
          <w:rStyle w:val="CharSectno"/>
        </w:rPr>
        <w:t>110QA</w:t>
      </w:r>
      <w:r>
        <w:t>.</w:t>
      </w:r>
      <w:r>
        <w:tab/>
        <w:t>Maker may indicate in directive whether advice obtained</w:t>
      </w:r>
      <w:bookmarkEnd w:id="178"/>
    </w:p>
    <w:p>
      <w:pPr>
        <w:pStyle w:val="Subsection"/>
      </w:pPr>
      <w:r>
        <w:tab/>
      </w:r>
      <w:r>
        <w:tab/>
        <w:t xml:space="preserve">The form prescribed by the regulations for section 110Q(1)(a) must include provision for the maker, if the maker wishes — </w:t>
      </w:r>
    </w:p>
    <w:p>
      <w:pPr>
        <w:pStyle w:val="Indenta"/>
      </w:pPr>
      <w:r>
        <w:tab/>
        <w:t>(a)</w:t>
      </w:r>
      <w:r>
        <w:tab/>
        <w:t>to indicate whether the maker obtained legal or medical advice about the making of the directive; and</w:t>
      </w:r>
    </w:p>
    <w:p>
      <w:pPr>
        <w:pStyle w:val="Indenta"/>
      </w:pPr>
      <w:r>
        <w:tab/>
        <w:t>(b)</w:t>
      </w:r>
      <w:r>
        <w:tab/>
        <w:t>if so, to identify from whom the maker obtained the advice.</w:t>
      </w:r>
    </w:p>
    <w:p>
      <w:pPr>
        <w:pStyle w:val="Footnotesection"/>
      </w:pPr>
      <w:r>
        <w:tab/>
        <w:t>[Section 110QA inserted: No. 25 of 2008 s. 11.]</w:t>
      </w:r>
    </w:p>
    <w:p>
      <w:pPr>
        <w:pStyle w:val="Heading5"/>
      </w:pPr>
      <w:bookmarkStart w:id="179" w:name="_Toc32242448"/>
      <w:r>
        <w:rPr>
          <w:rStyle w:val="CharSectno"/>
        </w:rPr>
        <w:t>110R</w:t>
      </w:r>
      <w:r>
        <w:t>.</w:t>
      </w:r>
      <w:r>
        <w:tab/>
        <w:t>Requirements in relation to treatment decision in advance health directive</w:t>
      </w:r>
      <w:bookmarkEnd w:id="179"/>
    </w:p>
    <w:p>
      <w:pPr>
        <w:pStyle w:val="Subsection"/>
      </w:pPr>
      <w:r>
        <w:tab/>
        <w:t>(1)</w:t>
      </w:r>
      <w:r>
        <w:tab/>
        <w:t xml:space="preserve">A treatment decision in an advance health directive is invalid if the treatment decision — </w:t>
      </w:r>
    </w:p>
    <w:p>
      <w:pPr>
        <w:pStyle w:val="Indenta"/>
      </w:pPr>
      <w:r>
        <w:tab/>
        <w:t>(a)</w:t>
      </w:r>
      <w:r>
        <w:tab/>
        <w:t>is not made voluntarily; or</w:t>
      </w:r>
    </w:p>
    <w:p>
      <w:pPr>
        <w:pStyle w:val="Indenta"/>
      </w:pPr>
      <w:r>
        <w:tab/>
        <w:t>(b)</w:t>
      </w:r>
      <w:r>
        <w:tab/>
        <w:t>is made as a result of inducement or coercion.</w:t>
      </w:r>
    </w:p>
    <w:p>
      <w:pPr>
        <w:pStyle w:val="Subsection"/>
      </w:pPr>
      <w:r>
        <w:tab/>
        <w:t>(2)</w:t>
      </w:r>
      <w:r>
        <w:tab/>
        <w:t xml:space="preserve">A treatment decision in an advance health directive is invalid if, at the time the directive is made, its maker does not understand — </w:t>
      </w:r>
    </w:p>
    <w:p>
      <w:pPr>
        <w:pStyle w:val="Indenta"/>
      </w:pPr>
      <w:r>
        <w:tab/>
        <w:t>(a)</w:t>
      </w:r>
      <w:r>
        <w:tab/>
        <w:t>the nature of the treatment decision; or</w:t>
      </w:r>
    </w:p>
    <w:p>
      <w:pPr>
        <w:pStyle w:val="Indenta"/>
      </w:pPr>
      <w:r>
        <w:tab/>
        <w:t>(b)</w:t>
      </w:r>
      <w:r>
        <w:tab/>
        <w:t>the consequences of making the treatment decision.</w:t>
      </w:r>
    </w:p>
    <w:p>
      <w:pPr>
        <w:pStyle w:val="Footnotesection"/>
      </w:pPr>
      <w:r>
        <w:tab/>
        <w:t>[Section 110R inserted: No. 25 of 2008 s. 11.]</w:t>
      </w:r>
    </w:p>
    <w:p>
      <w:pPr>
        <w:pStyle w:val="Ednotesection"/>
        <w:ind w:left="890" w:hanging="890"/>
      </w:pPr>
      <w:r>
        <w:t>[</w:t>
      </w:r>
      <w:r>
        <w:rPr>
          <w:b/>
          <w:bCs/>
        </w:rPr>
        <w:t>110RA.</w:t>
      </w:r>
      <w:r>
        <w:tab/>
        <w:t>Has not come into operation.]</w:t>
      </w:r>
    </w:p>
    <w:p>
      <w:pPr>
        <w:pStyle w:val="Heading3"/>
      </w:pPr>
      <w:bookmarkStart w:id="180" w:name="_Toc32242226"/>
      <w:bookmarkStart w:id="181" w:name="_Toc32242449"/>
      <w:r>
        <w:rPr>
          <w:rStyle w:val="CharDivNo"/>
        </w:rPr>
        <w:t>Division 2</w:t>
      </w:r>
      <w:r>
        <w:t> — </w:t>
      </w:r>
      <w:r>
        <w:rPr>
          <w:rStyle w:val="CharDivText"/>
        </w:rPr>
        <w:t>Operation of advance health directive</w:t>
      </w:r>
      <w:bookmarkEnd w:id="180"/>
      <w:bookmarkEnd w:id="181"/>
    </w:p>
    <w:p>
      <w:pPr>
        <w:pStyle w:val="Footnoteheading"/>
      </w:pPr>
      <w:r>
        <w:tab/>
        <w:t>[Heading inserted: No. 25 of 2008 s. 11.]</w:t>
      </w:r>
    </w:p>
    <w:p>
      <w:pPr>
        <w:pStyle w:val="Heading5"/>
      </w:pPr>
      <w:bookmarkStart w:id="182" w:name="_Toc32242450"/>
      <w:r>
        <w:rPr>
          <w:rStyle w:val="CharSectno"/>
        </w:rPr>
        <w:t>110S</w:t>
      </w:r>
      <w:r>
        <w:t>.</w:t>
      </w:r>
      <w:r>
        <w:tab/>
        <w:t>Operation generally</w:t>
      </w:r>
      <w:bookmarkEnd w:id="182"/>
    </w:p>
    <w:p>
      <w:pPr>
        <w:pStyle w:val="Subsection"/>
      </w:pPr>
      <w:r>
        <w:tab/>
        <w:t>(1)</w:t>
      </w:r>
      <w:r>
        <w:tab/>
        <w:t xml:space="preserve">A treatment decision in an advance health directive operates in respect of the treatment to which it applies — </w:t>
      </w:r>
    </w:p>
    <w:p>
      <w:pPr>
        <w:pStyle w:val="Indenta"/>
      </w:pPr>
      <w:r>
        <w:tab/>
        <w:t>(a)</w:t>
      </w:r>
      <w:r>
        <w:tab/>
        <w:t>at any time the maker of the directive is unable to make reasonable judgments in respect of that treatment; and</w:t>
      </w:r>
    </w:p>
    <w:p>
      <w:pPr>
        <w:pStyle w:val="Indenta"/>
      </w:pPr>
      <w:r>
        <w:tab/>
        <w:t>(b)</w:t>
      </w:r>
      <w:r>
        <w:tab/>
        <w:t xml:space="preserve">as if — </w:t>
      </w:r>
    </w:p>
    <w:p>
      <w:pPr>
        <w:pStyle w:val="Indenti"/>
      </w:pPr>
      <w:r>
        <w:tab/>
        <w:t>(i)</w:t>
      </w:r>
      <w:r>
        <w:tab/>
        <w:t>the treatment decision had been made by the maker at that time; and</w:t>
      </w:r>
    </w:p>
    <w:p>
      <w:pPr>
        <w:pStyle w:val="Indenti"/>
      </w:pPr>
      <w:r>
        <w:tab/>
        <w:t>(ii)</w:t>
      </w:r>
      <w:r>
        <w:tab/>
        <w:t>the maker were of full legal capacity.</w:t>
      </w:r>
    </w:p>
    <w:p>
      <w:pPr>
        <w:pStyle w:val="Subsection"/>
      </w:pPr>
      <w:r>
        <w:tab/>
        <w:t>(2)</w:t>
      </w:r>
      <w:r>
        <w:tab/>
        <w:t>Subject to subsection (3), a treatment decision in an advance health directive operates only in the circumstances specified in the directive.</w:t>
      </w:r>
    </w:p>
    <w:p>
      <w:pPr>
        <w:pStyle w:val="Subsection"/>
      </w:pPr>
      <w:r>
        <w:tab/>
        <w:t>(3)</w:t>
      </w:r>
      <w:r>
        <w:tab/>
        <w:t xml:space="preserve">Subject to subsection (4), a treatment decision in an advance health directive does not operate if circumstances exist or have arisen that — </w:t>
      </w:r>
    </w:p>
    <w:p>
      <w:pPr>
        <w:pStyle w:val="Indenta"/>
      </w:pPr>
      <w:r>
        <w:tab/>
        <w:t>(a)</w:t>
      </w:r>
      <w:r>
        <w:tab/>
        <w:t>the maker of that directive would not have reasonably anticipated at the time of making the directive; and</w:t>
      </w:r>
    </w:p>
    <w:p>
      <w:pPr>
        <w:pStyle w:val="Indenta"/>
      </w:pPr>
      <w:r>
        <w:tab/>
        <w:t>(b)</w:t>
      </w:r>
      <w:r>
        <w:tab/>
        <w:t>would have caused a reasonable person in the maker’s position to have changed his or her mind about the treatment decision.</w:t>
      </w:r>
    </w:p>
    <w:p>
      <w:pPr>
        <w:pStyle w:val="Subsection"/>
      </w:pPr>
      <w:r>
        <w:tab/>
        <w:t>(4)</w:t>
      </w:r>
      <w:r>
        <w:tab/>
        <w:t>In determining whether or not subsection (3) applies in relation to a treatment decision that is in an advance health directive, the matters that must be taken into account include the following —</w:t>
      </w:r>
    </w:p>
    <w:p>
      <w:pPr>
        <w:pStyle w:val="Indenta"/>
      </w:pPr>
      <w:r>
        <w:tab/>
        <w:t>(a)</w:t>
      </w:r>
      <w:r>
        <w:tab/>
        <w:t>the maker’s age at the time the directive was made and at the time the treatment decision would otherwise operate;</w:t>
      </w:r>
    </w:p>
    <w:p>
      <w:pPr>
        <w:pStyle w:val="Indenta"/>
      </w:pPr>
      <w:r>
        <w:tab/>
        <w:t>(b)</w:t>
      </w:r>
      <w:r>
        <w:tab/>
        <w:t>the period that has elapsed between those times;</w:t>
      </w:r>
    </w:p>
    <w:p>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Indenta"/>
      </w:pPr>
      <w:r>
        <w:tab/>
        <w:t>(d)</w:t>
      </w:r>
      <w:r>
        <w:tab/>
        <w:t>the nature of the condition for which the maker needs treatment, the nature of that treatment and the consequences of providing and not providing that treatment.</w:t>
      </w:r>
    </w:p>
    <w:p>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Indenta"/>
      </w:pPr>
      <w:r>
        <w:tab/>
        <w:t>(a)</w:t>
      </w:r>
      <w:r>
        <w:tab/>
        <w:t>if the maker has an enduring guardian — the enduring guardian;</w:t>
      </w:r>
    </w:p>
    <w:p>
      <w:pPr>
        <w:pStyle w:val="Indenta"/>
      </w:pPr>
      <w:r>
        <w:tab/>
        <w:t>(b)</w:t>
      </w:r>
      <w:r>
        <w:tab/>
        <w:t>if the maker has a guardian — the guardian;</w:t>
      </w:r>
    </w:p>
    <w:p>
      <w:pPr>
        <w:pStyle w:val="Indenta"/>
      </w:pPr>
      <w:r>
        <w:tab/>
        <w:t>(c)</w:t>
      </w:r>
      <w:r>
        <w:tab/>
        <w:t>a person who has a relationship with the maker described in section 110ZD(3)(a) to (d);</w:t>
      </w:r>
    </w:p>
    <w:p>
      <w:pPr>
        <w:pStyle w:val="Indenta"/>
      </w:pPr>
      <w:r>
        <w:tab/>
        <w:t>(d)</w:t>
      </w:r>
      <w:r>
        <w:tab/>
        <w:t>any other person considered appropriate in the circumstances.</w:t>
      </w:r>
    </w:p>
    <w:p>
      <w:pPr>
        <w:pStyle w:val="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Footnotesection"/>
      </w:pPr>
      <w:r>
        <w:tab/>
        <w:t>[Section 110S inserted: No. 25 of 2008 s. 11.]</w:t>
      </w:r>
    </w:p>
    <w:p>
      <w:pPr>
        <w:pStyle w:val="Heading5"/>
      </w:pPr>
      <w:bookmarkStart w:id="183" w:name="_Toc32242451"/>
      <w:r>
        <w:rPr>
          <w:rStyle w:val="CharSectno"/>
        </w:rPr>
        <w:t>110T</w:t>
      </w:r>
      <w:r>
        <w:t>.</w:t>
      </w:r>
      <w:r>
        <w:tab/>
        <w:t>Effect of subsequent enduring power of guardianship</w:t>
      </w:r>
      <w:bookmarkEnd w:id="183"/>
    </w:p>
    <w:p>
      <w:pPr>
        <w:pStyle w:val="Subsection"/>
      </w:pPr>
      <w:r>
        <w:tab/>
      </w:r>
      <w:r>
        <w:tab/>
        <w:t xml:space="preserve">For the purposes of this Act — </w:t>
      </w:r>
    </w:p>
    <w:p>
      <w:pPr>
        <w:pStyle w:val="Indenta"/>
      </w:pPr>
      <w:r>
        <w:tab/>
        <w:t>(a)</w:t>
      </w:r>
      <w:r>
        <w:tab/>
        <w:t>a treatment decision in an advance health directive is not taken to have been revoked; and</w:t>
      </w:r>
    </w:p>
    <w:p>
      <w:pPr>
        <w:pStyle w:val="Indenta"/>
      </w:pPr>
      <w:r>
        <w:tab/>
        <w:t>(b)</w:t>
      </w:r>
      <w:r>
        <w:tab/>
        <w:t>the maker of the directive is not taken to have changed his or her mind about the treatment decision since making the directive,</w:t>
      </w:r>
    </w:p>
    <w:p>
      <w:pPr>
        <w:pStyle w:val="Subsection"/>
      </w:pPr>
      <w:r>
        <w:tab/>
      </w:r>
      <w:r>
        <w:tab/>
        <w:t>merely because the maker subsequently makes an enduring power of guardianship (whether about the same matter as the treatment decision or a different matter).</w:t>
      </w:r>
    </w:p>
    <w:p>
      <w:pPr>
        <w:pStyle w:val="Footnotesection"/>
      </w:pPr>
      <w:r>
        <w:tab/>
        <w:t>[Section 110T inserted: No. 25 of 2008 s. 11.]</w:t>
      </w:r>
    </w:p>
    <w:p>
      <w:pPr>
        <w:pStyle w:val="Heading5"/>
      </w:pPr>
      <w:bookmarkStart w:id="184" w:name="_Toc32242452"/>
      <w:r>
        <w:rPr>
          <w:rStyle w:val="CharSectno"/>
        </w:rPr>
        <w:t>110U</w:t>
      </w:r>
      <w:r>
        <w:t>.</w:t>
      </w:r>
      <w:r>
        <w:tab/>
        <w:t>Priority of treatment decision in advance health directive</w:t>
      </w:r>
      <w:bookmarkEnd w:id="184"/>
    </w:p>
    <w:p>
      <w:pPr>
        <w:pStyle w:val="Subsection"/>
      </w:pPr>
      <w:r>
        <w:tab/>
      </w:r>
      <w:r>
        <w:tab/>
        <w:t>The priority to be given to a treatment decision in an advance health directive is determined in accordance with section 110ZJ.</w:t>
      </w:r>
    </w:p>
    <w:p>
      <w:pPr>
        <w:pStyle w:val="Footnotesection"/>
      </w:pPr>
      <w:r>
        <w:tab/>
        <w:t>[Section 110U inserted: No. 25 of 2008 s. 11.]</w:t>
      </w:r>
    </w:p>
    <w:p>
      <w:pPr>
        <w:pStyle w:val="Heading3"/>
      </w:pPr>
      <w:bookmarkStart w:id="185" w:name="_Toc32242230"/>
      <w:bookmarkStart w:id="186" w:name="_Toc32242453"/>
      <w:r>
        <w:rPr>
          <w:rStyle w:val="CharDivNo"/>
        </w:rPr>
        <w:t>Division 3</w:t>
      </w:r>
      <w:r>
        <w:t> — </w:t>
      </w:r>
      <w:r>
        <w:rPr>
          <w:rStyle w:val="CharDivText"/>
        </w:rPr>
        <w:t>Jurisdiction of State Administrative Tribunal</w:t>
      </w:r>
      <w:bookmarkEnd w:id="185"/>
      <w:bookmarkEnd w:id="186"/>
    </w:p>
    <w:p>
      <w:pPr>
        <w:pStyle w:val="Footnoteheading"/>
      </w:pPr>
      <w:r>
        <w:tab/>
        <w:t>[Heading inserted: No. 25 of 2008 s. 11.]</w:t>
      </w:r>
    </w:p>
    <w:p>
      <w:pPr>
        <w:pStyle w:val="Heading5"/>
      </w:pPr>
      <w:bookmarkStart w:id="187" w:name="_Toc32242454"/>
      <w:r>
        <w:rPr>
          <w:rStyle w:val="CharSectno"/>
        </w:rPr>
        <w:t>110V</w:t>
      </w:r>
      <w:r>
        <w:t>.</w:t>
      </w:r>
      <w:r>
        <w:tab/>
        <w:t>Who may apply</w:t>
      </w:r>
      <w:bookmarkEnd w:id="187"/>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110V inserted: No. 25 of 2008 s. 11.]</w:t>
      </w:r>
    </w:p>
    <w:p>
      <w:pPr>
        <w:pStyle w:val="Heading5"/>
      </w:pPr>
      <w:bookmarkStart w:id="188" w:name="_Toc32242455"/>
      <w:r>
        <w:rPr>
          <w:rStyle w:val="CharSectno"/>
        </w:rPr>
        <w:t>110W</w:t>
      </w:r>
      <w:r>
        <w:t>.</w:t>
      </w:r>
      <w:r>
        <w:tab/>
        <w:t>Declaration about validity of directive or treatment decision</w:t>
      </w:r>
      <w:bookmarkEnd w:id="188"/>
    </w:p>
    <w:p>
      <w:pPr>
        <w:pStyle w:val="Subsection"/>
      </w:pPr>
      <w:r>
        <w:tab/>
        <w:t>(1)</w:t>
      </w:r>
      <w:r>
        <w:tab/>
        <w:t xml:space="preserve">The State Administrative Tribunal may declare that — </w:t>
      </w:r>
    </w:p>
    <w:p>
      <w:pPr>
        <w:pStyle w:val="Indenta"/>
      </w:pPr>
      <w:r>
        <w:tab/>
        <w:t>(a)</w:t>
      </w:r>
      <w:r>
        <w:tab/>
        <w:t>an advance health directive; or</w:t>
      </w:r>
    </w:p>
    <w:p>
      <w:pPr>
        <w:pStyle w:val="Indenta"/>
      </w:pPr>
      <w:r>
        <w:tab/>
        <w:t>(b)</w:t>
      </w:r>
      <w:r>
        <w:tab/>
        <w:t>a treatment decision in an advance health directive,</w:t>
      </w:r>
    </w:p>
    <w:p>
      <w:pPr>
        <w:pStyle w:val="Subsection"/>
      </w:pPr>
      <w:r>
        <w:tab/>
      </w:r>
      <w:r>
        <w:tab/>
        <w:t>is valid or invalid.</w:t>
      </w:r>
    </w:p>
    <w:p>
      <w:pPr>
        <w:pStyle w:val="Subsection"/>
      </w:pPr>
      <w:r>
        <w:tab/>
        <w:t>(2)</w:t>
      </w:r>
      <w:r>
        <w:tab/>
        <w:t>A declaration made under subsection (1) has effect according to its terms.</w:t>
      </w:r>
    </w:p>
    <w:p>
      <w:pPr>
        <w:pStyle w:val="Footnotesection"/>
      </w:pPr>
      <w:r>
        <w:tab/>
        <w:t>[Section 110W inserted: No. 25 of 2008 s. 11.]</w:t>
      </w:r>
    </w:p>
    <w:p>
      <w:pPr>
        <w:pStyle w:val="Heading5"/>
      </w:pPr>
      <w:bookmarkStart w:id="189" w:name="_Toc32242456"/>
      <w:r>
        <w:rPr>
          <w:rStyle w:val="CharSectno"/>
        </w:rPr>
        <w:t>110X</w:t>
      </w:r>
      <w:r>
        <w:t>.</w:t>
      </w:r>
      <w:r>
        <w:tab/>
        <w:t>Declaration of incapacity of maker</w:t>
      </w:r>
      <w:bookmarkEnd w:id="189"/>
    </w:p>
    <w:p>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110X inserted: No. 25 of 2008 s. 11.]</w:t>
      </w:r>
    </w:p>
    <w:p>
      <w:pPr>
        <w:pStyle w:val="Heading5"/>
      </w:pPr>
      <w:bookmarkStart w:id="190" w:name="_Toc32242457"/>
      <w:r>
        <w:rPr>
          <w:rStyle w:val="CharSectno"/>
        </w:rPr>
        <w:t>110Y</w:t>
      </w:r>
      <w:r>
        <w:t>.</w:t>
      </w:r>
      <w:r>
        <w:tab/>
        <w:t>Directions as to construction of terms etc.</w:t>
      </w:r>
      <w:bookmarkEnd w:id="190"/>
    </w:p>
    <w:p>
      <w:pPr>
        <w:pStyle w:val="Subsection"/>
      </w:pPr>
      <w:r>
        <w:tab/>
      </w:r>
      <w:r>
        <w:tab/>
        <w:t xml:space="preserve">The State Administrative Tribunal may give directions as to matters connected with — </w:t>
      </w:r>
    </w:p>
    <w:p>
      <w:pPr>
        <w:pStyle w:val="Indenta"/>
      </w:pPr>
      <w:r>
        <w:tab/>
        <w:t>(a)</w:t>
      </w:r>
      <w:r>
        <w:tab/>
        <w:t>the giving of effect to a treatment decision in an advance health directive; or</w:t>
      </w:r>
    </w:p>
    <w:p>
      <w:pPr>
        <w:pStyle w:val="Indenta"/>
      </w:pPr>
      <w:r>
        <w:tab/>
        <w:t>(b)</w:t>
      </w:r>
      <w:r>
        <w:tab/>
        <w:t>the construction of the terms of an advance health directive.</w:t>
      </w:r>
    </w:p>
    <w:p>
      <w:pPr>
        <w:pStyle w:val="Footnotesection"/>
      </w:pPr>
      <w:r>
        <w:tab/>
        <w:t>[Section 110Y inserted: No. 25 of 2008 s. 11.]</w:t>
      </w:r>
    </w:p>
    <w:p>
      <w:pPr>
        <w:pStyle w:val="Heading5"/>
      </w:pPr>
      <w:bookmarkStart w:id="191" w:name="_Toc32242458"/>
      <w:r>
        <w:rPr>
          <w:rStyle w:val="CharSectno"/>
        </w:rPr>
        <w:t>110Z</w:t>
      </w:r>
      <w:r>
        <w:t>.</w:t>
      </w:r>
      <w:r>
        <w:tab/>
        <w:t>Declaration that treatment decision has been revoked</w:t>
      </w:r>
      <w:bookmarkEnd w:id="191"/>
    </w:p>
    <w:p>
      <w:pPr>
        <w:pStyle w:val="Subsection"/>
      </w:pPr>
      <w:r>
        <w:tab/>
        <w:t>(1)</w:t>
      </w:r>
      <w:r>
        <w:tab/>
        <w:t>The State Administrative Tribunal may declare that a treatment decision in an advance health directive is taken to have been revoked under section 110S(6).</w:t>
      </w:r>
    </w:p>
    <w:p>
      <w:pPr>
        <w:pStyle w:val="Subsection"/>
      </w:pPr>
      <w:r>
        <w:tab/>
        <w:t>(2)</w:t>
      </w:r>
      <w:r>
        <w:tab/>
        <w:t>A declaration made under subsection (1) has effect according to its terms.</w:t>
      </w:r>
    </w:p>
    <w:p>
      <w:pPr>
        <w:pStyle w:val="Subsection"/>
        <w:keepNext/>
        <w:keepLines/>
      </w:pPr>
      <w:r>
        <w:tab/>
        <w:t>(3)</w:t>
      </w:r>
      <w:r>
        <w:tab/>
        <w:t>The Tribunal may revoke a declaration made under subsection (1).</w:t>
      </w:r>
    </w:p>
    <w:p>
      <w:pPr>
        <w:pStyle w:val="Footnotesection"/>
        <w:keepNext/>
      </w:pPr>
      <w:r>
        <w:tab/>
        <w:t>[Section 110Z inserted: No. 25 of 2008 s. 11.]</w:t>
      </w:r>
    </w:p>
    <w:p>
      <w:pPr>
        <w:pStyle w:val="Heading5"/>
      </w:pPr>
      <w:bookmarkStart w:id="192" w:name="_Toc32242459"/>
      <w:r>
        <w:rPr>
          <w:rStyle w:val="CharSectno"/>
        </w:rPr>
        <w:t>110ZA</w:t>
      </w:r>
      <w:r>
        <w:t>.</w:t>
      </w:r>
      <w:r>
        <w:tab/>
        <w:t>Recognition of instrument created in another jurisdiction</w:t>
      </w:r>
      <w:bookmarkEnd w:id="192"/>
    </w:p>
    <w:p>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Subsection"/>
      </w:pPr>
      <w:r>
        <w:tab/>
        <w:t>(2)</w:t>
      </w:r>
      <w:r>
        <w:tab/>
        <w:t>The Tribunal may revoke an order made under subsection (1).</w:t>
      </w:r>
    </w:p>
    <w:p>
      <w:pPr>
        <w:pStyle w:val="Footnotesection"/>
      </w:pPr>
      <w:r>
        <w:tab/>
        <w:t>[Section 110ZA inserted: No. 25 of 2008 s. 11.]</w:t>
      </w:r>
    </w:p>
    <w:p>
      <w:pPr>
        <w:pStyle w:val="Heading3"/>
      </w:pPr>
      <w:bookmarkStart w:id="193" w:name="_Toc32242237"/>
      <w:bookmarkStart w:id="194" w:name="_Toc32242460"/>
      <w:r>
        <w:rPr>
          <w:rStyle w:val="CharDivNo"/>
        </w:rPr>
        <w:t>Division 4</w:t>
      </w:r>
      <w:r>
        <w:t> — </w:t>
      </w:r>
      <w:r>
        <w:rPr>
          <w:rStyle w:val="CharDivText"/>
        </w:rPr>
        <w:t>Miscellaneous matters</w:t>
      </w:r>
      <w:bookmarkEnd w:id="193"/>
      <w:bookmarkEnd w:id="194"/>
    </w:p>
    <w:p>
      <w:pPr>
        <w:pStyle w:val="Footnoteheading"/>
      </w:pPr>
      <w:r>
        <w:tab/>
        <w:t>[Heading inserted: No. 25 of 2008 s. 11.]</w:t>
      </w:r>
    </w:p>
    <w:p>
      <w:pPr>
        <w:pStyle w:val="Ednotesection"/>
      </w:pPr>
      <w:r>
        <w:t>[</w:t>
      </w:r>
      <w:r>
        <w:rPr>
          <w:b/>
          <w:bCs/>
        </w:rPr>
        <w:t>110ZAA, 110ZAB, 110ZAC.</w:t>
      </w:r>
      <w:r>
        <w:rPr>
          <w:b/>
          <w:bCs/>
        </w:rPr>
        <w:tab/>
      </w:r>
      <w:r>
        <w:tab/>
        <w:t>Have not come into operation.]</w:t>
      </w:r>
    </w:p>
    <w:p>
      <w:pPr>
        <w:pStyle w:val="Heading5"/>
      </w:pPr>
      <w:bookmarkStart w:id="195" w:name="_Toc32242461"/>
      <w:r>
        <w:rPr>
          <w:rStyle w:val="CharSectno"/>
        </w:rPr>
        <w:t>110ZB</w:t>
      </w:r>
      <w:r>
        <w:t>.</w:t>
      </w:r>
      <w:r>
        <w:tab/>
        <w:t>Common law preserved</w:t>
      </w:r>
      <w:bookmarkEnd w:id="195"/>
    </w:p>
    <w:p>
      <w:pPr>
        <w:pStyle w:val="Subsection"/>
      </w:pPr>
      <w:r>
        <w:tab/>
      </w:r>
      <w:r>
        <w:tab/>
        <w:t>This Part does not affect the common law relating to a person’s entitlement to make treatment decisions in respect of the person’s future treatment.</w:t>
      </w:r>
    </w:p>
    <w:p>
      <w:pPr>
        <w:pStyle w:val="Footnotesection"/>
      </w:pPr>
      <w:r>
        <w:tab/>
        <w:t>[Section 110ZB inserted: No. 25 of 2008 s. 11.]</w:t>
      </w:r>
    </w:p>
    <w:p>
      <w:pPr>
        <w:pStyle w:val="Heading2"/>
      </w:pPr>
      <w:bookmarkStart w:id="196" w:name="_Toc32242239"/>
      <w:bookmarkStart w:id="197" w:name="_Toc32242462"/>
      <w:r>
        <w:rPr>
          <w:rStyle w:val="CharPartNo"/>
        </w:rPr>
        <w:t>Part 9C</w:t>
      </w:r>
      <w:r>
        <w:rPr>
          <w:b w:val="0"/>
        </w:rPr>
        <w:t> </w:t>
      </w:r>
      <w:r>
        <w:t>—</w:t>
      </w:r>
      <w:r>
        <w:rPr>
          <w:b w:val="0"/>
        </w:rPr>
        <w:t> </w:t>
      </w:r>
      <w:r>
        <w:rPr>
          <w:rStyle w:val="CharPartText"/>
        </w:rPr>
        <w:t>Persons responsible for patients</w:t>
      </w:r>
      <w:bookmarkEnd w:id="196"/>
      <w:bookmarkEnd w:id="197"/>
    </w:p>
    <w:p>
      <w:pPr>
        <w:pStyle w:val="Footnoteheading"/>
      </w:pPr>
      <w:r>
        <w:tab/>
        <w:t>[Heading inserted: No. 25 of 2008 s. 11.]</w:t>
      </w:r>
    </w:p>
    <w:p>
      <w:pPr>
        <w:pStyle w:val="Heading3"/>
      </w:pPr>
      <w:bookmarkStart w:id="198" w:name="_Toc32242240"/>
      <w:bookmarkStart w:id="199" w:name="_Toc32242463"/>
      <w:r>
        <w:rPr>
          <w:rStyle w:val="CharDivNo"/>
        </w:rPr>
        <w:t>Division 1</w:t>
      </w:r>
      <w:r>
        <w:t> — </w:t>
      </w:r>
      <w:r>
        <w:rPr>
          <w:rStyle w:val="CharDivText"/>
        </w:rPr>
        <w:t>Preliminary matters</w:t>
      </w:r>
      <w:bookmarkEnd w:id="198"/>
      <w:bookmarkEnd w:id="199"/>
    </w:p>
    <w:p>
      <w:pPr>
        <w:pStyle w:val="Footnoteheading"/>
      </w:pPr>
      <w:r>
        <w:tab/>
        <w:t>[Heading inserted: No. 25 of 2008 s. 11.]</w:t>
      </w:r>
    </w:p>
    <w:p>
      <w:pPr>
        <w:pStyle w:val="Heading5"/>
      </w:pPr>
      <w:bookmarkStart w:id="200" w:name="_Toc32242464"/>
      <w:r>
        <w:rPr>
          <w:rStyle w:val="CharSectno"/>
        </w:rPr>
        <w:t>110ZC</w:t>
      </w:r>
      <w:r>
        <w:t>.</w:t>
      </w:r>
      <w:r>
        <w:tab/>
      </w:r>
      <w:r>
        <w:rPr>
          <w:szCs w:val="22"/>
        </w:rPr>
        <w:t>Term used: patient</w:t>
      </w:r>
      <w:bookmarkEnd w:id="200"/>
    </w:p>
    <w:p>
      <w:pPr>
        <w:pStyle w:val="Subsection"/>
      </w:pPr>
      <w:r>
        <w:tab/>
      </w:r>
      <w:r>
        <w:tab/>
        <w:t xml:space="preserve">In this Part — </w:t>
      </w:r>
    </w:p>
    <w:p>
      <w:pPr>
        <w:pStyle w:val="Defstart"/>
      </w:pPr>
      <w:r>
        <w:rPr>
          <w:b/>
        </w:rPr>
        <w:tab/>
      </w:r>
      <w:r>
        <w:rPr>
          <w:rStyle w:val="CharDefText"/>
        </w:rPr>
        <w:t>patient</w:t>
      </w:r>
      <w:r>
        <w:t xml:space="preserve"> means a person who needs treatment.</w:t>
      </w:r>
    </w:p>
    <w:p>
      <w:pPr>
        <w:pStyle w:val="Footnotesection"/>
      </w:pPr>
      <w:r>
        <w:tab/>
        <w:t>[Section 110ZC inserted: No. 25 of 2008 s. 11.]</w:t>
      </w:r>
    </w:p>
    <w:p>
      <w:pPr>
        <w:pStyle w:val="Heading3"/>
      </w:pPr>
      <w:bookmarkStart w:id="201" w:name="_Toc32242242"/>
      <w:bookmarkStart w:id="202" w:name="_Toc32242465"/>
      <w:r>
        <w:rPr>
          <w:rStyle w:val="CharDivNo"/>
        </w:rPr>
        <w:t>Division 2</w:t>
      </w:r>
      <w:r>
        <w:t> — </w:t>
      </w:r>
      <w:r>
        <w:rPr>
          <w:rStyle w:val="CharDivText"/>
        </w:rPr>
        <w:t>Treatment decisions by persons responsible for patients</w:t>
      </w:r>
      <w:bookmarkEnd w:id="201"/>
      <w:bookmarkEnd w:id="202"/>
    </w:p>
    <w:p>
      <w:pPr>
        <w:pStyle w:val="Footnoteheading"/>
      </w:pPr>
      <w:r>
        <w:tab/>
        <w:t>[Heading inserted: No. 25 of 2008 s. 11.]</w:t>
      </w:r>
    </w:p>
    <w:p>
      <w:pPr>
        <w:pStyle w:val="Heading5"/>
      </w:pPr>
      <w:bookmarkStart w:id="203" w:name="_Toc32242466"/>
      <w:r>
        <w:rPr>
          <w:rStyle w:val="CharSectno"/>
        </w:rPr>
        <w:t>110ZD</w:t>
      </w:r>
      <w:r>
        <w:t>.</w:t>
      </w:r>
      <w:r>
        <w:tab/>
        <w:t>Circumstances in which person responsible may make treatment decision</w:t>
      </w:r>
      <w:bookmarkEnd w:id="203"/>
    </w:p>
    <w:p>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Subsection"/>
      </w:pPr>
      <w:r>
        <w:tab/>
        <w:t>(2)</w:t>
      </w:r>
      <w:r>
        <w:tab/>
        <w:t xml:space="preserve">The person responsible for the patient is the first in order of the persons listed in subsection (3) who — </w:t>
      </w:r>
    </w:p>
    <w:p>
      <w:pPr>
        <w:pStyle w:val="Indenta"/>
      </w:pPr>
      <w:r>
        <w:tab/>
        <w:t>(a)</w:t>
      </w:r>
      <w:r>
        <w:tab/>
        <w:t>is of full legal capacity; and</w:t>
      </w:r>
    </w:p>
    <w:p>
      <w:pPr>
        <w:pStyle w:val="Indenta"/>
      </w:pPr>
      <w:r>
        <w:tab/>
        <w:t>(b)</w:t>
      </w:r>
      <w:r>
        <w:tab/>
        <w:t>is reasonably available; and</w:t>
      </w:r>
    </w:p>
    <w:p>
      <w:pPr>
        <w:pStyle w:val="Indenta"/>
      </w:pPr>
      <w:r>
        <w:tab/>
        <w:t>(c)</w:t>
      </w:r>
      <w:r>
        <w:tab/>
        <w:t>is willing to make a treatment decision in respect of the treatment.</w:t>
      </w:r>
    </w:p>
    <w:p>
      <w:pPr>
        <w:pStyle w:val="Subsection"/>
      </w:pPr>
      <w:r>
        <w:tab/>
        <w:t>(3)</w:t>
      </w:r>
      <w:r>
        <w:tab/>
        <w:t xml:space="preserve">For subsection (2), the persons are the following — </w:t>
      </w:r>
    </w:p>
    <w:p>
      <w:pPr>
        <w:pStyle w:val="Indenta"/>
      </w:pPr>
      <w:r>
        <w:tab/>
        <w:t>(a)</w:t>
      </w:r>
      <w:r>
        <w:tab/>
        <w:t>the patient’s spouse or de facto partner if that person —</w:t>
      </w:r>
    </w:p>
    <w:p>
      <w:pPr>
        <w:pStyle w:val="Indenti"/>
      </w:pPr>
      <w:r>
        <w:tab/>
        <w:t>(i)</w:t>
      </w:r>
      <w:r>
        <w:tab/>
        <w:t>has reached 18 years of age; and</w:t>
      </w:r>
    </w:p>
    <w:p>
      <w:pPr>
        <w:pStyle w:val="Indenti"/>
      </w:pPr>
      <w:r>
        <w:tab/>
        <w:t>(ii)</w:t>
      </w:r>
      <w:r>
        <w:tab/>
        <w:t>is living with the patient;</w:t>
      </w:r>
    </w:p>
    <w:p>
      <w:pPr>
        <w:pStyle w:val="Indenta"/>
      </w:pPr>
      <w:r>
        <w:tab/>
        <w:t>(b)</w:t>
      </w:r>
      <w:r>
        <w:tab/>
        <w:t>the patient’s nearest relative who maintains a close personal relationship with the patient;</w:t>
      </w:r>
    </w:p>
    <w:p>
      <w:pPr>
        <w:pStyle w:val="Indenta"/>
      </w:pPr>
      <w:r>
        <w:tab/>
        <w:t>(c)</w:t>
      </w:r>
      <w:r>
        <w:tab/>
        <w:t>the person who —</w:t>
      </w:r>
    </w:p>
    <w:p>
      <w:pPr>
        <w:pStyle w:val="Indenti"/>
      </w:pPr>
      <w:r>
        <w:tab/>
        <w:t>(i)</w:t>
      </w:r>
      <w:r>
        <w:tab/>
        <w:t>has reached 18 years of age; and</w:t>
      </w:r>
    </w:p>
    <w:p>
      <w:pPr>
        <w:pStyle w:val="Indenti"/>
      </w:pPr>
      <w:r>
        <w:tab/>
        <w:t>(ii)</w:t>
      </w:r>
      <w:r>
        <w:tab/>
        <w:t>is the primary provider of care and support (including emotional support) to the patient, but is not remunerated for providing that care and support;</w:t>
      </w:r>
    </w:p>
    <w:p>
      <w:pPr>
        <w:pStyle w:val="Indenta"/>
      </w:pPr>
      <w:r>
        <w:tab/>
        <w:t>(d)</w:t>
      </w:r>
      <w:r>
        <w:tab/>
        <w:t>any other person who —</w:t>
      </w:r>
    </w:p>
    <w:p>
      <w:pPr>
        <w:pStyle w:val="Indenti"/>
      </w:pPr>
      <w:r>
        <w:tab/>
        <w:t>(i)</w:t>
      </w:r>
      <w:r>
        <w:tab/>
        <w:t>has reached 18 years of age; and</w:t>
      </w:r>
    </w:p>
    <w:p>
      <w:pPr>
        <w:pStyle w:val="Indenti"/>
      </w:pPr>
      <w:r>
        <w:tab/>
        <w:t>(ii)</w:t>
      </w:r>
      <w:r>
        <w:tab/>
        <w:t>maintains a close personal relationship with the patient.</w:t>
      </w:r>
    </w:p>
    <w:p>
      <w:pPr>
        <w:pStyle w:val="Subsection"/>
      </w:pPr>
      <w:r>
        <w:tab/>
        <w:t>(4)</w:t>
      </w:r>
      <w:r>
        <w:tab/>
        <w:t xml:space="preserve">For subsection (3)(b), the patient’s nearest relative is the first in order of priority of the following relatives of the patient who has reached 18 years of age — </w:t>
      </w:r>
    </w:p>
    <w:p>
      <w:pPr>
        <w:pStyle w:val="Indenta"/>
      </w:pPr>
      <w:r>
        <w:tab/>
        <w:t>(a)</w:t>
      </w:r>
      <w:r>
        <w:tab/>
        <w:t>the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(5)</w:t>
      </w:r>
      <w:r>
        <w:tab/>
        <w:t>For subsection (3)(b) and (d)(ii), a person maintains a close personal relationship with the patient only if the person —</w:t>
      </w:r>
    </w:p>
    <w:p>
      <w:pPr>
        <w:pStyle w:val="Indenta"/>
      </w:pPr>
      <w:r>
        <w:tab/>
        <w:t>(a)</w:t>
      </w:r>
      <w:r>
        <w:tab/>
        <w:t>has frequent contact of a personal (as opposed to a business or professional) nature with the patient; and</w:t>
      </w:r>
    </w:p>
    <w:p>
      <w:pPr>
        <w:pStyle w:val="Indenta"/>
      </w:pPr>
      <w:r>
        <w:tab/>
        <w:t>(b)</w:t>
      </w:r>
      <w:r>
        <w:tab/>
        <w:t>takes a genuine interest in the patient’s welfare.</w:t>
      </w:r>
    </w:p>
    <w:p>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Subsection"/>
      </w:pPr>
      <w:r>
        <w:tab/>
        <w:t>(7)</w:t>
      </w:r>
      <w:r>
        <w:tab/>
        <w:t>The person responsible for the patient cannot consent to the sterilisation of the patient.</w:t>
      </w:r>
    </w:p>
    <w:p>
      <w:pPr>
        <w:pStyle w:val="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Subsection"/>
      </w:pPr>
      <w:r>
        <w:tab/>
        <w:t>(9)</w:t>
      </w:r>
      <w:r>
        <w:tab/>
        <w:t xml:space="preserve">A treatment decision made by the person responsible for the patient has effect as if — </w:t>
      </w:r>
    </w:p>
    <w:p>
      <w:pPr>
        <w:pStyle w:val="Indenta"/>
      </w:pPr>
      <w:r>
        <w:tab/>
        <w:t>(a)</w:t>
      </w:r>
      <w:r>
        <w:tab/>
        <w:t>the treatment decision had been made by the patient; and</w:t>
      </w:r>
    </w:p>
    <w:p>
      <w:pPr>
        <w:pStyle w:val="Indenta"/>
      </w:pPr>
      <w:r>
        <w:tab/>
        <w:t>(b)</w:t>
      </w:r>
      <w:r>
        <w:tab/>
        <w:t>the patient were of full legal capacity.</w:t>
      </w:r>
    </w:p>
    <w:p>
      <w:pPr>
        <w:pStyle w:val="Footnotesection"/>
      </w:pPr>
      <w:r>
        <w:tab/>
        <w:t>[Section 110ZD inserted: No. 25 of 2008 s. 11.]</w:t>
      </w:r>
    </w:p>
    <w:p>
      <w:pPr>
        <w:pStyle w:val="Heading5"/>
      </w:pPr>
      <w:bookmarkStart w:id="204" w:name="_Toc32242467"/>
      <w:r>
        <w:rPr>
          <w:rStyle w:val="CharSectno"/>
        </w:rPr>
        <w:t>110ZE</w:t>
      </w:r>
      <w:r>
        <w:t>.</w:t>
      </w:r>
      <w:r>
        <w:tab/>
        <w:t>Priority of treatment decision of person responsible</w:t>
      </w:r>
      <w:bookmarkEnd w:id="204"/>
    </w:p>
    <w:p>
      <w:pPr>
        <w:pStyle w:val="Subsection"/>
      </w:pPr>
      <w:r>
        <w:tab/>
      </w:r>
      <w:r>
        <w:tab/>
        <w:t>The priority to be given to a treatment decision of a person responsible for a patient under section 110ZD is determined in accordance with section 110ZJ.</w:t>
      </w:r>
    </w:p>
    <w:p>
      <w:pPr>
        <w:pStyle w:val="Footnotesection"/>
      </w:pPr>
      <w:r>
        <w:tab/>
        <w:t>[Section 110ZE inserted: No. 25 of 2008 s. 11.]</w:t>
      </w:r>
    </w:p>
    <w:p>
      <w:pPr>
        <w:pStyle w:val="Heading3"/>
      </w:pPr>
      <w:bookmarkStart w:id="205" w:name="_Toc32242245"/>
      <w:bookmarkStart w:id="206" w:name="_Toc32242468"/>
      <w:r>
        <w:rPr>
          <w:rStyle w:val="CharDivNo"/>
        </w:rPr>
        <w:t>Division 3</w:t>
      </w:r>
      <w:r>
        <w:t> — </w:t>
      </w:r>
      <w:r>
        <w:rPr>
          <w:rStyle w:val="CharDivText"/>
        </w:rPr>
        <w:t>Jurisdiction of State Administrative Tribunal</w:t>
      </w:r>
      <w:bookmarkEnd w:id="205"/>
      <w:bookmarkEnd w:id="206"/>
    </w:p>
    <w:p>
      <w:pPr>
        <w:pStyle w:val="Footnoteheading"/>
      </w:pPr>
      <w:r>
        <w:tab/>
        <w:t>[Heading inserted: No. 25 of 2008 s. 11.]</w:t>
      </w:r>
    </w:p>
    <w:p>
      <w:pPr>
        <w:pStyle w:val="Heading5"/>
      </w:pPr>
      <w:bookmarkStart w:id="207" w:name="_Toc32242469"/>
      <w:r>
        <w:rPr>
          <w:rStyle w:val="CharSectno"/>
        </w:rPr>
        <w:t>110ZF</w:t>
      </w:r>
      <w:r>
        <w:t>.</w:t>
      </w:r>
      <w:r>
        <w:tab/>
        <w:t>Who may apply</w:t>
      </w:r>
      <w:bookmarkEnd w:id="207"/>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110ZF inserted: No. 25 of 2008 s. 11.]</w:t>
      </w:r>
    </w:p>
    <w:p>
      <w:pPr>
        <w:pStyle w:val="Heading5"/>
      </w:pPr>
      <w:bookmarkStart w:id="208" w:name="_Toc32242470"/>
      <w:r>
        <w:rPr>
          <w:rStyle w:val="CharSectno"/>
        </w:rPr>
        <w:t>110ZG</w:t>
      </w:r>
      <w:r>
        <w:t>.</w:t>
      </w:r>
      <w:r>
        <w:tab/>
        <w:t>Declaration that person responsible may make treatment decision</w:t>
      </w:r>
      <w:bookmarkEnd w:id="208"/>
    </w:p>
    <w:p>
      <w:pPr>
        <w:pStyle w:val="Subsection"/>
      </w:pPr>
      <w:r>
        <w:tab/>
        <w:t>(1)</w:t>
      </w:r>
      <w:r>
        <w:tab/>
        <w:t xml:space="preserve">The State Administrative Tribunal may declare — </w:t>
      </w:r>
    </w:p>
    <w:p>
      <w:pPr>
        <w:pStyle w:val="Indenta"/>
      </w:pPr>
      <w:r>
        <w:tab/>
        <w:t>(a)</w:t>
      </w:r>
      <w:r>
        <w:tab/>
        <w:t>that a patient is unable to make reasonable judgments in respect of the treatment proposed to be provided to the patient; and</w:t>
      </w:r>
    </w:p>
    <w:p>
      <w:pPr>
        <w:pStyle w:val="Indenta"/>
      </w:pPr>
      <w:r>
        <w:tab/>
        <w:t>(b)</w:t>
      </w:r>
      <w:r>
        <w:tab/>
        <w:t>that the person identified in the declaration is the person responsible for the patient under section 110ZD.</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110ZG inserted: No. 25 of 2008 s. 11.]</w:t>
      </w:r>
    </w:p>
    <w:p>
      <w:pPr>
        <w:pStyle w:val="Heading2"/>
      </w:pPr>
      <w:bookmarkStart w:id="209" w:name="_Toc32242248"/>
      <w:bookmarkStart w:id="210" w:name="_Toc32242471"/>
      <w:r>
        <w:rPr>
          <w:rStyle w:val="CharPartNo"/>
        </w:rPr>
        <w:t>Part 9D</w:t>
      </w:r>
      <w:r>
        <w:rPr>
          <w:b w:val="0"/>
        </w:rPr>
        <w:t> </w:t>
      </w:r>
      <w:r>
        <w:t>—</w:t>
      </w:r>
      <w:r>
        <w:rPr>
          <w:b w:val="0"/>
        </w:rPr>
        <w:t> </w:t>
      </w:r>
      <w:r>
        <w:rPr>
          <w:rStyle w:val="CharPartText"/>
        </w:rPr>
        <w:t>Treatment decisions in relation to patients under legal incapacity</w:t>
      </w:r>
      <w:bookmarkEnd w:id="209"/>
      <w:bookmarkEnd w:id="210"/>
    </w:p>
    <w:p>
      <w:pPr>
        <w:pStyle w:val="Footnoteheading"/>
      </w:pPr>
      <w:r>
        <w:tab/>
        <w:t>[Heading inserted: No. 25 of 2008 s. 11.]</w:t>
      </w:r>
    </w:p>
    <w:p>
      <w:pPr>
        <w:pStyle w:val="Heading3"/>
      </w:pPr>
      <w:bookmarkStart w:id="211" w:name="_Toc32242249"/>
      <w:bookmarkStart w:id="212" w:name="_Toc32242472"/>
      <w:r>
        <w:rPr>
          <w:rStyle w:val="CharDivNo"/>
        </w:rPr>
        <w:t>Division 1</w:t>
      </w:r>
      <w:r>
        <w:t> — </w:t>
      </w:r>
      <w:r>
        <w:rPr>
          <w:rStyle w:val="CharDivText"/>
        </w:rPr>
        <w:t>Preliminary matters</w:t>
      </w:r>
      <w:bookmarkEnd w:id="211"/>
      <w:bookmarkEnd w:id="212"/>
    </w:p>
    <w:p>
      <w:pPr>
        <w:pStyle w:val="Footnoteheading"/>
      </w:pPr>
      <w:r>
        <w:tab/>
        <w:t>[Heading inserted: No. 25 of 2008 s. 11.]</w:t>
      </w:r>
    </w:p>
    <w:p>
      <w:pPr>
        <w:pStyle w:val="Heading5"/>
      </w:pPr>
      <w:bookmarkStart w:id="213" w:name="_Toc32242473"/>
      <w:r>
        <w:rPr>
          <w:rStyle w:val="CharSectno"/>
        </w:rPr>
        <w:t>110ZH</w:t>
      </w:r>
      <w:r>
        <w:t>.</w:t>
      </w:r>
      <w:r>
        <w:tab/>
        <w:t>Terms used</w:t>
      </w:r>
      <w:bookmarkEnd w:id="213"/>
    </w:p>
    <w:p>
      <w:pPr>
        <w:pStyle w:val="Subsection"/>
      </w:pPr>
      <w:r>
        <w:tab/>
      </w:r>
      <w:r>
        <w:tab/>
        <w:t xml:space="preserve">In this Part — </w:t>
      </w:r>
    </w:p>
    <w:p>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Defstart"/>
      </w:pPr>
      <w:r>
        <w:rPr>
          <w:b/>
        </w:rPr>
        <w:tab/>
      </w:r>
      <w:r>
        <w:rPr>
          <w:rStyle w:val="CharDefText"/>
        </w:rPr>
        <w:t>patient</w:t>
      </w:r>
      <w:r>
        <w:t xml:space="preserve"> means a person who needs treatment;</w:t>
      </w:r>
    </w:p>
    <w:p>
      <w:pPr>
        <w:pStyle w:val="Defstart"/>
      </w:pPr>
      <w:r>
        <w:rPr>
          <w:b/>
        </w:rPr>
        <w:tab/>
      </w:r>
      <w:r>
        <w:rPr>
          <w:rStyle w:val="CharDefText"/>
        </w:rPr>
        <w:t>urgent treatment</w:t>
      </w:r>
      <w:r>
        <w:t xml:space="preserve"> means treatment urgently needed by a patient — </w:t>
      </w:r>
    </w:p>
    <w:p>
      <w:pPr>
        <w:pStyle w:val="Defpara"/>
      </w:pPr>
      <w:r>
        <w:tab/>
        <w:t>(a)</w:t>
      </w:r>
      <w:r>
        <w:tab/>
        <w:t>to save the patient’s life; or</w:t>
      </w:r>
    </w:p>
    <w:p>
      <w:pPr>
        <w:pStyle w:val="Defpara"/>
      </w:pPr>
      <w:r>
        <w:tab/>
        <w:t>(b)</w:t>
      </w:r>
      <w:r>
        <w:tab/>
        <w:t>to prevent serious damage to the patient’s health; or</w:t>
      </w:r>
    </w:p>
    <w:p>
      <w:pPr>
        <w:pStyle w:val="Defpara"/>
      </w:pPr>
      <w:r>
        <w:tab/>
        <w:t>(c)</w:t>
      </w:r>
      <w:r>
        <w:tab/>
        <w:t>to prevent the patient from suffering or continuing to suffer significant pain or distress,</w:t>
      </w:r>
    </w:p>
    <w:p>
      <w:pPr>
        <w:pStyle w:val="Defstart"/>
      </w:pPr>
      <w:r>
        <w:tab/>
        <w:t xml:space="preserve">but does not include — </w:t>
      </w:r>
    </w:p>
    <w:p>
      <w:pPr>
        <w:pStyle w:val="Defpara"/>
      </w:pPr>
      <w:r>
        <w:tab/>
        <w:t>(d)</w:t>
      </w:r>
      <w:r>
        <w:tab/>
        <w:t xml:space="preserve">psychiatric treatment, which is treatment as defined in the </w:t>
      </w:r>
      <w:r>
        <w:rPr>
          <w:i/>
          <w:iCs/>
        </w:rPr>
        <w:t>Mental Health Act 2014</w:t>
      </w:r>
      <w:r>
        <w:t xml:space="preserve"> section 4; or</w:t>
      </w:r>
    </w:p>
    <w:p>
      <w:pPr>
        <w:pStyle w:val="Defpara"/>
      </w:pPr>
      <w:r>
        <w:tab/>
        <w:t>(e)</w:t>
      </w:r>
      <w:r>
        <w:tab/>
        <w:t>the sterilisation of the patient.</w:t>
      </w:r>
    </w:p>
    <w:p>
      <w:pPr>
        <w:pStyle w:val="Footnotesection"/>
      </w:pPr>
      <w:r>
        <w:tab/>
        <w:t>[Section 110ZH inserted: No. 25 of 2008 s. 11; amended: No. 25 of 2014 s. 21.]</w:t>
      </w:r>
    </w:p>
    <w:p>
      <w:pPr>
        <w:pStyle w:val="Heading3"/>
      </w:pPr>
      <w:bookmarkStart w:id="214" w:name="_Toc32242251"/>
      <w:bookmarkStart w:id="215" w:name="_Toc32242474"/>
      <w:r>
        <w:rPr>
          <w:rStyle w:val="CharDivNo"/>
        </w:rPr>
        <w:t>Division 2</w:t>
      </w:r>
      <w:r>
        <w:t> — </w:t>
      </w:r>
      <w:r>
        <w:rPr>
          <w:rStyle w:val="CharDivText"/>
        </w:rPr>
        <w:t>Provision of treatment</w:t>
      </w:r>
      <w:bookmarkEnd w:id="214"/>
      <w:bookmarkEnd w:id="215"/>
    </w:p>
    <w:p>
      <w:pPr>
        <w:pStyle w:val="Footnoteheading"/>
      </w:pPr>
      <w:r>
        <w:tab/>
        <w:t>[Heading inserted: No. 25 of 2008 s. 11.]</w:t>
      </w:r>
    </w:p>
    <w:p>
      <w:pPr>
        <w:pStyle w:val="Heading5"/>
      </w:pPr>
      <w:bookmarkStart w:id="216" w:name="_Toc32242475"/>
      <w:r>
        <w:rPr>
          <w:rStyle w:val="CharSectno"/>
        </w:rPr>
        <w:t>110ZI</w:t>
      </w:r>
      <w:r>
        <w:t>.</w:t>
      </w:r>
      <w:r>
        <w:tab/>
        <w:t>Urgent treatment generally</w:t>
      </w:r>
      <w:bookmarkEnd w:id="216"/>
    </w:p>
    <w:p>
      <w:pPr>
        <w:pStyle w:val="Subsection"/>
      </w:pPr>
      <w:r>
        <w:tab/>
        <w:t>(1)</w:t>
      </w:r>
      <w:r>
        <w:tab/>
        <w:t xml:space="preserve">Subsection (2) applies if —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Subsection"/>
      </w:pPr>
      <w:r>
        <w:tab/>
        <w:t>(2)</w:t>
      </w:r>
      <w:r>
        <w:tab/>
        <w:t>The health professional may provide the treatment to the patient in the absence of a treatment decision in relation to the patient.</w:t>
      </w:r>
    </w:p>
    <w:p>
      <w:pPr>
        <w:pStyle w:val="Footnotesection"/>
      </w:pPr>
      <w:r>
        <w:tab/>
        <w:t>[Section 110ZI inserted: No. 25 of 2008 s. 11.]</w:t>
      </w:r>
    </w:p>
    <w:p>
      <w:pPr>
        <w:pStyle w:val="Heading5"/>
      </w:pPr>
      <w:bookmarkStart w:id="217" w:name="_Toc32242476"/>
      <w:r>
        <w:rPr>
          <w:rStyle w:val="CharSectno"/>
        </w:rPr>
        <w:t>110ZIA</w:t>
      </w:r>
      <w:r>
        <w:t>.</w:t>
      </w:r>
      <w:r>
        <w:tab/>
        <w:t>Urgent treatment after attempted suicide</w:t>
      </w:r>
      <w:bookmarkEnd w:id="217"/>
    </w:p>
    <w:p>
      <w:pPr>
        <w:pStyle w:val="Subsection"/>
      </w:pPr>
      <w:r>
        <w:tab/>
        <w:t>(1)</w:t>
      </w:r>
      <w:r>
        <w:tab/>
        <w:t>Subsection (2) applies if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the health professional who proposes to provide the treatment reasonably suspects that the patient has attempted to commit suicide and needs the treatment as a consequence.</w:t>
      </w:r>
    </w:p>
    <w:p>
      <w:pPr>
        <w:pStyle w:val="Subsection"/>
      </w:pPr>
      <w:r>
        <w:tab/>
        <w:t>(2)</w:t>
      </w:r>
      <w:r>
        <w:tab/>
        <w:t>The health professional may provide the treatment to the patient despite —</w:t>
      </w:r>
    </w:p>
    <w:p>
      <w:pPr>
        <w:pStyle w:val="Indenta"/>
      </w:pPr>
      <w:r>
        <w:tab/>
        <w:t>(a)</w:t>
      </w:r>
      <w:r>
        <w:tab/>
      </w:r>
      <w:r>
        <w:rPr>
          <w:szCs w:val="22"/>
        </w:rPr>
        <w:t>the patient having</w:t>
      </w:r>
      <w:r>
        <w:t xml:space="preserve"> made an advance health directive containing a treatment decision that is inconsistent with providing the treatment; or</w:t>
      </w:r>
    </w:p>
    <w:p>
      <w:pPr>
        <w:pStyle w:val="Indenta"/>
        <w:keepNext/>
      </w:pPr>
      <w:r>
        <w:tab/>
        <w:t>(b)</w:t>
      </w:r>
      <w:r>
        <w:tab/>
        <w:t>the patient’s guardian or enduring guardian or the person responsible for the patient under section 110ZD having made such a treatment decision in relation to the patient.</w:t>
      </w:r>
    </w:p>
    <w:p>
      <w:pPr>
        <w:pStyle w:val="Footnotesection"/>
      </w:pPr>
      <w:r>
        <w:tab/>
        <w:t>[Section 110ZIA inserted: No. 25 of 2008 s. 11.]</w:t>
      </w:r>
    </w:p>
    <w:p>
      <w:pPr>
        <w:pStyle w:val="Heading5"/>
      </w:pPr>
      <w:bookmarkStart w:id="218" w:name="_Toc32242477"/>
      <w:r>
        <w:rPr>
          <w:rStyle w:val="CharSectno"/>
        </w:rPr>
        <w:t>110ZJ</w:t>
      </w:r>
      <w:r>
        <w:t>.</w:t>
      </w:r>
      <w:r>
        <w:tab/>
        <w:t>Order of priority of persons who may make treatment decision in relation to patient</w:t>
      </w:r>
      <w:bookmarkEnd w:id="218"/>
    </w:p>
    <w:p>
      <w:pPr>
        <w:pStyle w:val="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patient has an enduring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enduring guardian.</w:t>
      </w:r>
    </w:p>
    <w:p>
      <w:pPr>
        <w:pStyle w:val="Subsection"/>
      </w:pPr>
      <w:r>
        <w:tab/>
        <w:t>(4)</w:t>
      </w:r>
      <w:r>
        <w:tab/>
        <w:t xml:space="preserve">If — </w:t>
      </w:r>
    </w:p>
    <w:p>
      <w:pPr>
        <w:pStyle w:val="Indenta"/>
      </w:pPr>
      <w:r>
        <w:tab/>
        <w:t>(a)</w:t>
      </w:r>
      <w:r>
        <w:tab/>
        <w:t>subsections (2) and (3) do not apply; and</w:t>
      </w:r>
    </w:p>
    <w:p>
      <w:pPr>
        <w:pStyle w:val="Indenta"/>
      </w:pPr>
      <w:r>
        <w:tab/>
        <w:t>(b)</w:t>
      </w:r>
      <w:r>
        <w:tab/>
        <w:t xml:space="preserve">the patient has a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guardian.</w:t>
      </w:r>
    </w:p>
    <w:p>
      <w:pPr>
        <w:pStyle w:val="Subsection"/>
        <w:keepNext/>
        <w:keepLines/>
      </w:pPr>
      <w:r>
        <w:tab/>
        <w:t>(5)</w:t>
      </w:r>
      <w:r>
        <w:tab/>
        <w:t xml:space="preserve">If — </w:t>
      </w:r>
    </w:p>
    <w:p>
      <w:pPr>
        <w:pStyle w:val="Indenta"/>
      </w:pPr>
      <w:r>
        <w:tab/>
        <w:t>(a)</w:t>
      </w:r>
      <w:r>
        <w:tab/>
        <w:t>subsections (2) to (4) do not apply; and</w:t>
      </w:r>
    </w:p>
    <w:p>
      <w:pPr>
        <w:pStyle w:val="Indenta"/>
      </w:pPr>
      <w:r>
        <w:tab/>
        <w:t>(b)</w:t>
      </w:r>
      <w:r>
        <w:tab/>
        <w:t>there is a person responsible for the patient under section 110ZD,</w:t>
      </w:r>
    </w:p>
    <w:p>
      <w:pPr>
        <w:pStyle w:val="Subsection"/>
      </w:pPr>
      <w:r>
        <w:tab/>
      </w:r>
      <w:r>
        <w:tab/>
        <w:t>whether or not the treatment is provided to the patient must be decided by the person responsible.</w:t>
      </w:r>
    </w:p>
    <w:p>
      <w:pPr>
        <w:pStyle w:val="Footnotesection"/>
      </w:pPr>
      <w:r>
        <w:tab/>
        <w:t>[Section 110ZJ inserted: No. 25 of 2008 s. 11.]</w:t>
      </w:r>
    </w:p>
    <w:p>
      <w:pPr>
        <w:pStyle w:val="Heading5"/>
        <w:spacing w:before="180"/>
      </w:pPr>
      <w:bookmarkStart w:id="219" w:name="_Toc32242478"/>
      <w:r>
        <w:rPr>
          <w:rStyle w:val="CharSectno"/>
        </w:rPr>
        <w:t>110ZK</w:t>
      </w:r>
      <w:r>
        <w:t>.</w:t>
      </w:r>
      <w:r>
        <w:tab/>
        <w:t>Reliance by health professional on treatment decision</w:t>
      </w:r>
      <w:bookmarkEnd w:id="219"/>
    </w:p>
    <w:p>
      <w:pPr>
        <w:pStyle w:val="Subsection"/>
      </w:pPr>
      <w:r>
        <w:tab/>
        <w:t>(1)</w:t>
      </w:r>
      <w:r>
        <w:tab/>
        <w:t xml:space="preserve">In this section — </w:t>
      </w:r>
    </w:p>
    <w:p>
      <w:pPr>
        <w:pStyle w:val="Defstart"/>
      </w:pPr>
      <w:r>
        <w:rPr>
          <w:b/>
        </w:rPr>
        <w:tab/>
      </w:r>
      <w:r>
        <w:rPr>
          <w:rStyle w:val="CharDefText"/>
        </w:rPr>
        <w:t>take treatment action</w:t>
      </w:r>
      <w:r>
        <w:t xml:space="preserve"> means — </w:t>
      </w:r>
    </w:p>
    <w:p>
      <w:pPr>
        <w:pStyle w:val="Defpara"/>
      </w:pPr>
      <w:r>
        <w:tab/>
        <w:t>(a)</w:t>
      </w:r>
      <w:r>
        <w:tab/>
        <w:t>to commence or continue any treatment of a patient; or</w:t>
      </w:r>
    </w:p>
    <w:p>
      <w:pPr>
        <w:pStyle w:val="Defpara"/>
      </w:pPr>
      <w:r>
        <w:tab/>
        <w:t>(b)</w:t>
      </w:r>
      <w:r>
        <w:tab/>
        <w:t>to not commence or to discontinue any treatment of a patient.</w:t>
      </w:r>
    </w:p>
    <w:p>
      <w:pPr>
        <w:pStyle w:val="Subsection"/>
      </w:pPr>
      <w:r>
        <w:tab/>
        <w:t>(2)</w:t>
      </w:r>
      <w:r>
        <w:tab/>
        <w:t xml:space="preserve">If a health professional — </w:t>
      </w:r>
    </w:p>
    <w:p>
      <w:pPr>
        <w:pStyle w:val="Indenta"/>
      </w:pPr>
      <w:r>
        <w:tab/>
        <w:t>(a)</w:t>
      </w:r>
      <w:r>
        <w:tab/>
        <w:t xml:space="preserve">takes treatment action — </w:t>
      </w:r>
    </w:p>
    <w:p>
      <w:pPr>
        <w:pStyle w:val="Indenti"/>
      </w:pPr>
      <w:r>
        <w:tab/>
        <w:t>(i)</w:t>
      </w:r>
      <w:r>
        <w:tab/>
        <w:t>reasonably believing that the patient is unable to make reasonable judgments in respect of the treatment action; and</w:t>
      </w:r>
    </w:p>
    <w:p>
      <w:pPr>
        <w:pStyle w:val="Indenti"/>
      </w:pPr>
      <w:r>
        <w:tab/>
        <w:t>(ii)</w:t>
      </w:r>
      <w:r>
        <w:tab/>
        <w:t xml:space="preserve">relying in good faith on what is purportedly a treatment decision — </w:t>
      </w:r>
    </w:p>
    <w:p>
      <w:pPr>
        <w:pStyle w:val="IndentI0"/>
      </w:pPr>
      <w:r>
        <w:tab/>
        <w:t>(I)</w:t>
      </w:r>
      <w:r>
        <w:tab/>
        <w:t>in an advance health directive made by the patient; or</w:t>
      </w:r>
    </w:p>
    <w:p>
      <w:pPr>
        <w:pStyle w:val="IndentI0"/>
      </w:pPr>
      <w:r>
        <w:tab/>
        <w:t>(II)</w:t>
      </w:r>
      <w:r>
        <w:tab/>
        <w:t>made by the patient’s guardian or enduring guardian or the person responsible for the patient under section 110ZD;</w:t>
      </w:r>
    </w:p>
    <w:p>
      <w:pPr>
        <w:pStyle w:val="Indenta"/>
      </w:pPr>
      <w:r>
        <w:tab/>
      </w:r>
      <w:r>
        <w:tab/>
        <w:t>or</w:t>
      </w:r>
    </w:p>
    <w:p>
      <w:pPr>
        <w:pStyle w:val="Indenta"/>
      </w:pPr>
      <w:r>
        <w:tab/>
        <w:t>(b)</w:t>
      </w:r>
      <w:r>
        <w:tab/>
        <w:t xml:space="preserve">takes treatment action — </w:t>
      </w:r>
    </w:p>
    <w:p>
      <w:pPr>
        <w:pStyle w:val="Indenti"/>
      </w:pPr>
      <w:r>
        <w:tab/>
        <w:t>(i)</w:t>
      </w:r>
      <w:r>
        <w:tab/>
        <w:t>in circumstances where it is reasonable for the health professional to rely on some other health professional having ascertained whether the treatment action is in accordance with a treatment decision; and</w:t>
      </w:r>
    </w:p>
    <w:p>
      <w:pPr>
        <w:pStyle w:val="Indenti"/>
      </w:pPr>
      <w:r>
        <w:tab/>
        <w:t>(ii)</w:t>
      </w:r>
      <w:r>
        <w:tab/>
        <w:t>reasonably assuming that some other health professional has ascertained that the treatment action is in accordance with a treatment decision,</w:t>
      </w:r>
    </w:p>
    <w:p>
      <w:pPr>
        <w:pStyle w:val="Subsection"/>
      </w:pPr>
      <w:r>
        <w:tab/>
      </w:r>
      <w:r>
        <w:tab/>
        <w:t xml:space="preserve">the health professional is taken for all purposes to take the treatment action in accordance with a treatment decision that has effect as if — </w:t>
      </w:r>
    </w:p>
    <w:p>
      <w:pPr>
        <w:pStyle w:val="Indenta"/>
      </w:pPr>
      <w:r>
        <w:tab/>
        <w:t>(c)</w:t>
      </w:r>
      <w:r>
        <w:tab/>
        <w:t>it had been made by the patient; and</w:t>
      </w:r>
    </w:p>
    <w:p>
      <w:pPr>
        <w:pStyle w:val="Indenta"/>
      </w:pPr>
      <w:r>
        <w:tab/>
        <w:t>(d)</w:t>
      </w:r>
      <w:r>
        <w:tab/>
        <w:t>the patient were of full legal capacity.</w:t>
      </w:r>
    </w:p>
    <w:p>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Subsection"/>
      </w:pPr>
      <w:r>
        <w:tab/>
        <w:t>(4)</w:t>
      </w:r>
      <w:r>
        <w:tab/>
        <w:t xml:space="preserve">For the purpose of determining under subsection (2)(b)(ii) whether the health professional’s assumption was reasonable, the following matters must be taken into account — </w:t>
      </w:r>
    </w:p>
    <w:p>
      <w:pPr>
        <w:pStyle w:val="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Indenta"/>
      </w:pPr>
      <w:r>
        <w:tab/>
        <w:t>(b)</w:t>
      </w:r>
      <w:r>
        <w:tab/>
        <w:t>anything else relevant to the determination.</w:t>
      </w:r>
    </w:p>
    <w:p>
      <w:pPr>
        <w:pStyle w:val="Footnotesection"/>
      </w:pPr>
      <w:r>
        <w:tab/>
        <w:t>[Section 110ZK inserted: No. 25 of 2008 s. 11.]</w:t>
      </w:r>
    </w:p>
    <w:p>
      <w:pPr>
        <w:pStyle w:val="Heading5"/>
      </w:pPr>
      <w:bookmarkStart w:id="220" w:name="_Toc32242479"/>
      <w:r>
        <w:rPr>
          <w:rStyle w:val="CharSectno"/>
        </w:rPr>
        <w:t>110ZL</w:t>
      </w:r>
      <w:r>
        <w:t>.</w:t>
      </w:r>
      <w:r>
        <w:tab/>
        <w:t>Validity of certain treatment decisions</w:t>
      </w:r>
      <w:bookmarkEnd w:id="220"/>
    </w:p>
    <w:p>
      <w:pPr>
        <w:pStyle w:val="Subsection"/>
      </w:pPr>
      <w:r>
        <w:tab/>
      </w:r>
      <w:r>
        <w:tab/>
        <w:t xml:space="preserve">If a health professional — </w:t>
      </w:r>
    </w:p>
    <w:p>
      <w:pPr>
        <w:pStyle w:val="Indenta"/>
      </w:pPr>
      <w:r>
        <w:tab/>
        <w:t>(a)</w:t>
      </w:r>
      <w:r>
        <w:tab/>
        <w:t>commences or continues palliative care in relation to a patient; or</w:t>
      </w:r>
    </w:p>
    <w:p>
      <w:pPr>
        <w:pStyle w:val="Indenta"/>
        <w:keepNext/>
        <w:keepLines/>
      </w:pPr>
      <w:r>
        <w:tab/>
        <w:t>(b)</w:t>
      </w:r>
      <w:r>
        <w:tab/>
        <w:t>does not commence or discontinues any treatment of a patient,</w:t>
      </w:r>
    </w:p>
    <w:p>
      <w:pPr>
        <w:pStyle w:val="Subsection"/>
        <w:keepLines/>
      </w:pPr>
      <w:r>
        <w:tab/>
      </w:r>
      <w:r>
        <w:tab/>
        <w:t xml:space="preserve">in accordance with a treatment decision that is — </w:t>
      </w:r>
    </w:p>
    <w:p>
      <w:pPr>
        <w:pStyle w:val="Indenta"/>
        <w:keepLines/>
      </w:pPr>
      <w:r>
        <w:tab/>
        <w:t>(c)</w:t>
      </w:r>
      <w:r>
        <w:tab/>
        <w:t>in an advance health directive made by the patient; or</w:t>
      </w:r>
    </w:p>
    <w:p>
      <w:pPr>
        <w:pStyle w:val="Indenta"/>
      </w:pPr>
      <w:r>
        <w:tab/>
        <w:t>(d)</w:t>
      </w:r>
      <w:r>
        <w:tab/>
        <w:t>made by the patient’s guardian or enduring guardian or the person responsible for the patient under section 110ZD,</w:t>
      </w:r>
    </w:p>
    <w:p>
      <w:pPr>
        <w:pStyle w:val="Subsection"/>
      </w:pPr>
      <w:r>
        <w:tab/>
      </w:r>
      <w:r>
        <w:tab/>
        <w:t>the health professional is taken for all purposes to have done so in accordance with a valid treatment decision, even if an effect of doing so is to hasten the death of the patient.</w:t>
      </w:r>
    </w:p>
    <w:p>
      <w:pPr>
        <w:pStyle w:val="Footnotesection"/>
      </w:pPr>
      <w:r>
        <w:tab/>
        <w:t>[Section 110ZL inserted: No. 25 of 2008 s. 11.]</w:t>
      </w:r>
    </w:p>
    <w:p>
      <w:pPr>
        <w:pStyle w:val="Heading3"/>
      </w:pPr>
      <w:bookmarkStart w:id="221" w:name="_Toc32242257"/>
      <w:bookmarkStart w:id="222" w:name="_Toc32242480"/>
      <w:r>
        <w:rPr>
          <w:rStyle w:val="CharDivNo"/>
        </w:rPr>
        <w:t>Division 3</w:t>
      </w:r>
      <w:r>
        <w:t> — </w:t>
      </w:r>
      <w:r>
        <w:rPr>
          <w:rStyle w:val="CharDivText"/>
        </w:rPr>
        <w:t>Jurisdiction of State Administrative Tribunal</w:t>
      </w:r>
      <w:bookmarkEnd w:id="221"/>
      <w:bookmarkEnd w:id="222"/>
    </w:p>
    <w:p>
      <w:pPr>
        <w:pStyle w:val="Footnoteheading"/>
      </w:pPr>
      <w:r>
        <w:tab/>
        <w:t>[Heading inserted: No. 25 of 2008 s. 11.]</w:t>
      </w:r>
    </w:p>
    <w:p>
      <w:pPr>
        <w:pStyle w:val="Heading5"/>
      </w:pPr>
      <w:bookmarkStart w:id="223" w:name="_Toc32242481"/>
      <w:r>
        <w:rPr>
          <w:rStyle w:val="CharSectno"/>
        </w:rPr>
        <w:t>110ZM</w:t>
      </w:r>
      <w:r>
        <w:rPr>
          <w:szCs w:val="22"/>
        </w:rPr>
        <w:t>.</w:t>
      </w:r>
      <w:r>
        <w:rPr>
          <w:szCs w:val="22"/>
        </w:rPr>
        <w:tab/>
        <w:t>Who may apply</w:t>
      </w:r>
      <w:bookmarkEnd w:id="223"/>
    </w:p>
    <w:p>
      <w:pPr>
        <w:pStyle w:val="Subsection"/>
      </w:pPr>
      <w:r>
        <w:rPr>
          <w:szCs w:val="22"/>
        </w:rPr>
        <w:tab/>
      </w:r>
      <w:r>
        <w:rPr>
          <w:szCs w:val="22"/>
        </w:rPr>
        <w:tab/>
        <w:t>A person who, in the opinion of the State Administrative Tribunal, has a proper interest in the matter may apply to the Tribunal for a decision under this Division.</w:t>
      </w:r>
    </w:p>
    <w:p>
      <w:pPr>
        <w:pStyle w:val="Footnotesection"/>
      </w:pPr>
      <w:r>
        <w:tab/>
        <w:t>[Section 110ZM inserted: No. 25 of 2008 s. 11.]</w:t>
      </w:r>
    </w:p>
    <w:p>
      <w:pPr>
        <w:pStyle w:val="Heading5"/>
      </w:pPr>
      <w:bookmarkStart w:id="224" w:name="_Toc32242482"/>
      <w:r>
        <w:rPr>
          <w:rStyle w:val="CharSectno"/>
        </w:rPr>
        <w:t>110ZN</w:t>
      </w:r>
      <w:r>
        <w:rPr>
          <w:szCs w:val="22"/>
        </w:rPr>
        <w:t>.</w:t>
      </w:r>
      <w:r>
        <w:rPr>
          <w:szCs w:val="22"/>
        </w:rPr>
        <w:tab/>
        <w:t>Declaration as to who may make treatment decision</w:t>
      </w:r>
      <w:bookmarkEnd w:id="224"/>
    </w:p>
    <w:p>
      <w:pPr>
        <w:pStyle w:val="Subsection"/>
      </w:pPr>
      <w:r>
        <w:rPr>
          <w:szCs w:val="22"/>
        </w:rPr>
        <w:tab/>
        <w:t>(1)</w:t>
      </w:r>
      <w:r>
        <w:rPr>
          <w:szCs w:val="22"/>
        </w:rPr>
        <w:tab/>
        <w:t>The State Administrative Tribunal may declare whether section 110ZJ(2), (3), (4) or (5) applies in respect of any treatment proposed to be provided to a patient.</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110ZN inserted: No. 25 of 2008 s. 11.]</w:t>
      </w:r>
    </w:p>
    <w:p>
      <w:pPr>
        <w:pStyle w:val="Heading2"/>
      </w:pPr>
      <w:bookmarkStart w:id="225" w:name="_Toc32242260"/>
      <w:bookmarkStart w:id="226" w:name="_Toc32242483"/>
      <w:r>
        <w:rPr>
          <w:rStyle w:val="CharPartNo"/>
        </w:rPr>
        <w:t>Part 10</w:t>
      </w:r>
      <w:r>
        <w:rPr>
          <w:rStyle w:val="CharDivNo"/>
        </w:rPr>
        <w:t> </w:t>
      </w:r>
      <w:r>
        <w:t>—</w:t>
      </w:r>
      <w:r>
        <w:rPr>
          <w:rStyle w:val="CharDivText"/>
        </w:rPr>
        <w:t> </w:t>
      </w:r>
      <w:r>
        <w:rPr>
          <w:rStyle w:val="CharPartText"/>
        </w:rPr>
        <w:t>Miscellaneous provisions</w:t>
      </w:r>
      <w:bookmarkEnd w:id="225"/>
      <w:bookmarkEnd w:id="226"/>
      <w:r>
        <w:rPr>
          <w:rStyle w:val="CharPartText"/>
        </w:rPr>
        <w:t xml:space="preserve"> </w:t>
      </w:r>
    </w:p>
    <w:p>
      <w:pPr>
        <w:pStyle w:val="Heading5"/>
        <w:rPr>
          <w:snapToGrid w:val="0"/>
        </w:rPr>
      </w:pPr>
      <w:bookmarkStart w:id="227" w:name="_Toc32242484"/>
      <w:r>
        <w:rPr>
          <w:rStyle w:val="CharSectno"/>
        </w:rPr>
        <w:t>111</w:t>
      </w:r>
      <w:r>
        <w:rPr>
          <w:snapToGrid w:val="0"/>
        </w:rPr>
        <w:t>.</w:t>
      </w:r>
      <w:r>
        <w:rPr>
          <w:snapToGrid w:val="0"/>
        </w:rPr>
        <w:tab/>
        <w:t>Declaration as to capacity to vote</w:t>
      </w:r>
      <w:bookmarkEnd w:id="227"/>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No. 16 of 1992 s. 18; No. 55 of 2004 s. 455 and 466.] </w:t>
      </w:r>
    </w:p>
    <w:p>
      <w:pPr>
        <w:pStyle w:val="Heading5"/>
      </w:pPr>
      <w:bookmarkStart w:id="228" w:name="_Toc32242485"/>
      <w:r>
        <w:rPr>
          <w:rStyle w:val="CharSectno"/>
        </w:rPr>
        <w:t>111A</w:t>
      </w:r>
      <w:r>
        <w:t>.</w:t>
      </w:r>
      <w:r>
        <w:tab/>
        <w:t xml:space="preserve">Applications under </w:t>
      </w:r>
      <w:r>
        <w:rPr>
          <w:i/>
          <w:iCs/>
        </w:rPr>
        <w:t xml:space="preserve">Wills Act 1970 </w:t>
      </w:r>
      <w:r>
        <w:t>s. 40</w:t>
      </w:r>
      <w:bookmarkEnd w:id="228"/>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No. 27 of 2007 s. 25.]</w:t>
      </w:r>
    </w:p>
    <w:p>
      <w:pPr>
        <w:pStyle w:val="Heading5"/>
        <w:rPr>
          <w:snapToGrid w:val="0"/>
        </w:rPr>
      </w:pPr>
      <w:bookmarkStart w:id="229" w:name="_Toc32242486"/>
      <w:r>
        <w:rPr>
          <w:rStyle w:val="CharSectno"/>
        </w:rPr>
        <w:t>112</w:t>
      </w:r>
      <w:r>
        <w:rPr>
          <w:snapToGrid w:val="0"/>
        </w:rPr>
        <w:t>.</w:t>
      </w:r>
      <w:r>
        <w:rPr>
          <w:snapToGrid w:val="0"/>
        </w:rPr>
        <w:tab/>
        <w:t>Inspection of records</w:t>
      </w:r>
      <w:bookmarkEnd w:id="229"/>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keepLines/>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No. 50 of 2003 s. 70(3); No. 55 of 2004 s. 456 and 466.]</w:t>
      </w:r>
    </w:p>
    <w:p>
      <w:pPr>
        <w:pStyle w:val="Heading5"/>
        <w:rPr>
          <w:snapToGrid w:val="0"/>
        </w:rPr>
      </w:pPr>
      <w:bookmarkStart w:id="230" w:name="_Toc32242487"/>
      <w:r>
        <w:rPr>
          <w:rStyle w:val="CharSectno"/>
        </w:rPr>
        <w:t>113</w:t>
      </w:r>
      <w:r>
        <w:rPr>
          <w:snapToGrid w:val="0"/>
        </w:rPr>
        <w:t>.</w:t>
      </w:r>
      <w:r>
        <w:rPr>
          <w:snapToGrid w:val="0"/>
        </w:rPr>
        <w:tab/>
        <w:t>Confidentiality</w:t>
      </w:r>
      <w:bookmarkEnd w:id="230"/>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keepNext/>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No. 50 of 2003 s. 70(4); No. 55 of 2004 s. 457.]</w:t>
      </w:r>
    </w:p>
    <w:p>
      <w:pPr>
        <w:pStyle w:val="Heading5"/>
        <w:rPr>
          <w:snapToGrid w:val="0"/>
        </w:rPr>
      </w:pPr>
      <w:bookmarkStart w:id="231" w:name="_Toc32242488"/>
      <w:r>
        <w:rPr>
          <w:rStyle w:val="CharSectno"/>
        </w:rPr>
        <w:t>114</w:t>
      </w:r>
      <w:r>
        <w:rPr>
          <w:snapToGrid w:val="0"/>
        </w:rPr>
        <w:t>.</w:t>
      </w:r>
      <w:r>
        <w:rPr>
          <w:snapToGrid w:val="0"/>
        </w:rPr>
        <w:tab/>
        <w:t>Immunity</w:t>
      </w:r>
      <w:bookmarkEnd w:id="231"/>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No. 55 of 2004 s. 458 and 466.]</w:t>
      </w:r>
    </w:p>
    <w:p>
      <w:pPr>
        <w:pStyle w:val="Heading5"/>
        <w:rPr>
          <w:snapToGrid w:val="0"/>
        </w:rPr>
      </w:pPr>
      <w:bookmarkStart w:id="232" w:name="_Toc32242489"/>
      <w:r>
        <w:rPr>
          <w:rStyle w:val="CharSectno"/>
        </w:rPr>
        <w:t>115</w:t>
      </w:r>
      <w:r>
        <w:rPr>
          <w:snapToGrid w:val="0"/>
        </w:rPr>
        <w:t>.</w:t>
      </w:r>
      <w:r>
        <w:rPr>
          <w:snapToGrid w:val="0"/>
        </w:rPr>
        <w:tab/>
        <w:t>Service of notices</w:t>
      </w:r>
      <w:bookmarkEnd w:id="232"/>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No. 55 of 2004 s. 459.] </w:t>
      </w:r>
    </w:p>
    <w:p>
      <w:pPr>
        <w:pStyle w:val="Heading5"/>
        <w:rPr>
          <w:snapToGrid w:val="0"/>
        </w:rPr>
      </w:pPr>
      <w:bookmarkStart w:id="233" w:name="_Toc32242490"/>
      <w:r>
        <w:rPr>
          <w:rStyle w:val="CharSectno"/>
        </w:rPr>
        <w:t>117</w:t>
      </w:r>
      <w:r>
        <w:rPr>
          <w:snapToGrid w:val="0"/>
        </w:rPr>
        <w:t>.</w:t>
      </w:r>
      <w:r>
        <w:rPr>
          <w:snapToGrid w:val="0"/>
        </w:rPr>
        <w:tab/>
        <w:t>Remuneration</w:t>
      </w:r>
      <w:bookmarkEnd w:id="23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No. 55 of 2004 s. 460 and 466.]</w:t>
      </w:r>
    </w:p>
    <w:p>
      <w:pPr>
        <w:pStyle w:val="Heading5"/>
        <w:rPr>
          <w:snapToGrid w:val="0"/>
        </w:rPr>
      </w:pPr>
      <w:bookmarkStart w:id="234" w:name="_Toc32242491"/>
      <w:r>
        <w:rPr>
          <w:rStyle w:val="CharSectno"/>
        </w:rPr>
        <w:t>118</w:t>
      </w:r>
      <w:r>
        <w:rPr>
          <w:snapToGrid w:val="0"/>
        </w:rPr>
        <w:t>.</w:t>
      </w:r>
      <w:r>
        <w:rPr>
          <w:snapToGrid w:val="0"/>
        </w:rPr>
        <w:tab/>
        <w:t>Expenses</w:t>
      </w:r>
      <w:bookmarkEnd w:id="234"/>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No. 55 of 2004 s. 466(1).]</w:t>
      </w:r>
    </w:p>
    <w:p>
      <w:pPr>
        <w:pStyle w:val="Heading5"/>
      </w:pPr>
      <w:bookmarkStart w:id="235" w:name="_Toc32242492"/>
      <w:r>
        <w:rPr>
          <w:rStyle w:val="CharSectno"/>
        </w:rPr>
        <w:t>119</w:t>
      </w:r>
      <w:r>
        <w:t>.</w:t>
      </w:r>
      <w:r>
        <w:tab/>
        <w:t>Order of priority of enduring guardian and guardian for matters other than treatment decisions</w:t>
      </w:r>
      <w:bookmarkEnd w:id="235"/>
    </w:p>
    <w:p>
      <w:pPr>
        <w:pStyle w:val="Subsection"/>
      </w:pPr>
      <w:r>
        <w:tab/>
        <w:t>(1)</w:t>
      </w:r>
      <w:r>
        <w:tab/>
        <w:t>This section applies if a person is unable to make reasonable judgments in respect of a matter relating to his or her person other than treatment proposed to be provided to the person.</w:t>
      </w:r>
    </w:p>
    <w:p>
      <w:pPr>
        <w:pStyle w:val="Subsection"/>
      </w:pPr>
      <w:r>
        <w:tab/>
        <w:t>(2)</w:t>
      </w:r>
      <w:r>
        <w:tab/>
        <w:t xml:space="preserve">If the person has an enduring guardian who — </w:t>
      </w:r>
    </w:p>
    <w:p>
      <w:pPr>
        <w:pStyle w:val="Indenta"/>
      </w:pPr>
      <w:r>
        <w:tab/>
        <w:t>(a)</w:t>
      </w:r>
      <w:r>
        <w:tab/>
        <w:t>is authorised to make a decision in respect of the matter; and</w:t>
      </w:r>
    </w:p>
    <w:p>
      <w:pPr>
        <w:pStyle w:val="Indenta"/>
      </w:pPr>
      <w:r>
        <w:tab/>
        <w:t>(b)</w:t>
      </w:r>
      <w:r>
        <w:tab/>
        <w:t>is reasonably available; and</w:t>
      </w:r>
    </w:p>
    <w:p>
      <w:pPr>
        <w:pStyle w:val="Indenta"/>
      </w:pPr>
      <w:r>
        <w:tab/>
        <w:t>(c)</w:t>
      </w:r>
      <w:r>
        <w:tab/>
        <w:t>is willing to make a decision in respect of the matter,</w:t>
      </w:r>
    </w:p>
    <w:p>
      <w:pPr>
        <w:pStyle w:val="Subsection"/>
      </w:pPr>
      <w:r>
        <w:tab/>
      </w:r>
      <w:r>
        <w:tab/>
        <w:t>a decision in respect of the matter must be made by the enduring guardian.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person has a guardian who — </w:t>
      </w:r>
    </w:p>
    <w:p>
      <w:pPr>
        <w:pStyle w:val="Indenti"/>
      </w:pPr>
      <w:r>
        <w:tab/>
        <w:t>(i)</w:t>
      </w:r>
      <w:r>
        <w:tab/>
        <w:t>is authorised to make a decision in respect of the matter; and</w:t>
      </w:r>
    </w:p>
    <w:p>
      <w:pPr>
        <w:pStyle w:val="Indenti"/>
      </w:pPr>
      <w:r>
        <w:tab/>
        <w:t>(ii)</w:t>
      </w:r>
      <w:r>
        <w:tab/>
        <w:t>is reasonably available; and</w:t>
      </w:r>
    </w:p>
    <w:p>
      <w:pPr>
        <w:pStyle w:val="Indenti"/>
        <w:keepNext/>
        <w:keepLines/>
      </w:pPr>
      <w:r>
        <w:tab/>
        <w:t>(iii)</w:t>
      </w:r>
      <w:r>
        <w:tab/>
        <w:t>is willing to make a decision in respect of the matter,</w:t>
      </w:r>
    </w:p>
    <w:p>
      <w:pPr>
        <w:pStyle w:val="Subsection"/>
      </w:pPr>
      <w:r>
        <w:tab/>
      </w:r>
      <w:r>
        <w:tab/>
        <w:t>a decision in respect of the matter must be made by the guardian.</w:t>
      </w:r>
    </w:p>
    <w:p>
      <w:pPr>
        <w:pStyle w:val="Footnotesection"/>
      </w:pPr>
      <w:r>
        <w:tab/>
        <w:t>[Section 119 inserted: No. 25 of 2008 s. 13.]</w:t>
      </w:r>
    </w:p>
    <w:p>
      <w:pPr>
        <w:pStyle w:val="Heading5"/>
      </w:pPr>
      <w:bookmarkStart w:id="236" w:name="_Toc32242493"/>
      <w:r>
        <w:rPr>
          <w:rStyle w:val="CharSectno"/>
        </w:rPr>
        <w:t>119A</w:t>
      </w:r>
      <w:r>
        <w:t>.</w:t>
      </w:r>
      <w:r>
        <w:tab/>
        <w:t>No fee for application to State Administrative Tribunal</w:t>
      </w:r>
      <w:bookmarkEnd w:id="236"/>
    </w:p>
    <w:p>
      <w:pPr>
        <w:pStyle w:val="Subsection"/>
      </w:pPr>
      <w:r>
        <w:tab/>
      </w:r>
      <w:r>
        <w:tab/>
        <w:t>No fee is payable in respect of an application made to the State Administrative Tribunal under this Act.</w:t>
      </w:r>
    </w:p>
    <w:p>
      <w:pPr>
        <w:pStyle w:val="Footnotesection"/>
      </w:pPr>
      <w:r>
        <w:tab/>
        <w:t>[Section 119A inserted: No. 55 of 2004 s. 461.]</w:t>
      </w:r>
    </w:p>
    <w:p>
      <w:pPr>
        <w:pStyle w:val="Heading5"/>
        <w:rPr>
          <w:snapToGrid w:val="0"/>
        </w:rPr>
      </w:pPr>
      <w:bookmarkStart w:id="237" w:name="_Toc32242494"/>
      <w:r>
        <w:rPr>
          <w:rStyle w:val="CharSectno"/>
        </w:rPr>
        <w:t>120</w:t>
      </w:r>
      <w:r>
        <w:rPr>
          <w:snapToGrid w:val="0"/>
        </w:rPr>
        <w:t>.</w:t>
      </w:r>
      <w:r>
        <w:rPr>
          <w:snapToGrid w:val="0"/>
        </w:rPr>
        <w:tab/>
        <w:t>Regulations</w:t>
      </w:r>
      <w:bookmarkEnd w:id="23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No. 55 of 2004 s. 462.]</w:t>
      </w:r>
    </w:p>
    <w:p>
      <w:pPr>
        <w:pStyle w:val="Ednotesection"/>
      </w:pPr>
      <w:r>
        <w:t>[</w:t>
      </w:r>
      <w:r>
        <w:rPr>
          <w:b/>
        </w:rPr>
        <w:t>121</w:t>
      </w:r>
      <w:r>
        <w:rPr>
          <w:b/>
        </w:rPr>
        <w:noBreakHyphen/>
        <w:t>123.</w:t>
      </w:r>
      <w:r>
        <w:rPr>
          <w:b/>
        </w:rPr>
        <w:tab/>
      </w:r>
      <w:r>
        <w:t xml:space="preserve">Deleted: No. 55 of 2004 s. 463.] </w:t>
      </w:r>
    </w:p>
    <w:p>
      <w:pPr>
        <w:pStyle w:val="Heading5"/>
        <w:rPr>
          <w:snapToGrid w:val="0"/>
        </w:rPr>
      </w:pPr>
      <w:bookmarkStart w:id="238" w:name="_Toc32242495"/>
      <w:r>
        <w:rPr>
          <w:rStyle w:val="CharSectno"/>
        </w:rPr>
        <w:t>124</w:t>
      </w:r>
      <w:r>
        <w:rPr>
          <w:snapToGrid w:val="0"/>
        </w:rPr>
        <w:t>.</w:t>
      </w:r>
      <w:r>
        <w:rPr>
          <w:snapToGrid w:val="0"/>
        </w:rPr>
        <w:tab/>
        <w:t>Transitional provisions</w:t>
      </w:r>
      <w:bookmarkEnd w:id="238"/>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239" w:name="_Toc32242273"/>
      <w:bookmarkStart w:id="240" w:name="_Toc32242496"/>
      <w:r>
        <w:rPr>
          <w:rStyle w:val="CharSchNo"/>
          <w:rFonts w:eastAsia="MS Mincho"/>
        </w:rPr>
        <w:t>Schedule 1</w:t>
      </w:r>
      <w:r>
        <w:rPr>
          <w:rStyle w:val="CharSDivNo"/>
          <w:rFonts w:eastAsia="MS Mincho"/>
        </w:rPr>
        <w:t> </w:t>
      </w:r>
      <w:r>
        <w:rPr>
          <w:rFonts w:eastAsia="MS Mincho"/>
        </w:rPr>
        <w:t>—</w:t>
      </w:r>
      <w:r>
        <w:rPr>
          <w:rStyle w:val="CharSDivText"/>
          <w:rFonts w:eastAsia="MS Mincho"/>
        </w:rPr>
        <w:t> </w:t>
      </w:r>
      <w:r>
        <w:rPr>
          <w:rStyle w:val="CharSchText"/>
          <w:rFonts w:eastAsia="MS Mincho"/>
        </w:rPr>
        <w:t>Provisions as to proceedings of State Administrative Tribunal</w:t>
      </w:r>
      <w:bookmarkEnd w:id="239"/>
      <w:bookmarkEnd w:id="240"/>
    </w:p>
    <w:p>
      <w:pPr>
        <w:pStyle w:val="yShoulderClause"/>
        <w:rPr>
          <w:rFonts w:eastAsia="MS Mincho"/>
        </w:rPr>
      </w:pPr>
      <w:r>
        <w:rPr>
          <w:rFonts w:eastAsia="MS Mincho"/>
        </w:rPr>
        <w:t>[s. 17]</w:t>
      </w:r>
    </w:p>
    <w:p>
      <w:pPr>
        <w:pStyle w:val="yFootnoteheading"/>
      </w:pPr>
      <w:r>
        <w:tab/>
        <w:t>[Heading inserted: No. 19 of 2010 s. 18(3).]</w:t>
      </w:r>
    </w:p>
    <w:p>
      <w:pPr>
        <w:pStyle w:val="yEdnotesection"/>
        <w:spacing w:before="180"/>
      </w:pPr>
      <w:r>
        <w:t>[</w:t>
      </w:r>
      <w:r>
        <w:rPr>
          <w:b/>
        </w:rPr>
        <w:t>1</w:t>
      </w:r>
      <w:r>
        <w:rPr>
          <w:b/>
        </w:rPr>
        <w:noBreakHyphen/>
        <w:t>10</w:t>
      </w:r>
      <w:r>
        <w:t>.</w:t>
      </w:r>
      <w:r>
        <w:tab/>
        <w:t>Deleted: No. 55 of 2004 s. 464(3).]</w:t>
      </w:r>
    </w:p>
    <w:p>
      <w:pPr>
        <w:pStyle w:val="yHeading5"/>
        <w:spacing w:before="180"/>
        <w:outlineLvl w:val="0"/>
      </w:pPr>
      <w:bookmarkStart w:id="241" w:name="_Toc32242497"/>
      <w:r>
        <w:rPr>
          <w:rStyle w:val="CharSClsNo"/>
        </w:rPr>
        <w:t>11</w:t>
      </w:r>
      <w:r>
        <w:t>.</w:t>
      </w:r>
      <w:r>
        <w:tab/>
        <w:t>Hearings</w:t>
      </w:r>
      <w:bookmarkEnd w:id="241"/>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No. 50 of 2003 s. 70(5); No. 55 of 2004 s. 464(4)</w:t>
      </w:r>
      <w:r>
        <w:noBreakHyphen/>
        <w:t>(7) and 466.]</w:t>
      </w:r>
    </w:p>
    <w:p>
      <w:pPr>
        <w:pStyle w:val="yHeading5"/>
        <w:spacing w:before="180"/>
        <w:outlineLvl w:val="0"/>
        <w:rPr>
          <w:snapToGrid w:val="0"/>
        </w:rPr>
      </w:pPr>
      <w:bookmarkStart w:id="242" w:name="_Toc32242498"/>
      <w:r>
        <w:rPr>
          <w:rStyle w:val="CharSClsNo"/>
        </w:rPr>
        <w:t>12</w:t>
      </w:r>
      <w:r>
        <w:rPr>
          <w:snapToGrid w:val="0"/>
        </w:rPr>
        <w:t>.</w:t>
      </w:r>
      <w:r>
        <w:rPr>
          <w:snapToGrid w:val="0"/>
        </w:rPr>
        <w:tab/>
        <w:t>Limitations on publication of proceedings</w:t>
      </w:r>
      <w:bookmarkEnd w:id="242"/>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No. 50 of 2003 s. 70(6); No. 4 of 2004 s. 58; No. 55 of 2004 s. 464(8) and 466.]</w:t>
      </w:r>
    </w:p>
    <w:p>
      <w:pPr>
        <w:pStyle w:val="yHeading5"/>
        <w:outlineLvl w:val="0"/>
        <w:rPr>
          <w:snapToGrid w:val="0"/>
        </w:rPr>
      </w:pPr>
      <w:bookmarkStart w:id="243" w:name="_Toc32242499"/>
      <w:r>
        <w:rPr>
          <w:rStyle w:val="CharSClsNo"/>
        </w:rPr>
        <w:t>13</w:t>
      </w:r>
      <w:r>
        <w:rPr>
          <w:snapToGrid w:val="0"/>
        </w:rPr>
        <w:t>.</w:t>
      </w:r>
      <w:r>
        <w:rPr>
          <w:snapToGrid w:val="0"/>
        </w:rPr>
        <w:tab/>
        <w:t>Entitlement to appear, and representation</w:t>
      </w:r>
      <w:bookmarkEnd w:id="243"/>
      <w:r>
        <w:rPr>
          <w:snapToGrid w:val="0"/>
        </w:rP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No. 16 of 1992 s. 18; No. 55 of 2004 s. 464(9)</w:t>
      </w:r>
      <w:r>
        <w:noBreakHyphen/>
        <w:t>(11) and 466.]</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rPr>
          <w:rFonts w:eastAsia="MS Mincho"/>
        </w:rPr>
      </w:pPr>
      <w:bookmarkStart w:id="245" w:name="_Toc32242277"/>
      <w:bookmarkStart w:id="246" w:name="_Toc32242500"/>
      <w:r>
        <w:rPr>
          <w:rStyle w:val="CharSchNo"/>
          <w:rFonts w:eastAsia="MS Mincho"/>
        </w:rPr>
        <w:t>Schedule 2</w:t>
      </w:r>
      <w:r>
        <w:rPr>
          <w:rFonts w:eastAsia="MS Mincho"/>
        </w:rPr>
        <w:t> — </w:t>
      </w:r>
      <w:r>
        <w:rPr>
          <w:rStyle w:val="CharSchText"/>
          <w:rFonts w:eastAsia="MS Mincho"/>
        </w:rPr>
        <w:t>Functions for administration of estates</w:t>
      </w:r>
      <w:bookmarkEnd w:id="245"/>
      <w:bookmarkEnd w:id="246"/>
    </w:p>
    <w:p>
      <w:pPr>
        <w:pStyle w:val="yShoulderClause"/>
        <w:rPr>
          <w:rFonts w:eastAsia="MS Mincho"/>
        </w:rPr>
      </w:pPr>
      <w:r>
        <w:rPr>
          <w:rFonts w:eastAsia="MS Mincho"/>
        </w:rPr>
        <w:t>[s. 71(3) and 72(1)]</w:t>
      </w:r>
    </w:p>
    <w:p>
      <w:pPr>
        <w:pStyle w:val="yFootnoteheading"/>
      </w:pPr>
      <w:r>
        <w:tab/>
        <w:t>[Heading inserted: No. 19 of 2010 s. 18(4).]</w:t>
      </w:r>
    </w:p>
    <w:p>
      <w:pPr>
        <w:pStyle w:val="yHeading3"/>
        <w:rPr>
          <w:rFonts w:eastAsia="MS Mincho"/>
        </w:rPr>
      </w:pPr>
      <w:bookmarkStart w:id="247" w:name="_Toc32242278"/>
      <w:bookmarkStart w:id="248" w:name="_Toc32242501"/>
      <w:r>
        <w:rPr>
          <w:rStyle w:val="CharSDivNo"/>
          <w:rFonts w:eastAsia="MS Mincho"/>
        </w:rPr>
        <w:t>Part A</w:t>
      </w:r>
      <w:r>
        <w:rPr>
          <w:rFonts w:eastAsia="MS Mincho"/>
          <w:b w:val="0"/>
        </w:rPr>
        <w:t> </w:t>
      </w:r>
      <w:r>
        <w:rPr>
          <w:rFonts w:eastAsia="MS Mincho"/>
        </w:rPr>
        <w:t>— </w:t>
      </w:r>
      <w:r>
        <w:rPr>
          <w:rStyle w:val="CharSDivText"/>
          <w:rFonts w:eastAsia="MS Mincho"/>
        </w:rPr>
        <w:t>Administrator</w:t>
      </w:r>
      <w:bookmarkEnd w:id="247"/>
      <w:bookmarkEnd w:id="248"/>
    </w:p>
    <w:p>
      <w:pPr>
        <w:pStyle w:val="yFootnoteheading"/>
      </w:pPr>
      <w:r>
        <w:tab/>
        <w:t>[Heading inserted: No. 19 of 2010 s. 18(4).]</w:t>
      </w:r>
    </w:p>
    <w:p>
      <w:pPr>
        <w:pStyle w:val="ySubsection"/>
        <w:rPr>
          <w:snapToGrid w:val="0"/>
        </w:rPr>
      </w:pPr>
      <w:r>
        <w:rPr>
          <w:snapToGrid w:val="0"/>
        </w:rPr>
        <w:t>1.</w:t>
      </w:r>
      <w:r>
        <w:rPr>
          <w:snapToGrid w:val="0"/>
        </w:rPr>
        <w:tab/>
      </w:r>
      <w:r>
        <w:rPr>
          <w:snapToGrid w:val="0"/>
        </w:rPr>
        <w:tab/>
        <w:t>To take possession of all or any of the property of the represented person.</w:t>
      </w:r>
    </w:p>
    <w:p>
      <w:pPr>
        <w:pStyle w:val="ySubsection"/>
        <w:rPr>
          <w:snapToGrid w:val="0"/>
        </w:rPr>
      </w:pPr>
      <w:r>
        <w:rPr>
          <w:snapToGrid w:val="0"/>
        </w:rPr>
        <w:t>2</w:t>
      </w:r>
      <w:r>
        <w:rPr>
          <w:b/>
          <w:bCs/>
          <w:snapToGrid w:val="0"/>
        </w:rPr>
        <w:t>.</w:t>
      </w: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r>
        <w:rPr>
          <w:snapToGrid w:val="0"/>
        </w:rPr>
        <w:t>3.</w:t>
      </w:r>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r>
        <w:rPr>
          <w:snapToGrid w:val="0"/>
        </w:rPr>
        <w:t>4.</w:t>
      </w:r>
      <w:r>
        <w:rPr>
          <w:snapToGrid w:val="0"/>
        </w:rPr>
        <w:tab/>
      </w:r>
      <w:r>
        <w:rPr>
          <w:snapToGrid w:val="0"/>
        </w:rPr>
        <w:tab/>
        <w:t>To invest any moneys forming part of the estate in any securities in which trustees may by law invest.</w:t>
      </w:r>
    </w:p>
    <w:p>
      <w:pPr>
        <w:pStyle w:val="ySubsection"/>
        <w:rPr>
          <w:snapToGrid w:val="0"/>
        </w:rPr>
      </w:pPr>
      <w:r>
        <w:rPr>
          <w:snapToGrid w:val="0"/>
        </w:rPr>
        <w:t>5.</w:t>
      </w: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6.</w:t>
      </w: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7.</w:t>
      </w:r>
      <w:r>
        <w:rPr>
          <w:snapToGrid w:val="0"/>
        </w:rPr>
        <w:tab/>
      </w:r>
      <w:r>
        <w:rPr>
          <w:snapToGrid w:val="0"/>
        </w:rPr>
        <w:tab/>
        <w:t>To surrender, or concur in surrendering any lease, accept any lease, accept the surrender of any lease or renew any lease.</w:t>
      </w:r>
    </w:p>
    <w:p>
      <w:pPr>
        <w:pStyle w:val="ySubsection"/>
        <w:rPr>
          <w:snapToGrid w:val="0"/>
        </w:rPr>
      </w:pPr>
      <w:r>
        <w:rPr>
          <w:snapToGrid w:val="0"/>
        </w:rPr>
        <w:t>8.</w:t>
      </w:r>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r>
        <w:rPr>
          <w:snapToGrid w:val="0"/>
        </w:rPr>
        <w:t>9.</w:t>
      </w:r>
      <w:r>
        <w:rPr>
          <w:snapToGrid w:val="0"/>
        </w:rPr>
        <w:tab/>
      </w:r>
      <w:r>
        <w:rPr>
          <w:snapToGrid w:val="0"/>
        </w:rPr>
        <w:tab/>
        <w:t>To repair, and effect any insurance necessary for the protection of, any of the property of the represented person.</w:t>
      </w:r>
    </w:p>
    <w:p>
      <w:pPr>
        <w:pStyle w:val="ySubsection"/>
        <w:rPr>
          <w:snapToGrid w:val="0"/>
        </w:rPr>
      </w:pPr>
      <w:r>
        <w:rPr>
          <w:snapToGrid w:val="0"/>
        </w:rPr>
        <w:t>10.</w:t>
      </w:r>
      <w:r>
        <w:rPr>
          <w:snapToGrid w:val="0"/>
        </w:rPr>
        <w:tab/>
      </w:r>
      <w:r>
        <w:rPr>
          <w:snapToGrid w:val="0"/>
        </w:rPr>
        <w:tab/>
        <w:t>To expend money in the improvement of any property of the represented person by way of building or otherwise.</w:t>
      </w:r>
    </w:p>
    <w:p>
      <w:pPr>
        <w:pStyle w:val="ySubsection"/>
        <w:rPr>
          <w:snapToGrid w:val="0"/>
        </w:rPr>
      </w:pPr>
      <w:r>
        <w:rPr>
          <w:snapToGrid w:val="0"/>
        </w:rPr>
        <w:t>11.</w:t>
      </w:r>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r>
        <w:rPr>
          <w:snapToGrid w:val="0"/>
        </w:rPr>
        <w:t>12.</w:t>
      </w: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r>
        <w:rPr>
          <w:snapToGrid w:val="0"/>
        </w:rPr>
        <w:t>13.</w:t>
      </w: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r>
        <w:rPr>
          <w:snapToGrid w:val="0"/>
        </w:rPr>
        <w:t>14.</w:t>
      </w:r>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r>
        <w:rPr>
          <w:snapToGrid w:val="0"/>
        </w:rPr>
        <w:t>15.</w:t>
      </w:r>
      <w:r>
        <w:rPr>
          <w:snapToGrid w:val="0"/>
        </w:rPr>
        <w:tab/>
      </w:r>
      <w:r>
        <w:rPr>
          <w:snapToGrid w:val="0"/>
        </w:rPr>
        <w:tab/>
        <w:t>To bring, and defend, actions, suits and other legal proceedings in the name of the represented person.</w:t>
      </w:r>
    </w:p>
    <w:p>
      <w:pPr>
        <w:pStyle w:val="ySubsection"/>
        <w:rPr>
          <w:snapToGrid w:val="0"/>
        </w:rPr>
      </w:pPr>
      <w:r>
        <w:rPr>
          <w:snapToGrid w:val="0"/>
        </w:rPr>
        <w:t>16.</w:t>
      </w: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r>
        <w:rPr>
          <w:snapToGrid w:val="0"/>
        </w:rPr>
        <w:t>17.</w:t>
      </w:r>
      <w:r>
        <w:rPr>
          <w:snapToGrid w:val="0"/>
        </w:rPr>
        <w:tab/>
      </w:r>
      <w:r>
        <w:rPr>
          <w:snapToGrid w:val="0"/>
        </w:rPr>
        <w:tab/>
        <w:t>To surrender, assign, or otherwise dispose of, with or without consideration, any onerous property of the represented person.</w:t>
      </w:r>
    </w:p>
    <w:p>
      <w:pPr>
        <w:pStyle w:val="ySubsection"/>
        <w:rPr>
          <w:snapToGrid w:val="0"/>
        </w:rPr>
      </w:pPr>
      <w:r>
        <w:rPr>
          <w:snapToGrid w:val="0"/>
        </w:rPr>
        <w:t>18.</w:t>
      </w:r>
      <w:r>
        <w:rPr>
          <w:snapToGrid w:val="0"/>
        </w:rPr>
        <w:tab/>
      </w:r>
      <w:r>
        <w:rPr>
          <w:snapToGrid w:val="0"/>
        </w:rPr>
        <w:tab/>
        <w:t>To sequestrate the estate of the represented person, under the provisions of the bankruptcy laws.</w:t>
      </w:r>
    </w:p>
    <w:p>
      <w:pPr>
        <w:pStyle w:val="ySubsection"/>
        <w:rPr>
          <w:snapToGrid w:val="0"/>
        </w:rPr>
      </w:pPr>
      <w:r>
        <w:rPr>
          <w:snapToGrid w:val="0"/>
        </w:rPr>
        <w:t>19.</w:t>
      </w: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r>
        <w:rPr>
          <w:snapToGrid w:val="0"/>
        </w:rPr>
        <w:t>20.</w:t>
      </w:r>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r>
        <w:rPr>
          <w:snapToGrid w:val="0"/>
        </w:rPr>
        <w:t>22.</w:t>
      </w: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r>
        <w:rPr>
          <w:snapToGrid w:val="0"/>
        </w:rPr>
        <w:t>23.</w:t>
      </w: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No. 3 of 2002 s. 70; No. 55 of 2004 s. 466.]</w:t>
      </w:r>
    </w:p>
    <w:p>
      <w:pPr>
        <w:pStyle w:val="yHeading3"/>
        <w:rPr>
          <w:rFonts w:eastAsia="MS Mincho"/>
        </w:rPr>
      </w:pPr>
      <w:bookmarkStart w:id="249" w:name="_Toc32242279"/>
      <w:bookmarkStart w:id="250" w:name="_Toc32242502"/>
      <w:r>
        <w:rPr>
          <w:rStyle w:val="CharSDivNo"/>
          <w:rFonts w:eastAsia="MS Mincho"/>
        </w:rPr>
        <w:t>Part B</w:t>
      </w:r>
      <w:r>
        <w:rPr>
          <w:rFonts w:eastAsia="MS Mincho"/>
        </w:rPr>
        <w:t> — </w:t>
      </w:r>
      <w:r>
        <w:rPr>
          <w:rStyle w:val="CharSDivText"/>
          <w:rFonts w:eastAsia="MS Mincho"/>
        </w:rPr>
        <w:t>State Administrative Tribunal</w:t>
      </w:r>
      <w:bookmarkEnd w:id="249"/>
      <w:bookmarkEnd w:id="250"/>
    </w:p>
    <w:p>
      <w:pPr>
        <w:pStyle w:val="yFootnoteheading"/>
      </w:pPr>
      <w:r>
        <w:tab/>
        <w:t>[Heading inserted: No. 19 of 2010 s. 18(5).]</w:t>
      </w:r>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No. 55 of 2004 s. 466.]</w:t>
      </w:r>
    </w:p>
    <w:p>
      <w:pPr>
        <w:pStyle w:val="yScheduleHeading"/>
        <w:rPr>
          <w:rFonts w:eastAsia="MS Mincho"/>
        </w:rPr>
      </w:pPr>
      <w:bookmarkStart w:id="251" w:name="_Toc32242280"/>
      <w:bookmarkStart w:id="252" w:name="_Toc32242503"/>
      <w:r>
        <w:rPr>
          <w:rStyle w:val="CharSchNo"/>
          <w:rFonts w:eastAsia="MS Mincho"/>
        </w:rPr>
        <w:t>Schedule 3</w:t>
      </w:r>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bookmarkEnd w:id="251"/>
      <w:bookmarkEnd w:id="252"/>
    </w:p>
    <w:p>
      <w:pPr>
        <w:pStyle w:val="yShoulderClause"/>
        <w:rPr>
          <w:rFonts w:eastAsia="MS Mincho"/>
        </w:rPr>
      </w:pPr>
      <w:r>
        <w:rPr>
          <w:rFonts w:eastAsia="MS Mincho"/>
        </w:rPr>
        <w:t>[s. 104]</w:t>
      </w:r>
    </w:p>
    <w:p>
      <w:pPr>
        <w:pStyle w:val="yFootnoteheading"/>
      </w:pPr>
      <w:r>
        <w:tab/>
        <w:t>[Heading inserted: No. 19 of 2010 s. 18(6).]</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No. 70 of 2000 s. 20(2); No. 55 of 2004 s. 465.]</w:t>
      </w:r>
    </w:p>
    <w:p>
      <w:pPr>
        <w:pStyle w:val="yEdnoteschedule"/>
      </w:pPr>
      <w:r>
        <w:t>[Schedule 4 omitted under the Reprints Act 1984 s. 7(4)(e).]</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yScheduleHeading"/>
        <w:outlineLvl w:val="0"/>
      </w:pPr>
      <w:bookmarkStart w:id="253" w:name="_Toc32242281"/>
      <w:bookmarkStart w:id="254" w:name="_Toc32242504"/>
      <w:r>
        <w:rPr>
          <w:rStyle w:val="CharSchNo"/>
        </w:rPr>
        <w:t>Schedule 5</w:t>
      </w:r>
      <w:r>
        <w:t> — </w:t>
      </w:r>
      <w:r>
        <w:rPr>
          <w:rStyle w:val="CharSchText"/>
        </w:rPr>
        <w:t>Transitional provisions</w:t>
      </w:r>
      <w:bookmarkEnd w:id="253"/>
      <w:bookmarkEnd w:id="254"/>
    </w:p>
    <w:p>
      <w:pPr>
        <w:pStyle w:val="yShoulderClause"/>
      </w:pPr>
      <w:r>
        <w:t>[s. 124]</w:t>
      </w:r>
    </w:p>
    <w:p>
      <w:pPr>
        <w:pStyle w:val="yFootnoteheading"/>
      </w:pPr>
      <w:r>
        <w:tab/>
        <w:t>[Heading amended: No. 19 of 2010 s. 18(7).]</w:t>
      </w:r>
    </w:p>
    <w:p>
      <w:pPr>
        <w:pStyle w:val="yHeading3"/>
      </w:pPr>
      <w:bookmarkStart w:id="255" w:name="_Toc32242282"/>
      <w:bookmarkStart w:id="256" w:name="_Toc32242505"/>
      <w:r>
        <w:rPr>
          <w:rStyle w:val="CharSDivNo"/>
        </w:rPr>
        <w:t>Division 1</w:t>
      </w:r>
      <w:r>
        <w:rPr>
          <w:b w:val="0"/>
        </w:rPr>
        <w:t> — </w:t>
      </w:r>
      <w:r>
        <w:rPr>
          <w:rStyle w:val="CharSDivText"/>
        </w:rPr>
        <w:t>Transitional matters for Guardianship and Administration Act 1990</w:t>
      </w:r>
      <w:bookmarkEnd w:id="255"/>
      <w:bookmarkEnd w:id="256"/>
    </w:p>
    <w:p>
      <w:pPr>
        <w:pStyle w:val="yFootnoteheading"/>
      </w:pPr>
      <w:r>
        <w:tab/>
        <w:t>[Heading inserted: No. 25 of 2014 s. 22.]</w:t>
      </w:r>
    </w:p>
    <w:p>
      <w:pPr>
        <w:pStyle w:val="yHeading5"/>
      </w:pPr>
      <w:bookmarkStart w:id="257" w:name="_Toc32242506"/>
      <w:r>
        <w:rPr>
          <w:rStyle w:val="CharSClsNo"/>
        </w:rPr>
        <w:t>1A</w:t>
      </w:r>
      <w:r>
        <w:t>.</w:t>
      </w:r>
      <w:r>
        <w:tab/>
        <w:t>Application of this Division</w:t>
      </w:r>
      <w:bookmarkEnd w:id="257"/>
    </w:p>
    <w:p>
      <w:pPr>
        <w:pStyle w:val="ySubsection"/>
      </w:pPr>
      <w:r>
        <w:tab/>
      </w:r>
      <w:r>
        <w:tab/>
        <w:t>This Division does not apply in relation to the estate of a person to whom Division 2 applies.</w:t>
      </w:r>
    </w:p>
    <w:p>
      <w:pPr>
        <w:pStyle w:val="yFootnotesection"/>
      </w:pPr>
      <w:r>
        <w:tab/>
        <w:t>[Clause 1A inserted: No. 25 of 2014 s. 23.]</w:t>
      </w:r>
    </w:p>
    <w:p>
      <w:pPr>
        <w:pStyle w:val="yHeading5"/>
        <w:outlineLvl w:val="0"/>
        <w:rPr>
          <w:snapToGrid w:val="0"/>
        </w:rPr>
      </w:pPr>
      <w:bookmarkStart w:id="258" w:name="_Toc32242507"/>
      <w:r>
        <w:rPr>
          <w:rStyle w:val="CharSClsNo"/>
        </w:rPr>
        <w:t>1</w:t>
      </w:r>
      <w:r>
        <w:rPr>
          <w:snapToGrid w:val="0"/>
        </w:rPr>
        <w:t xml:space="preserve">. </w:t>
      </w:r>
      <w:r>
        <w:rPr>
          <w:snapToGrid w:val="0"/>
        </w:rPr>
        <w:tab/>
        <w:t>Existing functions of Public Trustee to continue</w:t>
      </w:r>
      <w:bookmarkEnd w:id="258"/>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No. 69 of 1996 s. 37.]</w:t>
      </w:r>
    </w:p>
    <w:p>
      <w:pPr>
        <w:pStyle w:val="yHeading5"/>
        <w:outlineLvl w:val="0"/>
        <w:rPr>
          <w:snapToGrid w:val="0"/>
        </w:rPr>
      </w:pPr>
      <w:bookmarkStart w:id="259" w:name="_Toc32242508"/>
      <w:r>
        <w:rPr>
          <w:rStyle w:val="CharSClsNo"/>
        </w:rPr>
        <w:t>2</w:t>
      </w:r>
      <w:r>
        <w:rPr>
          <w:snapToGrid w:val="0"/>
        </w:rPr>
        <w:t xml:space="preserve">. </w:t>
      </w:r>
      <w:r>
        <w:rPr>
          <w:snapToGrid w:val="0"/>
        </w:rPr>
        <w:tab/>
        <w:t xml:space="preserve">Existing managers under </w:t>
      </w:r>
      <w:r>
        <w:rPr>
          <w:i/>
          <w:snapToGrid w:val="0"/>
        </w:rPr>
        <w:t>Mental Health Act 1962</w:t>
      </w:r>
      <w:r>
        <w:rPr>
          <w:snapToGrid w:val="0"/>
        </w:rPr>
        <w:t xml:space="preserve"> to continue</w:t>
      </w:r>
      <w:bookmarkEnd w:id="259"/>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spacing w:before="180"/>
        <w:outlineLvl w:val="0"/>
        <w:rPr>
          <w:snapToGrid w:val="0"/>
        </w:rPr>
      </w:pPr>
      <w:bookmarkStart w:id="260" w:name="_Toc32242509"/>
      <w:r>
        <w:rPr>
          <w:rStyle w:val="CharSClsNo"/>
        </w:rPr>
        <w:t>3</w:t>
      </w:r>
      <w:r>
        <w:rPr>
          <w:snapToGrid w:val="0"/>
        </w:rPr>
        <w:t xml:space="preserve">. </w:t>
      </w:r>
      <w:r>
        <w:rPr>
          <w:snapToGrid w:val="0"/>
        </w:rPr>
        <w:tab/>
        <w:t>Application for administration order may be made</w:t>
      </w:r>
      <w:bookmarkEnd w:id="260"/>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No. 55 of 2004 s. 466(1).]</w:t>
      </w:r>
    </w:p>
    <w:p>
      <w:pPr>
        <w:pStyle w:val="yHeading5"/>
        <w:spacing w:before="180"/>
        <w:outlineLvl w:val="0"/>
        <w:rPr>
          <w:snapToGrid w:val="0"/>
        </w:rPr>
      </w:pPr>
      <w:bookmarkStart w:id="261" w:name="_Toc32242510"/>
      <w:r>
        <w:rPr>
          <w:rStyle w:val="CharSClsNo"/>
        </w:rPr>
        <w:t>4</w:t>
      </w:r>
      <w:r>
        <w:rPr>
          <w:snapToGrid w:val="0"/>
        </w:rPr>
        <w:t xml:space="preserve">. </w:t>
      </w:r>
      <w:r>
        <w:rPr>
          <w:snapToGrid w:val="0"/>
        </w:rPr>
        <w:tab/>
        <w:t>References in other laws</w:t>
      </w:r>
      <w:bookmarkEnd w:id="261"/>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outlineLvl w:val="0"/>
        <w:rPr>
          <w:snapToGrid w:val="0"/>
        </w:rPr>
      </w:pPr>
      <w:bookmarkStart w:id="262" w:name="_Toc32242511"/>
      <w:r>
        <w:rPr>
          <w:rStyle w:val="CharSClsNo"/>
        </w:rPr>
        <w:t>5</w:t>
      </w:r>
      <w:r>
        <w:rPr>
          <w:snapToGrid w:val="0"/>
        </w:rPr>
        <w:t xml:space="preserve">. </w:t>
      </w:r>
      <w:r>
        <w:rPr>
          <w:snapToGrid w:val="0"/>
        </w:rPr>
        <w:tab/>
        <w:t xml:space="preserve">Proceedings in progress under </w:t>
      </w:r>
      <w:r>
        <w:rPr>
          <w:i/>
          <w:snapToGrid w:val="0"/>
        </w:rPr>
        <w:t xml:space="preserve">Mental Health Act 1962 </w:t>
      </w:r>
      <w:r>
        <w:rPr>
          <w:iCs/>
          <w:snapToGrid w:val="0"/>
        </w:rPr>
        <w:t>Pt. VI</w:t>
      </w:r>
      <w:bookmarkEnd w:id="262"/>
      <w:r>
        <w:rPr>
          <w:snapToGrid w:val="0"/>
          <w:vertAlign w:val="superscript"/>
        </w:rPr>
        <w:t>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pPr>
        <w:pStyle w:val="yHeading5"/>
        <w:keepNext w:val="0"/>
        <w:keepLines w:val="0"/>
        <w:outlineLvl w:val="0"/>
        <w:rPr>
          <w:snapToGrid w:val="0"/>
        </w:rPr>
      </w:pPr>
      <w:bookmarkStart w:id="263" w:name="_Toc32242512"/>
      <w:r>
        <w:rPr>
          <w:rStyle w:val="CharSClsNo"/>
        </w:rPr>
        <w:t>6</w:t>
      </w:r>
      <w:r>
        <w:rPr>
          <w:snapToGrid w:val="0"/>
        </w:rPr>
        <w:t xml:space="preserve">. </w:t>
      </w:r>
      <w:r>
        <w:rPr>
          <w:snapToGrid w:val="0"/>
        </w:rPr>
        <w:tab/>
        <w:t>Final accounts where administration order made</w:t>
      </w:r>
      <w:bookmarkEnd w:id="263"/>
      <w:r>
        <w:rPr>
          <w:snapToGrid w:val="0"/>
        </w:rPr>
        <w:t xml:space="preserve"> </w:t>
      </w:r>
    </w:p>
    <w:p>
      <w:pPr>
        <w:pStyle w:val="ySubsection"/>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pStyle w:val="yHeading3"/>
        <w:pageBreakBefore/>
        <w:rPr>
          <w:i/>
        </w:rPr>
      </w:pPr>
      <w:bookmarkStart w:id="264" w:name="_Toc32242290"/>
      <w:bookmarkStart w:id="265" w:name="_Toc32242513"/>
      <w:r>
        <w:rPr>
          <w:rStyle w:val="CharSDivNo"/>
        </w:rPr>
        <w:t>Division 2</w:t>
      </w:r>
      <w:r>
        <w:rPr>
          <w:b w:val="0"/>
        </w:rPr>
        <w:t> — </w:t>
      </w:r>
      <w:r>
        <w:rPr>
          <w:rStyle w:val="CharSDivText"/>
        </w:rPr>
        <w:t>Transitional matters in connection with Mental Health Act 2014</w:t>
      </w:r>
      <w:bookmarkEnd w:id="264"/>
      <w:bookmarkEnd w:id="265"/>
    </w:p>
    <w:p>
      <w:pPr>
        <w:pStyle w:val="Footnoteheading"/>
      </w:pPr>
      <w:r>
        <w:tab/>
        <w:t>[Heading inserted: No. 25 of 2014 s. 24.]</w:t>
      </w:r>
    </w:p>
    <w:p>
      <w:pPr>
        <w:pStyle w:val="yHeading5"/>
      </w:pPr>
      <w:bookmarkStart w:id="266" w:name="_Toc32242514"/>
      <w:r>
        <w:rPr>
          <w:rStyle w:val="CharSClsNo"/>
        </w:rPr>
        <w:t>7</w:t>
      </w:r>
      <w:r>
        <w:t>.</w:t>
      </w:r>
      <w:r>
        <w:tab/>
        <w:t>Estates being managed by Public Trustee under Division 1</w:t>
      </w:r>
      <w:bookmarkEnd w:id="266"/>
    </w:p>
    <w:p>
      <w:pPr>
        <w:pStyle w:val="ySubsection"/>
      </w:pPr>
      <w:r>
        <w:tab/>
        <w:t>(1)</w:t>
      </w:r>
      <w:r>
        <w:tab/>
        <w:t xml:space="preserve">Subclause (2) applies to a person whose estate was, immediately before the day on which the </w:t>
      </w:r>
      <w:r>
        <w:rPr>
          <w:i/>
        </w:rPr>
        <w:t>Mental Health Legislation Amendment Act 2014</w:t>
      </w:r>
      <w:r>
        <w:t xml:space="preserve"> section 24 commences (the </w:t>
      </w:r>
      <w:r>
        <w:rPr>
          <w:rStyle w:val="CharDefText"/>
        </w:rPr>
        <w:t>prescribed day</w:t>
      </w:r>
      <w:r>
        <w:t xml:space="preserve">) — </w:t>
      </w:r>
    </w:p>
    <w:p>
      <w:pPr>
        <w:pStyle w:val="yIndenta"/>
      </w:pPr>
      <w:r>
        <w:tab/>
        <w:t>(a)</w:t>
      </w:r>
      <w:r>
        <w:tab/>
        <w:t>under the care and management of the Public Trustee as provided by clause 1; or</w:t>
      </w:r>
    </w:p>
    <w:p>
      <w:pPr>
        <w:pStyle w:val="yIndenta"/>
      </w:pPr>
      <w:r>
        <w:tab/>
        <w:t>(b)</w:t>
      </w:r>
      <w:r>
        <w:tab/>
        <w:t>being managed by the Public Trustee as provided by clause 2 or because of clause 5.</w:t>
      </w:r>
    </w:p>
    <w:p>
      <w:pPr>
        <w:pStyle w:val="ySubsection"/>
      </w:pPr>
      <w:r>
        <w:tab/>
        <w:t>(2)</w:t>
      </w:r>
      <w:r>
        <w:tab/>
        <w:t>The person is taken to be under an administration order appointing the Public Trustee as the administrator of the person’s estate.</w:t>
      </w:r>
    </w:p>
    <w:p>
      <w:pPr>
        <w:pStyle w:val="ySubsection"/>
      </w:pPr>
      <w:r>
        <w:tab/>
        <w:t>(3)</w:t>
      </w:r>
      <w:r>
        <w:tab/>
        <w:t xml:space="preserve">Despite any other provision of this Act or any provision of the </w:t>
      </w:r>
      <w:r>
        <w:rPr>
          <w:i/>
        </w:rPr>
        <w:t>Public Trustee Act 1941</w:t>
      </w:r>
      <w:r>
        <w:t>, the Public Trustee has the same functions, duties and powers in relation to the person’s estate that the Public Trustee had immediately before the prescribed day.</w:t>
      </w:r>
    </w:p>
    <w:p>
      <w:pPr>
        <w:pStyle w:val="ySubsection"/>
      </w:pPr>
      <w:r>
        <w:tab/>
        <w:t>(4)</w:t>
      </w:r>
      <w:r>
        <w:tab/>
        <w:t>An administration order referred to in subclause (2) must be reviewed under section 84 on or within 3 years after the prescribed day.</w:t>
      </w:r>
    </w:p>
    <w:p>
      <w:pPr>
        <w:pStyle w:val="ySubsection"/>
      </w:pPr>
      <w:r>
        <w:tab/>
        <w:t>(5)</w:t>
      </w:r>
      <w:r>
        <w:tab/>
        <w:t>The Public Trustee must, on or as soon as practicable after the prescribed day, give to the Public Advocate and the State Administrative Tribunal a list of the persons to whom subclause (2) applies.</w:t>
      </w:r>
    </w:p>
    <w:p>
      <w:pPr>
        <w:pStyle w:val="yFootnotesection"/>
      </w:pPr>
      <w:r>
        <w:tab/>
        <w:t>[Clause 7 inserted: No. 25 of 2014 s. 24.]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32"/>
          <w:headerReference w:type="default" r:id="rId33"/>
          <w:pgSz w:w="11907" w:h="16840" w:code="9"/>
          <w:pgMar w:top="2381" w:right="2410" w:bottom="3544" w:left="2410" w:header="720" w:footer="3544" w:gutter="0"/>
          <w:cols w:space="720"/>
        </w:sectPr>
      </w:pPr>
    </w:p>
    <w:p>
      <w:pPr>
        <w:pStyle w:val="nHeading2"/>
      </w:pPr>
      <w:bookmarkStart w:id="267" w:name="_Toc32242292"/>
      <w:bookmarkStart w:id="268" w:name="_Toc32242515"/>
      <w:r>
        <w:t>Notes</w:t>
      </w:r>
      <w:bookmarkEnd w:id="267"/>
      <w:bookmarkEnd w:id="268"/>
    </w:p>
    <w:p>
      <w:pPr>
        <w:pStyle w:val="nStatement"/>
      </w:pPr>
      <w:r>
        <w:t xml:space="preserve">This is a compilation of the </w:t>
      </w:r>
      <w:r>
        <w:rPr>
          <w:i/>
          <w:noProof/>
        </w:rPr>
        <w:t>Guardianship and Administration Act 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69" w:name="_Toc32242516"/>
      <w:r>
        <w:t>Compilation table</w:t>
      </w:r>
      <w:bookmarkEnd w:id="269"/>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trPr>
          <w:tblHeader/>
        </w:trPr>
        <w:tc>
          <w:tcPr>
            <w:tcW w:w="2259" w:type="dxa"/>
            <w:tcBorders>
              <w:top w:val="single" w:sz="8" w:space="0" w:color="auto"/>
              <w:bottom w:val="single" w:sz="8" w:space="0" w:color="auto"/>
            </w:tcBorders>
          </w:tcPr>
          <w:p>
            <w:pPr>
              <w:pStyle w:val="nTable"/>
              <w:spacing w:after="40"/>
              <w:rPr>
                <w:b/>
              </w:rPr>
            </w:pPr>
            <w:r>
              <w:rPr>
                <w:b/>
              </w:rPr>
              <w:t>Short title</w:t>
            </w:r>
          </w:p>
        </w:tc>
        <w:tc>
          <w:tcPr>
            <w:tcW w:w="1131" w:type="dxa"/>
            <w:tcBorders>
              <w:top w:val="single" w:sz="8" w:space="0" w:color="auto"/>
              <w:bottom w:val="single" w:sz="8" w:space="0" w:color="auto"/>
            </w:tcBorders>
          </w:tcPr>
          <w:p>
            <w:pPr>
              <w:pStyle w:val="nTable"/>
              <w:spacing w:after="40"/>
              <w:rPr>
                <w:b/>
              </w:rPr>
            </w:pPr>
            <w:r>
              <w:rPr>
                <w:b/>
              </w:rPr>
              <w:t>Number and year</w:t>
            </w:r>
          </w:p>
        </w:tc>
        <w:tc>
          <w:tcPr>
            <w:tcW w:w="1130" w:type="dxa"/>
            <w:tcBorders>
              <w:top w:val="single" w:sz="8" w:space="0" w:color="auto"/>
              <w:bottom w:val="single" w:sz="8" w:space="0" w:color="auto"/>
            </w:tcBorders>
          </w:tcPr>
          <w:p>
            <w:pPr>
              <w:pStyle w:val="nTable"/>
              <w:spacing w:after="40"/>
              <w:rPr>
                <w:b/>
              </w:rPr>
            </w:pPr>
            <w:r>
              <w:rPr>
                <w:b/>
              </w:rPr>
              <w:t>Assent</w:t>
            </w:r>
          </w:p>
        </w:tc>
        <w:tc>
          <w:tcPr>
            <w:tcW w:w="2570"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59" w:type="dxa"/>
          </w:tcPr>
          <w:p>
            <w:pPr>
              <w:pStyle w:val="nTable"/>
              <w:spacing w:after="40"/>
            </w:pPr>
            <w:r>
              <w:rPr>
                <w:i/>
              </w:rPr>
              <w:t>Guardianship and Administration Act 1990</w:t>
            </w:r>
          </w:p>
        </w:tc>
        <w:tc>
          <w:tcPr>
            <w:tcW w:w="1131" w:type="dxa"/>
          </w:tcPr>
          <w:p>
            <w:pPr>
              <w:pStyle w:val="nTable"/>
              <w:spacing w:after="40"/>
            </w:pPr>
            <w:r>
              <w:t>24 of 1990</w:t>
            </w:r>
          </w:p>
        </w:tc>
        <w:tc>
          <w:tcPr>
            <w:tcW w:w="1130" w:type="dxa"/>
          </w:tcPr>
          <w:p>
            <w:pPr>
              <w:pStyle w:val="nTable"/>
              <w:spacing w:after="40"/>
            </w:pPr>
            <w:r>
              <w:t>7 Sep 1990</w:t>
            </w:r>
          </w:p>
        </w:tc>
        <w:tc>
          <w:tcPr>
            <w:tcW w:w="2570" w:type="dxa"/>
            <w:gridSpan w:val="2"/>
          </w:tcPr>
          <w:p>
            <w:pPr>
              <w:pStyle w:val="nTable"/>
              <w:spacing w:after="40"/>
            </w:pPr>
            <w:r>
              <w:rPr>
                <w:color w:val="000000"/>
              </w:rPr>
              <w:t>s. 1 and 2: 7 Sep 1990;</w:t>
            </w:r>
            <w:r>
              <w:rPr>
                <w:color w:val="000000"/>
              </w:rPr>
              <w:br/>
            </w:r>
            <w:r>
              <w:t>Act other than s. 1 and 2, Pt. 4</w:t>
            </w:r>
            <w:r>
              <w:noBreakHyphen/>
              <w:t xml:space="preserve">7, s. 123, 124 and Sch. 2, 4 and 5: 1 Jul 1992 (see s. 2 and </w:t>
            </w:r>
            <w:r>
              <w:rPr>
                <w:i/>
              </w:rPr>
              <w:t>Gazette</w:t>
            </w:r>
            <w:r>
              <w:t xml:space="preserve"> 26 Jun 1992 p. 2649); </w:t>
            </w:r>
            <w:r>
              <w:br/>
              <w:t>Pt. 4</w:t>
            </w:r>
            <w:r>
              <w:noBreakHyphen/>
              <w:t xml:space="preserve">7, s. 123, 124 and Sch. 2, 4 and 5: 20 Oct 1992 (see s. 2 and </w:t>
            </w:r>
            <w:r>
              <w:rPr>
                <w:i/>
              </w:rPr>
              <w:t>Gazette</w:t>
            </w:r>
            <w:r>
              <w:t xml:space="preserve"> 2 Oct 1992 p. 4811)</w:t>
            </w:r>
          </w:p>
        </w:tc>
      </w:tr>
      <w:tr>
        <w:trPr>
          <w:cantSplit/>
        </w:trPr>
        <w:tc>
          <w:tcPr>
            <w:tcW w:w="2259" w:type="dxa"/>
          </w:tcPr>
          <w:p>
            <w:pPr>
              <w:pStyle w:val="nTable"/>
              <w:spacing w:after="40"/>
            </w:pPr>
            <w:r>
              <w:rPr>
                <w:i/>
              </w:rPr>
              <w:t>Guardianship and Administration Amendment Act 1992</w:t>
            </w:r>
          </w:p>
        </w:tc>
        <w:tc>
          <w:tcPr>
            <w:tcW w:w="1131" w:type="dxa"/>
          </w:tcPr>
          <w:p>
            <w:pPr>
              <w:pStyle w:val="nTable"/>
              <w:spacing w:after="40"/>
            </w:pPr>
            <w:r>
              <w:t>16 of 1992</w:t>
            </w:r>
          </w:p>
        </w:tc>
        <w:tc>
          <w:tcPr>
            <w:tcW w:w="1130" w:type="dxa"/>
          </w:tcPr>
          <w:p>
            <w:pPr>
              <w:pStyle w:val="nTable"/>
              <w:spacing w:after="40"/>
            </w:pPr>
            <w:r>
              <w:t>17 Jun 1992</w:t>
            </w:r>
          </w:p>
        </w:tc>
        <w:tc>
          <w:tcPr>
            <w:tcW w:w="2570" w:type="dxa"/>
            <w:gridSpan w:val="2"/>
          </w:tcPr>
          <w:p>
            <w:pPr>
              <w:pStyle w:val="nTable"/>
              <w:spacing w:after="40"/>
            </w:pPr>
            <w:r>
              <w:t>17 Jun 1992 (see s. 2)</w:t>
            </w:r>
          </w:p>
        </w:tc>
      </w:tr>
      <w:tr>
        <w:trPr>
          <w:cantSplit/>
        </w:trPr>
        <w:tc>
          <w:tcPr>
            <w:tcW w:w="2259" w:type="dxa"/>
          </w:tcPr>
          <w:p>
            <w:pPr>
              <w:pStyle w:val="nTable"/>
              <w:spacing w:after="40"/>
            </w:pPr>
            <w:r>
              <w:rPr>
                <w:i/>
              </w:rPr>
              <w:t>Acts Amendment (Public Sector Management) Act 1994</w:t>
            </w:r>
            <w:r>
              <w:t xml:space="preserve"> s. 3(2)</w:t>
            </w:r>
          </w:p>
        </w:tc>
        <w:tc>
          <w:tcPr>
            <w:tcW w:w="1131" w:type="dxa"/>
          </w:tcPr>
          <w:p>
            <w:pPr>
              <w:pStyle w:val="nTable"/>
              <w:spacing w:after="40"/>
            </w:pPr>
            <w:r>
              <w:t>32 of 1994</w:t>
            </w:r>
          </w:p>
        </w:tc>
        <w:tc>
          <w:tcPr>
            <w:tcW w:w="1130" w:type="dxa"/>
          </w:tcPr>
          <w:p>
            <w:pPr>
              <w:pStyle w:val="nTable"/>
              <w:spacing w:after="40"/>
            </w:pPr>
            <w:r>
              <w:t>29 Jun 1994</w:t>
            </w:r>
          </w:p>
        </w:tc>
        <w:tc>
          <w:tcPr>
            <w:tcW w:w="2570" w:type="dxa"/>
            <w:gridSpan w:val="2"/>
          </w:tcPr>
          <w:p>
            <w:pPr>
              <w:pStyle w:val="nTable"/>
              <w:spacing w:after="40"/>
            </w:pPr>
            <w:r>
              <w:t xml:space="preserve">1 Oct 1994 (see s. 2 and </w:t>
            </w:r>
            <w:r>
              <w:rPr>
                <w:i/>
              </w:rPr>
              <w:t>Gazette</w:t>
            </w:r>
            <w:r>
              <w:t xml:space="preserve"> 30 Sep 1994 p. 4948)</w:t>
            </w:r>
          </w:p>
        </w:tc>
      </w:tr>
      <w:tr>
        <w:trPr>
          <w:cantSplit/>
        </w:trPr>
        <w:tc>
          <w:tcPr>
            <w:tcW w:w="2259" w:type="dxa"/>
          </w:tcPr>
          <w:p>
            <w:pPr>
              <w:pStyle w:val="nTable"/>
              <w:spacing w:after="40"/>
            </w:pPr>
            <w:r>
              <w:rPr>
                <w:i/>
              </w:rPr>
              <w:t>Guardianship and Administration Amendment Act 1996</w:t>
            </w:r>
          </w:p>
        </w:tc>
        <w:tc>
          <w:tcPr>
            <w:tcW w:w="1131" w:type="dxa"/>
          </w:tcPr>
          <w:p>
            <w:pPr>
              <w:pStyle w:val="nTable"/>
              <w:spacing w:after="40"/>
            </w:pPr>
            <w:r>
              <w:t>7 of 1996</w:t>
            </w:r>
          </w:p>
        </w:tc>
        <w:tc>
          <w:tcPr>
            <w:tcW w:w="1130" w:type="dxa"/>
          </w:tcPr>
          <w:p>
            <w:pPr>
              <w:pStyle w:val="nTable"/>
              <w:spacing w:after="40"/>
            </w:pPr>
            <w:r>
              <w:t>24 May 1996</w:t>
            </w:r>
          </w:p>
        </w:tc>
        <w:tc>
          <w:tcPr>
            <w:tcW w:w="2570" w:type="dxa"/>
            <w:gridSpan w:val="2"/>
          </w:tcPr>
          <w:p>
            <w:pPr>
              <w:pStyle w:val="nTable"/>
              <w:spacing w:after="40"/>
            </w:pPr>
            <w:r>
              <w:rPr>
                <w:color w:val="000000"/>
              </w:rPr>
              <w:t>s. 1 and 2: 24 May 1996;</w:t>
            </w:r>
            <w:r>
              <w:rPr>
                <w:color w:val="000000"/>
              </w:rPr>
              <w:br/>
              <w:t xml:space="preserve">Act other than s. 1 and 2: </w:t>
            </w:r>
            <w:r>
              <w:t xml:space="preserve">1 Jul 1996 (see s. 2 and </w:t>
            </w:r>
            <w:r>
              <w:rPr>
                <w:i/>
              </w:rPr>
              <w:t>Gazette</w:t>
            </w:r>
            <w:r>
              <w:t xml:space="preserve"> 28 Jun 1996 p. 3014)</w:t>
            </w:r>
          </w:p>
        </w:tc>
      </w:tr>
      <w:tr>
        <w:trPr>
          <w:cantSplit/>
        </w:trPr>
        <w:tc>
          <w:tcPr>
            <w:tcW w:w="2259" w:type="dxa"/>
          </w:tcPr>
          <w:p>
            <w:pPr>
              <w:pStyle w:val="nTable"/>
              <w:spacing w:after="40"/>
            </w:pPr>
            <w:r>
              <w:rPr>
                <w:i/>
              </w:rPr>
              <w:t>Mental Health (Consequential Provisions) Act 1996</w:t>
            </w:r>
            <w:r>
              <w:t xml:space="preserve"> Pt. 8</w:t>
            </w:r>
          </w:p>
        </w:tc>
        <w:tc>
          <w:tcPr>
            <w:tcW w:w="1131" w:type="dxa"/>
          </w:tcPr>
          <w:p>
            <w:pPr>
              <w:pStyle w:val="nTable"/>
              <w:spacing w:after="40"/>
            </w:pPr>
            <w:r>
              <w:t>69 of 1996</w:t>
            </w:r>
          </w:p>
        </w:tc>
        <w:tc>
          <w:tcPr>
            <w:tcW w:w="1130" w:type="dxa"/>
          </w:tcPr>
          <w:p>
            <w:pPr>
              <w:pStyle w:val="nTable"/>
              <w:spacing w:after="40"/>
            </w:pPr>
            <w:r>
              <w:t>13 Nov 1996</w:t>
            </w:r>
          </w:p>
        </w:tc>
        <w:tc>
          <w:tcPr>
            <w:tcW w:w="2570" w:type="dxa"/>
            <w:gridSpan w:val="2"/>
          </w:tcPr>
          <w:p>
            <w:pPr>
              <w:pStyle w:val="nTable"/>
              <w:spacing w:after="40"/>
            </w:pPr>
            <w:r>
              <w:t>13 Nov 1997 (see s. 2)</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21 Apr 1997 </w:t>
            </w:r>
            <w:r>
              <w:br/>
              <w:t xml:space="preserve">(includes amendments listed above except those in the </w:t>
            </w:r>
            <w:r>
              <w:rPr>
                <w:i/>
              </w:rPr>
              <w:t>Mental Health (Consequential Provisions) Act 1996</w:t>
            </w:r>
            <w:r>
              <w:t>)</w:t>
            </w:r>
          </w:p>
        </w:tc>
      </w:tr>
      <w:tr>
        <w:trPr>
          <w:cantSplit/>
        </w:trPr>
        <w:tc>
          <w:tcPr>
            <w:tcW w:w="2259" w:type="dxa"/>
          </w:tcPr>
          <w:p>
            <w:pPr>
              <w:pStyle w:val="nTable"/>
              <w:spacing w:after="40"/>
            </w:pPr>
            <w:r>
              <w:rPr>
                <w:i/>
              </w:rPr>
              <w:t>Acts Amendment and Repeal (Family Court) Act 1997</w:t>
            </w:r>
            <w:r>
              <w:t xml:space="preserve"> s. 32</w:t>
            </w:r>
          </w:p>
        </w:tc>
        <w:tc>
          <w:tcPr>
            <w:tcW w:w="1131" w:type="dxa"/>
          </w:tcPr>
          <w:p>
            <w:pPr>
              <w:pStyle w:val="nTable"/>
              <w:spacing w:after="40"/>
            </w:pPr>
            <w:r>
              <w:t>41 of 1997</w:t>
            </w:r>
          </w:p>
        </w:tc>
        <w:tc>
          <w:tcPr>
            <w:tcW w:w="1130" w:type="dxa"/>
          </w:tcPr>
          <w:p>
            <w:pPr>
              <w:pStyle w:val="nTable"/>
              <w:spacing w:after="40"/>
            </w:pPr>
            <w:r>
              <w:t>9 Dec 1997</w:t>
            </w:r>
          </w:p>
        </w:tc>
        <w:tc>
          <w:tcPr>
            <w:tcW w:w="2570" w:type="dxa"/>
            <w:gridSpan w:val="2"/>
          </w:tcPr>
          <w:p>
            <w:pPr>
              <w:pStyle w:val="nTable"/>
              <w:spacing w:after="40"/>
            </w:pPr>
            <w:r>
              <w:t xml:space="preserve">26 Sep 1998 (see s. 2 and </w:t>
            </w:r>
            <w:r>
              <w:rPr>
                <w:i/>
              </w:rPr>
              <w:t>Gazette</w:t>
            </w:r>
            <w:r>
              <w:t xml:space="preserve"> 25 Sep 1998 p. 5295)</w:t>
            </w:r>
          </w:p>
        </w:tc>
      </w:tr>
      <w:tr>
        <w:trPr>
          <w:cantSplit/>
        </w:trPr>
        <w:tc>
          <w:tcPr>
            <w:tcW w:w="2259" w:type="dxa"/>
          </w:tcPr>
          <w:p>
            <w:pPr>
              <w:pStyle w:val="nTable"/>
              <w:spacing w:after="40"/>
            </w:pPr>
            <w:r>
              <w:rPr>
                <w:i/>
              </w:rPr>
              <w:t>Statutes (Repeals and Minor Amendments) Act 1997</w:t>
            </w:r>
            <w:r>
              <w:t xml:space="preserve"> s. 67</w:t>
            </w:r>
          </w:p>
        </w:tc>
        <w:tc>
          <w:tcPr>
            <w:tcW w:w="1131" w:type="dxa"/>
          </w:tcPr>
          <w:p>
            <w:pPr>
              <w:pStyle w:val="nTable"/>
              <w:spacing w:after="40"/>
            </w:pPr>
            <w:r>
              <w:t>57 of 1997</w:t>
            </w:r>
          </w:p>
        </w:tc>
        <w:tc>
          <w:tcPr>
            <w:tcW w:w="1130" w:type="dxa"/>
          </w:tcPr>
          <w:p>
            <w:pPr>
              <w:pStyle w:val="nTable"/>
              <w:spacing w:after="40"/>
            </w:pPr>
            <w:r>
              <w:t>15 Dec 1997</w:t>
            </w:r>
          </w:p>
        </w:tc>
        <w:tc>
          <w:tcPr>
            <w:tcW w:w="2570" w:type="dxa"/>
            <w:gridSpan w:val="2"/>
          </w:tcPr>
          <w:p>
            <w:pPr>
              <w:pStyle w:val="nTable"/>
              <w:spacing w:after="40"/>
            </w:pPr>
            <w:r>
              <w:t>15 Dec 1997 (see s. 2(1))</w:t>
            </w:r>
          </w:p>
        </w:tc>
      </w:tr>
      <w:tr>
        <w:trPr>
          <w:cantSplit/>
        </w:trPr>
        <w:tc>
          <w:tcPr>
            <w:tcW w:w="2259" w:type="dxa"/>
          </w:tcPr>
          <w:p>
            <w:pPr>
              <w:pStyle w:val="nTable"/>
              <w:spacing w:after="40"/>
            </w:pPr>
            <w:r>
              <w:rPr>
                <w:i/>
              </w:rPr>
              <w:t>Guardianship and Administration Amendment Act 1998</w:t>
            </w:r>
          </w:p>
        </w:tc>
        <w:tc>
          <w:tcPr>
            <w:tcW w:w="1131" w:type="dxa"/>
          </w:tcPr>
          <w:p>
            <w:pPr>
              <w:pStyle w:val="nTable"/>
              <w:spacing w:after="40"/>
            </w:pPr>
            <w:r>
              <w:t>8 of 1998</w:t>
            </w:r>
          </w:p>
        </w:tc>
        <w:tc>
          <w:tcPr>
            <w:tcW w:w="1130" w:type="dxa"/>
          </w:tcPr>
          <w:p>
            <w:pPr>
              <w:pStyle w:val="nTable"/>
              <w:spacing w:after="40"/>
            </w:pPr>
            <w:r>
              <w:t>30 Apr 1998</w:t>
            </w:r>
          </w:p>
        </w:tc>
        <w:tc>
          <w:tcPr>
            <w:tcW w:w="2570" w:type="dxa"/>
            <w:gridSpan w:val="2"/>
          </w:tcPr>
          <w:p>
            <w:pPr>
              <w:pStyle w:val="nTable"/>
              <w:spacing w:after="40"/>
            </w:pPr>
            <w:r>
              <w:t>30 Apr 1998 (see s. 2)</w:t>
            </w:r>
          </w:p>
        </w:tc>
      </w:tr>
      <w:tr>
        <w:trPr>
          <w:cantSplit/>
        </w:trPr>
        <w:tc>
          <w:tcPr>
            <w:tcW w:w="2259" w:type="dxa"/>
          </w:tcPr>
          <w:p>
            <w:pPr>
              <w:pStyle w:val="nTable"/>
              <w:spacing w:after="40"/>
            </w:pPr>
            <w:r>
              <w:rPr>
                <w:i/>
              </w:rPr>
              <w:t>Guardianship and Administration Amendment Act 2000</w:t>
            </w:r>
            <w:r>
              <w:rPr>
                <w:vertAlign w:val="superscript"/>
              </w:rPr>
              <w:t> 8</w:t>
            </w:r>
          </w:p>
        </w:tc>
        <w:tc>
          <w:tcPr>
            <w:tcW w:w="1131" w:type="dxa"/>
          </w:tcPr>
          <w:p>
            <w:pPr>
              <w:pStyle w:val="nTable"/>
              <w:spacing w:after="40"/>
            </w:pPr>
            <w:r>
              <w:t>70 of 2000</w:t>
            </w:r>
          </w:p>
        </w:tc>
        <w:tc>
          <w:tcPr>
            <w:tcW w:w="1130" w:type="dxa"/>
          </w:tcPr>
          <w:p>
            <w:pPr>
              <w:pStyle w:val="nTable"/>
              <w:spacing w:after="40"/>
            </w:pPr>
            <w:r>
              <w:t>4 Dec 2000</w:t>
            </w:r>
          </w:p>
        </w:tc>
        <w:tc>
          <w:tcPr>
            <w:tcW w:w="2570" w:type="dxa"/>
            <w:gridSpan w:val="2"/>
          </w:tcPr>
          <w:p>
            <w:pPr>
              <w:pStyle w:val="nTable"/>
              <w:spacing w:after="40"/>
            </w:pPr>
            <w:r>
              <w:t>4 Dec 2000 (see s. 2)</w:t>
            </w:r>
          </w:p>
        </w:tc>
      </w:tr>
      <w:tr>
        <w:trPr>
          <w:cantSplit/>
        </w:trPr>
        <w:tc>
          <w:tcPr>
            <w:tcW w:w="2259" w:type="dxa"/>
          </w:tcPr>
          <w:p>
            <w:pPr>
              <w:pStyle w:val="nTable"/>
              <w:spacing w:after="40"/>
              <w:rPr>
                <w:i/>
              </w:rPr>
            </w:pPr>
            <w:r>
              <w:rPr>
                <w:i/>
              </w:rPr>
              <w:t xml:space="preserve">Acts Amendment (Lesbian and Gay Law Reform) Act 2002 </w:t>
            </w:r>
            <w:r>
              <w:t>Pt. 10</w:t>
            </w:r>
          </w:p>
        </w:tc>
        <w:tc>
          <w:tcPr>
            <w:tcW w:w="1131" w:type="dxa"/>
          </w:tcPr>
          <w:p>
            <w:pPr>
              <w:pStyle w:val="nTable"/>
              <w:spacing w:after="40"/>
            </w:pPr>
            <w:r>
              <w:t>3 of 2002</w:t>
            </w:r>
          </w:p>
        </w:tc>
        <w:tc>
          <w:tcPr>
            <w:tcW w:w="1130" w:type="dxa"/>
          </w:tcPr>
          <w:p>
            <w:pPr>
              <w:pStyle w:val="nTable"/>
              <w:spacing w:after="40"/>
            </w:pPr>
            <w:r>
              <w:t>17 Apr 2002</w:t>
            </w:r>
          </w:p>
        </w:tc>
        <w:tc>
          <w:tcPr>
            <w:tcW w:w="2570" w:type="dxa"/>
            <w:gridSpan w:val="2"/>
          </w:tcPr>
          <w:p>
            <w:pPr>
              <w:pStyle w:val="nTable"/>
              <w:spacing w:after="40"/>
            </w:pPr>
            <w:r>
              <w:t xml:space="preserve">21 Sep 2002 (see s. 2 and </w:t>
            </w:r>
            <w:r>
              <w:rPr>
                <w:i/>
              </w:rPr>
              <w:t>Gazette</w:t>
            </w:r>
            <w:r>
              <w:t xml:space="preserve"> 20 Sep 2002 p. 4693)</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22 Nov 2002 </w:t>
            </w:r>
            <w:r>
              <w:br/>
              <w:t>(includes amendments listed above)</w:t>
            </w:r>
          </w:p>
        </w:tc>
      </w:tr>
      <w:tr>
        <w:trPr>
          <w:cantSplit/>
        </w:trPr>
        <w:tc>
          <w:tcPr>
            <w:tcW w:w="2259" w:type="dxa"/>
          </w:tcPr>
          <w:p>
            <w:pPr>
              <w:pStyle w:val="nTable"/>
              <w:spacing w:after="40"/>
              <w:rPr>
                <w:i/>
              </w:rPr>
            </w:pPr>
            <w:r>
              <w:rPr>
                <w:i/>
              </w:rPr>
              <w:t xml:space="preserve">Sentencing Legislation Amendment and Repeal Act 2003 </w:t>
            </w:r>
            <w:r>
              <w:t>s. 70</w:t>
            </w:r>
          </w:p>
        </w:tc>
        <w:tc>
          <w:tcPr>
            <w:tcW w:w="1131" w:type="dxa"/>
          </w:tcPr>
          <w:p>
            <w:pPr>
              <w:pStyle w:val="nTable"/>
              <w:spacing w:after="40"/>
            </w:pPr>
            <w:r>
              <w:t>50 of 2003</w:t>
            </w:r>
          </w:p>
        </w:tc>
        <w:tc>
          <w:tcPr>
            <w:tcW w:w="1130" w:type="dxa"/>
          </w:tcPr>
          <w:p>
            <w:pPr>
              <w:pStyle w:val="nTable"/>
              <w:spacing w:after="40"/>
            </w:pPr>
            <w:r>
              <w:t>9 Jul 2003</w:t>
            </w:r>
          </w:p>
        </w:tc>
        <w:tc>
          <w:tcPr>
            <w:tcW w:w="2570" w:type="dxa"/>
            <w:gridSpan w:val="2"/>
          </w:tcPr>
          <w:p>
            <w:pPr>
              <w:pStyle w:val="nTable"/>
              <w:spacing w:after="40"/>
            </w:pPr>
            <w:r>
              <w:t>15</w:t>
            </w:r>
            <w:r>
              <w:rPr>
                <w:i/>
              </w:rPr>
              <w:t> </w:t>
            </w:r>
            <w:r>
              <w:t>May 2004 (see s. 2 and</w:t>
            </w:r>
            <w:r>
              <w:rPr>
                <w:i/>
              </w:rPr>
              <w:t xml:space="preserve"> Gazette </w:t>
            </w:r>
            <w:r>
              <w:t>14 May 2004 p. 1445)</w:t>
            </w:r>
          </w:p>
        </w:tc>
      </w:tr>
      <w:tr>
        <w:trPr>
          <w:cantSplit/>
        </w:trPr>
        <w:tc>
          <w:tcPr>
            <w:tcW w:w="2259" w:type="dxa"/>
          </w:tcPr>
          <w:p>
            <w:pPr>
              <w:pStyle w:val="nTable"/>
              <w:spacing w:after="40"/>
            </w:pPr>
            <w:r>
              <w:rPr>
                <w:i/>
              </w:rPr>
              <w:t>Acts Amendment and Repeal (Courts and Legal Practice) Act 2003</w:t>
            </w:r>
            <w:r>
              <w:t xml:space="preserve"> s. 40</w:t>
            </w:r>
          </w:p>
        </w:tc>
        <w:tc>
          <w:tcPr>
            <w:tcW w:w="1131" w:type="dxa"/>
          </w:tcPr>
          <w:p>
            <w:pPr>
              <w:pStyle w:val="nTable"/>
              <w:spacing w:after="40"/>
            </w:pPr>
            <w:r>
              <w:t>65 of 2003</w:t>
            </w:r>
          </w:p>
        </w:tc>
        <w:tc>
          <w:tcPr>
            <w:tcW w:w="1130" w:type="dxa"/>
          </w:tcPr>
          <w:p>
            <w:pPr>
              <w:pStyle w:val="nTable"/>
              <w:spacing w:after="40"/>
            </w:pPr>
            <w:r>
              <w:t>4 Dec 2003</w:t>
            </w:r>
          </w:p>
        </w:tc>
        <w:tc>
          <w:tcPr>
            <w:tcW w:w="2570" w:type="dxa"/>
            <w:gridSpan w:val="2"/>
          </w:tcPr>
          <w:p>
            <w:pPr>
              <w:pStyle w:val="nTable"/>
              <w:spacing w:after="40"/>
            </w:pPr>
            <w:r>
              <w:t xml:space="preserve">1 Jan 2004 (see s. 2 and </w:t>
            </w:r>
            <w:r>
              <w:rPr>
                <w:i/>
              </w:rPr>
              <w:t>Gazette</w:t>
            </w:r>
            <w:r>
              <w:t xml:space="preserve"> 30 Dec 2003 p. 5722)</w:t>
            </w:r>
          </w:p>
        </w:tc>
      </w:tr>
      <w:tr>
        <w:trPr>
          <w:cantSplit/>
        </w:trPr>
        <w:tc>
          <w:tcPr>
            <w:tcW w:w="2259" w:type="dxa"/>
          </w:tcPr>
          <w:p>
            <w:pPr>
              <w:pStyle w:val="nTable"/>
              <w:spacing w:after="40"/>
              <w:rPr>
                <w:i/>
              </w:rPr>
            </w:pPr>
            <w:r>
              <w:rPr>
                <w:i/>
              </w:rPr>
              <w:t xml:space="preserve">Criminal Code Amendment Act 2004 </w:t>
            </w:r>
            <w:r>
              <w:t>s. 58</w:t>
            </w:r>
          </w:p>
        </w:tc>
        <w:tc>
          <w:tcPr>
            <w:tcW w:w="1131" w:type="dxa"/>
          </w:tcPr>
          <w:p>
            <w:pPr>
              <w:pStyle w:val="nTable"/>
              <w:spacing w:after="40"/>
            </w:pPr>
            <w:r>
              <w:t>4 of 2004</w:t>
            </w:r>
          </w:p>
        </w:tc>
        <w:tc>
          <w:tcPr>
            <w:tcW w:w="1130" w:type="dxa"/>
          </w:tcPr>
          <w:p>
            <w:pPr>
              <w:pStyle w:val="nTable"/>
              <w:spacing w:after="40"/>
            </w:pPr>
            <w:r>
              <w:t>23 Apr 2004</w:t>
            </w:r>
          </w:p>
        </w:tc>
        <w:tc>
          <w:tcPr>
            <w:tcW w:w="2570" w:type="dxa"/>
            <w:gridSpan w:val="2"/>
          </w:tcPr>
          <w:p>
            <w:pPr>
              <w:pStyle w:val="nTable"/>
              <w:spacing w:after="40"/>
            </w:pPr>
            <w:r>
              <w:t>21 May 2004 (see s. 2)</w:t>
            </w:r>
          </w:p>
        </w:tc>
      </w:tr>
      <w:tr>
        <w:trPr>
          <w:cantSplit/>
        </w:trPr>
        <w:tc>
          <w:tcPr>
            <w:tcW w:w="2259" w:type="dxa"/>
          </w:tcPr>
          <w:p>
            <w:pPr>
              <w:pStyle w:val="nTable"/>
              <w:spacing w:after="40"/>
              <w:rPr>
                <w:i/>
              </w:rPr>
            </w:pPr>
            <w:r>
              <w:rPr>
                <w:i/>
                <w:snapToGrid w:val="0"/>
              </w:rPr>
              <w:t>Children and Community Services Act 2004</w:t>
            </w:r>
            <w:r>
              <w:rPr>
                <w:snapToGrid w:val="0"/>
              </w:rPr>
              <w:t xml:space="preserve"> Sch. </w:t>
            </w:r>
            <w:r>
              <w:t>2 cl. 11</w:t>
            </w:r>
          </w:p>
        </w:tc>
        <w:tc>
          <w:tcPr>
            <w:tcW w:w="1131" w:type="dxa"/>
          </w:tcPr>
          <w:p>
            <w:pPr>
              <w:pStyle w:val="nTable"/>
              <w:spacing w:after="40"/>
            </w:pPr>
            <w:r>
              <w:rPr>
                <w:snapToGrid w:val="0"/>
              </w:rPr>
              <w:t>34 of 2004</w:t>
            </w:r>
          </w:p>
        </w:tc>
        <w:tc>
          <w:tcPr>
            <w:tcW w:w="1130" w:type="dxa"/>
          </w:tcPr>
          <w:p>
            <w:pPr>
              <w:pStyle w:val="nTable"/>
              <w:spacing w:after="40"/>
            </w:pPr>
            <w:r>
              <w:t>20 Oct 2004</w:t>
            </w:r>
          </w:p>
        </w:tc>
        <w:tc>
          <w:tcPr>
            <w:tcW w:w="2570" w:type="dxa"/>
            <w:gridSpan w:val="2"/>
          </w:tcPr>
          <w:p>
            <w:pPr>
              <w:pStyle w:val="nTable"/>
              <w:spacing w:after="40"/>
            </w:pPr>
            <w:r>
              <w:t xml:space="preserve">1 Mar 2006 (see s. 2 and </w:t>
            </w:r>
            <w:r>
              <w:rPr>
                <w:i/>
              </w:rPr>
              <w:t>Gazette</w:t>
            </w:r>
            <w:r>
              <w:t xml:space="preserve"> 14 Feb 2006 p. 695)</w:t>
            </w:r>
          </w:p>
        </w:tc>
      </w:tr>
      <w:tr>
        <w:trPr>
          <w:cantSplit/>
        </w:trPr>
        <w:tc>
          <w:tcPr>
            <w:tcW w:w="2259" w:type="dxa"/>
          </w:tcPr>
          <w:p>
            <w:pPr>
              <w:pStyle w:val="nTable"/>
              <w:spacing w:after="40"/>
              <w:rPr>
                <w:i/>
              </w:rPr>
            </w:pPr>
            <w:r>
              <w:rPr>
                <w:i/>
                <w:snapToGrid w:val="0"/>
              </w:rPr>
              <w:t>Acts Amendment (Court of Appeal) Act 2004</w:t>
            </w:r>
            <w:r>
              <w:rPr>
                <w:snapToGrid w:val="0"/>
              </w:rPr>
              <w:t xml:space="preserve"> s. 37</w:t>
            </w:r>
            <w:r>
              <w:t xml:space="preserve"> (Sch. 1 cl. 7)</w:t>
            </w:r>
            <w:r>
              <w:rPr>
                <w:snapToGrid w:val="0"/>
                <w:vertAlign w:val="superscript"/>
              </w:rPr>
              <w:t xml:space="preserve"> 9</w:t>
            </w:r>
          </w:p>
        </w:tc>
        <w:tc>
          <w:tcPr>
            <w:tcW w:w="1131" w:type="dxa"/>
          </w:tcPr>
          <w:p>
            <w:pPr>
              <w:pStyle w:val="nTable"/>
              <w:spacing w:after="40"/>
            </w:pPr>
            <w:r>
              <w:rPr>
                <w:snapToGrid w:val="0"/>
              </w:rPr>
              <w:t>45 of 2004 (as amended by No. 2 of 2008 s. 75(3))</w:t>
            </w:r>
          </w:p>
        </w:tc>
        <w:tc>
          <w:tcPr>
            <w:tcW w:w="1130" w:type="dxa"/>
          </w:tcPr>
          <w:p>
            <w:pPr>
              <w:pStyle w:val="nTable"/>
              <w:spacing w:after="40"/>
            </w:pPr>
            <w:r>
              <w:t>9 Nov 2004</w:t>
            </w:r>
          </w:p>
        </w:tc>
        <w:tc>
          <w:tcPr>
            <w:tcW w:w="2570" w:type="dxa"/>
            <w:gridSpan w:val="2"/>
          </w:tcPr>
          <w:p>
            <w:pPr>
              <w:pStyle w:val="nTable"/>
              <w:spacing w:after="40"/>
            </w:pPr>
            <w:r>
              <w:t>Sch. 1 cl. 7 (the amendments to s. 18(1) and 19(b)):</w:t>
            </w:r>
            <w:r>
              <w:br/>
            </w:r>
            <w:r>
              <w:rPr>
                <w:snapToGrid w:val="0"/>
              </w:rPr>
              <w:t xml:space="preserve">1 Feb 2005 (see s. 2 and </w:t>
            </w:r>
            <w:r>
              <w:rPr>
                <w:i/>
                <w:snapToGrid w:val="0"/>
              </w:rPr>
              <w:t>Gazette</w:t>
            </w:r>
            <w:r>
              <w:rPr>
                <w:snapToGrid w:val="0"/>
              </w:rPr>
              <w:t xml:space="preserve"> 14 Jan 2005 p. 163)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 xml:space="preserve">Courts Legislation Amendment and Repeal Act 2004 </w:t>
            </w:r>
            <w:r>
              <w:rPr>
                <w:snapToGrid w:val="0"/>
              </w:rPr>
              <w:t>s. 141</w:t>
            </w:r>
          </w:p>
        </w:tc>
        <w:tc>
          <w:tcPr>
            <w:tcW w:w="1131" w:type="dxa"/>
            <w:tcBorders>
              <w:top w:val="nil"/>
              <w:bottom w:val="nil"/>
            </w:tcBorders>
          </w:tcPr>
          <w:p>
            <w:pPr>
              <w:pStyle w:val="nTable"/>
              <w:spacing w:after="40"/>
              <w:rPr>
                <w:snapToGrid w:val="0"/>
              </w:rPr>
            </w:pPr>
            <w:r>
              <w:rPr>
                <w:snapToGrid w:val="0"/>
              </w:rPr>
              <w:t>59 of 2004</w:t>
            </w:r>
          </w:p>
        </w:tc>
        <w:tc>
          <w:tcPr>
            <w:tcW w:w="1130" w:type="dxa"/>
            <w:tcBorders>
              <w:top w:val="nil"/>
              <w:bottom w:val="nil"/>
            </w:tcBorders>
          </w:tcPr>
          <w:p>
            <w:pPr>
              <w:pStyle w:val="nTable"/>
              <w:spacing w:after="40"/>
            </w:pPr>
            <w:r>
              <w:rPr>
                <w:snapToGrid w:val="0"/>
              </w:rPr>
              <w:t>23 Nov 2004</w:t>
            </w:r>
          </w:p>
        </w:tc>
        <w:tc>
          <w:tcPr>
            <w:tcW w:w="2570" w:type="dxa"/>
            <w:gridSpan w:val="2"/>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pPr>
            <w:r>
              <w:rPr>
                <w:i/>
              </w:rPr>
              <w:t>State Administrative Tribunal (Conferral of Jurisdiction) Amendment and Repeal Act 2004</w:t>
            </w:r>
            <w:r>
              <w:t xml:space="preserve"> Pt. 2 Div. 56 Subdiv. 1</w:t>
            </w:r>
            <w:r>
              <w:rPr>
                <w:vertAlign w:val="superscript"/>
              </w:rPr>
              <w:t> 10, 11</w:t>
            </w:r>
          </w:p>
        </w:tc>
        <w:tc>
          <w:tcPr>
            <w:tcW w:w="1131" w:type="dxa"/>
            <w:tcBorders>
              <w:top w:val="nil"/>
              <w:bottom w:val="nil"/>
            </w:tcBorders>
          </w:tcPr>
          <w:p>
            <w:pPr>
              <w:pStyle w:val="nTable"/>
              <w:spacing w:after="40"/>
            </w:pPr>
            <w:r>
              <w:t>55 of 2004</w:t>
            </w:r>
          </w:p>
        </w:tc>
        <w:tc>
          <w:tcPr>
            <w:tcW w:w="1130" w:type="dxa"/>
            <w:tcBorders>
              <w:top w:val="nil"/>
              <w:bottom w:val="nil"/>
            </w:tcBorders>
          </w:tcPr>
          <w:p>
            <w:pPr>
              <w:pStyle w:val="nTable"/>
              <w:spacing w:after="40"/>
            </w:pPr>
            <w:r>
              <w:t>24 Nov 2004</w:t>
            </w:r>
          </w:p>
        </w:tc>
        <w:tc>
          <w:tcPr>
            <w:tcW w:w="2570" w:type="dxa"/>
            <w:gridSpan w:val="2"/>
            <w:tcBorders>
              <w:top w:val="nil"/>
              <w:bottom w:val="nil"/>
            </w:tcBorders>
          </w:tcPr>
          <w:p>
            <w:pPr>
              <w:pStyle w:val="nTable"/>
              <w:spacing w:after="40"/>
            </w:pPr>
            <w:r>
              <w:t xml:space="preserve">24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Criminal Procedure and Appeals (Consequential and Other Provisions) Act 2004</w:t>
            </w:r>
            <w:r>
              <w:rPr>
                <w:snapToGrid w:val="0"/>
              </w:rPr>
              <w:t xml:space="preserve"> s. 82</w:t>
            </w:r>
          </w:p>
        </w:tc>
        <w:tc>
          <w:tcPr>
            <w:tcW w:w="1131" w:type="dxa"/>
            <w:tcBorders>
              <w:top w:val="nil"/>
              <w:bottom w:val="nil"/>
            </w:tcBorders>
          </w:tcPr>
          <w:p>
            <w:pPr>
              <w:pStyle w:val="nTable"/>
              <w:spacing w:after="40"/>
            </w:pPr>
            <w:r>
              <w:rPr>
                <w:snapToGrid w:val="0"/>
              </w:rPr>
              <w:t>84 of 2004</w:t>
            </w:r>
          </w:p>
        </w:tc>
        <w:tc>
          <w:tcPr>
            <w:tcW w:w="1130" w:type="dxa"/>
            <w:tcBorders>
              <w:top w:val="nil"/>
              <w:bottom w:val="nil"/>
            </w:tcBorders>
          </w:tcPr>
          <w:p>
            <w:pPr>
              <w:pStyle w:val="nTable"/>
              <w:spacing w:after="40"/>
            </w:pPr>
            <w:r>
              <w:t>16 Dec 2004</w:t>
            </w:r>
          </w:p>
        </w:tc>
        <w:tc>
          <w:tcPr>
            <w:tcW w:w="2570" w:type="dxa"/>
            <w:gridSpan w:val="2"/>
            <w:tcBorders>
              <w:top w:val="nil"/>
              <w:bottom w:val="nil"/>
            </w:tcBorders>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pPr>
              <w:pStyle w:val="nTable"/>
              <w:spacing w:after="40"/>
            </w:pPr>
            <w:r>
              <w:rPr>
                <w:b/>
              </w:rPr>
              <w:t xml:space="preserve">Reprint 3: The </w:t>
            </w:r>
            <w:r>
              <w:rPr>
                <w:b/>
                <w:i/>
              </w:rPr>
              <w:t>Guardianship and Administration Act 1990</w:t>
            </w:r>
            <w:r>
              <w:rPr>
                <w:b/>
              </w:rPr>
              <w:t xml:space="preserve"> as at 1 Apr 2005 </w:t>
            </w:r>
            <w:r>
              <w:br/>
              <w:t xml:space="preserve">(includes amendments listed above except those in </w:t>
            </w:r>
            <w:r>
              <w:rPr>
                <w:snapToGrid w:val="0"/>
              </w:rPr>
              <w:t xml:space="preserve">the </w:t>
            </w:r>
            <w:r>
              <w:rPr>
                <w:i/>
                <w:snapToGrid w:val="0"/>
              </w:rPr>
              <w:t>Children and Community Services Act 2004</w:t>
            </w:r>
            <w:r>
              <w:rPr>
                <w:iCs/>
                <w:snapToGrid w:val="0"/>
              </w:rPr>
              <w:t xml:space="preserve">, </w:t>
            </w:r>
            <w:r>
              <w:t xml:space="preserve">the </w:t>
            </w:r>
            <w:r>
              <w:rPr>
                <w:i/>
                <w:snapToGrid w:val="0"/>
              </w:rPr>
              <w:t>Courts Legislation Amendment and Repeal Act 2004</w:t>
            </w:r>
            <w:r>
              <w:rPr>
                <w:snapToGrid w:val="0"/>
              </w:rPr>
              <w:t xml:space="preserve"> and the </w:t>
            </w:r>
            <w:r>
              <w:rPr>
                <w:i/>
                <w:snapToGrid w:val="0"/>
              </w:rPr>
              <w:t>Criminal Procedure and Appeals (Consequential and Other Provisions) Act 2004</w:t>
            </w:r>
            <w:r>
              <w:t>)</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 xml:space="preserve">Family Legislation Amendment Act 2006 </w:t>
            </w:r>
            <w:r>
              <w:rPr>
                <w:snapToGrid w:val="0"/>
              </w:rPr>
              <w:t>Pt. 6 Div. 2</w:t>
            </w:r>
          </w:p>
        </w:tc>
        <w:tc>
          <w:tcPr>
            <w:tcW w:w="1131" w:type="dxa"/>
            <w:tcBorders>
              <w:top w:val="nil"/>
              <w:bottom w:val="nil"/>
            </w:tcBorders>
          </w:tcPr>
          <w:p>
            <w:pPr>
              <w:pStyle w:val="nTable"/>
              <w:spacing w:after="40"/>
            </w:pPr>
            <w:r>
              <w:t>35 of 2006</w:t>
            </w:r>
          </w:p>
        </w:tc>
        <w:tc>
          <w:tcPr>
            <w:tcW w:w="1130" w:type="dxa"/>
            <w:tcBorders>
              <w:top w:val="nil"/>
              <w:bottom w:val="nil"/>
            </w:tcBorders>
          </w:tcPr>
          <w:p>
            <w:pPr>
              <w:pStyle w:val="nTable"/>
              <w:spacing w:after="40"/>
            </w:pPr>
            <w:r>
              <w:t>4 Jul 2006</w:t>
            </w:r>
          </w:p>
        </w:tc>
        <w:tc>
          <w:tcPr>
            <w:tcW w:w="2570" w:type="dxa"/>
            <w:gridSpan w:val="2"/>
            <w:tcBorders>
              <w:top w:val="nil"/>
              <w:bottom w:val="nil"/>
            </w:tcBorders>
          </w:tcPr>
          <w:p>
            <w:pPr>
              <w:pStyle w:val="nTable"/>
              <w:spacing w:after="40"/>
            </w:pPr>
            <w:r>
              <w:rPr>
                <w:snapToGrid w:val="0"/>
              </w:rPr>
              <w:t xml:space="preserve">15 Jul 2006 (see s. 2 and </w:t>
            </w:r>
            <w:r>
              <w:rPr>
                <w:i/>
                <w:iCs/>
                <w:snapToGrid w:val="0"/>
              </w:rPr>
              <w:t>Gazette</w:t>
            </w:r>
            <w:r>
              <w:rPr>
                <w:snapToGrid w:val="0"/>
              </w:rPr>
              <w:t xml:space="preserve"> 14 Jul 2006 p. 2559)</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Criminal Investigation (Consequential Provisions) Act 2006</w:t>
            </w:r>
            <w:r>
              <w:rPr>
                <w:iCs/>
                <w:snapToGrid w:val="0"/>
              </w:rPr>
              <w:t xml:space="preserve"> s. 73</w:t>
            </w:r>
          </w:p>
        </w:tc>
        <w:tc>
          <w:tcPr>
            <w:tcW w:w="1131" w:type="dxa"/>
            <w:tcBorders>
              <w:top w:val="nil"/>
              <w:bottom w:val="nil"/>
            </w:tcBorders>
          </w:tcPr>
          <w:p>
            <w:pPr>
              <w:pStyle w:val="nTable"/>
              <w:spacing w:after="40"/>
            </w:pPr>
            <w:r>
              <w:rPr>
                <w:snapToGrid w:val="0"/>
              </w:rPr>
              <w:t>59 of 2006</w:t>
            </w:r>
          </w:p>
        </w:tc>
        <w:tc>
          <w:tcPr>
            <w:tcW w:w="1130" w:type="dxa"/>
            <w:tcBorders>
              <w:top w:val="nil"/>
              <w:bottom w:val="nil"/>
            </w:tcBorders>
          </w:tcPr>
          <w:p>
            <w:pPr>
              <w:pStyle w:val="nTable"/>
              <w:spacing w:after="40"/>
            </w:pPr>
            <w:r>
              <w:t>16 Nov 2006</w:t>
            </w:r>
          </w:p>
        </w:tc>
        <w:tc>
          <w:tcPr>
            <w:tcW w:w="2570" w:type="dxa"/>
            <w:gridSpan w:val="2"/>
            <w:tcBorders>
              <w:top w:val="nil"/>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rPr>
              <w:t>Wills Amendment Act 2007</w:t>
            </w:r>
            <w:r>
              <w:rPr>
                <w:iCs/>
              </w:rPr>
              <w:t xml:space="preserve"> s. 25</w:t>
            </w:r>
          </w:p>
        </w:tc>
        <w:tc>
          <w:tcPr>
            <w:tcW w:w="1131" w:type="dxa"/>
            <w:tcBorders>
              <w:top w:val="nil"/>
              <w:bottom w:val="nil"/>
            </w:tcBorders>
          </w:tcPr>
          <w:p>
            <w:pPr>
              <w:pStyle w:val="nTable"/>
              <w:spacing w:after="40"/>
              <w:rPr>
                <w:snapToGrid w:val="0"/>
              </w:rPr>
            </w:pPr>
            <w:r>
              <w:rPr>
                <w:snapToGrid w:val="0"/>
              </w:rPr>
              <w:t>27 of 2007</w:t>
            </w:r>
          </w:p>
        </w:tc>
        <w:tc>
          <w:tcPr>
            <w:tcW w:w="1130" w:type="dxa"/>
            <w:tcBorders>
              <w:top w:val="nil"/>
              <w:bottom w:val="nil"/>
            </w:tcBorders>
          </w:tcPr>
          <w:p>
            <w:pPr>
              <w:pStyle w:val="nTable"/>
              <w:spacing w:after="40"/>
            </w:pPr>
            <w:r>
              <w:rPr>
                <w:snapToGrid w:val="0"/>
              </w:rPr>
              <w:t>26 Oct 2007</w:t>
            </w:r>
          </w:p>
        </w:tc>
        <w:tc>
          <w:tcPr>
            <w:tcW w:w="2570" w:type="dxa"/>
            <w:gridSpan w:val="2"/>
            <w:tcBorders>
              <w:top w:val="nil"/>
              <w:bottom w:val="nil"/>
            </w:tcBorders>
          </w:tcPr>
          <w:p>
            <w:pPr>
              <w:pStyle w:val="nTable"/>
              <w:spacing w:after="40"/>
              <w:rPr>
                <w:snapToGrid w:val="0"/>
              </w:rPr>
            </w:pPr>
            <w:r>
              <w:rPr>
                <w:snapToGrid w:val="0"/>
              </w:rPr>
              <w:t xml:space="preserve">9 Feb 2008 (see s. 2 and </w:t>
            </w:r>
            <w:r>
              <w:rPr>
                <w:i/>
                <w:iCs/>
                <w:snapToGrid w:val="0"/>
              </w:rPr>
              <w:t>Gazette</w:t>
            </w:r>
            <w:r>
              <w:rPr>
                <w:snapToGrid w:val="0"/>
              </w:rPr>
              <w:t xml:space="preserve"> 8 Feb 2008 p. 313)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Acts Amendment (Justice) Act 2008</w:t>
            </w:r>
            <w:r>
              <w:rPr>
                <w:iCs/>
                <w:snapToGrid w:val="0"/>
              </w:rPr>
              <w:t xml:space="preserve"> Pt. 12</w:t>
            </w:r>
          </w:p>
        </w:tc>
        <w:tc>
          <w:tcPr>
            <w:tcW w:w="1131" w:type="dxa"/>
            <w:tcBorders>
              <w:top w:val="nil"/>
              <w:bottom w:val="nil"/>
            </w:tcBorders>
          </w:tcPr>
          <w:p>
            <w:pPr>
              <w:pStyle w:val="nTable"/>
              <w:spacing w:after="40"/>
              <w:rPr>
                <w:snapToGrid w:val="0"/>
              </w:rPr>
            </w:pPr>
            <w:r>
              <w:t>5 of 2008</w:t>
            </w:r>
          </w:p>
        </w:tc>
        <w:tc>
          <w:tcPr>
            <w:tcW w:w="1130" w:type="dxa"/>
            <w:tcBorders>
              <w:top w:val="nil"/>
              <w:bottom w:val="nil"/>
            </w:tcBorders>
          </w:tcPr>
          <w:p>
            <w:pPr>
              <w:pStyle w:val="nTable"/>
              <w:spacing w:after="40"/>
              <w:rPr>
                <w:snapToGrid w:val="0"/>
              </w:rPr>
            </w:pPr>
            <w:r>
              <w:t>31 Mar 2008</w:t>
            </w:r>
          </w:p>
        </w:tc>
        <w:tc>
          <w:tcPr>
            <w:tcW w:w="2570" w:type="dxa"/>
            <w:gridSpan w:val="2"/>
            <w:tcBorders>
              <w:top w:val="nil"/>
              <w:bottom w:val="nil"/>
            </w:tcBorders>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s. 667</w:t>
            </w:r>
          </w:p>
        </w:tc>
        <w:tc>
          <w:tcPr>
            <w:tcW w:w="1131" w:type="dxa"/>
            <w:tcBorders>
              <w:top w:val="nil"/>
              <w:bottom w:val="nil"/>
            </w:tcBorders>
          </w:tcPr>
          <w:p>
            <w:pPr>
              <w:pStyle w:val="nTable"/>
              <w:spacing w:after="40"/>
            </w:pPr>
            <w:r>
              <w:t>21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pPr>
            <w:r>
              <w:rPr>
                <w:i/>
                <w:snapToGrid w:val="0"/>
              </w:rPr>
              <w:t>Medical Practitioners Act 2008</w:t>
            </w:r>
            <w:r>
              <w:t xml:space="preserve"> Sch. 3 cl. 22</w:t>
            </w:r>
          </w:p>
        </w:tc>
        <w:tc>
          <w:tcPr>
            <w:tcW w:w="1131" w:type="dxa"/>
            <w:tcBorders>
              <w:top w:val="nil"/>
              <w:bottom w:val="nil"/>
            </w:tcBorders>
          </w:tcPr>
          <w:p>
            <w:pPr>
              <w:pStyle w:val="nTable"/>
              <w:spacing w:after="40"/>
            </w:pPr>
            <w:r>
              <w:t>22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Acts Amendment (Consent to Medical Treatment) Act 2008</w:t>
            </w:r>
            <w:r>
              <w:rPr>
                <w:iCs/>
                <w:snapToGrid w:val="0"/>
              </w:rPr>
              <w:t xml:space="preserve"> Pt. 2</w:t>
            </w:r>
            <w:r>
              <w:rPr>
                <w:iCs/>
                <w:snapToGrid w:val="0"/>
                <w:vertAlign w:val="superscript"/>
              </w:rPr>
              <w:t xml:space="preserve"> 12</w:t>
            </w:r>
          </w:p>
        </w:tc>
        <w:tc>
          <w:tcPr>
            <w:tcW w:w="1131" w:type="dxa"/>
            <w:tcBorders>
              <w:top w:val="nil"/>
              <w:bottom w:val="nil"/>
            </w:tcBorders>
          </w:tcPr>
          <w:p>
            <w:pPr>
              <w:pStyle w:val="nTable"/>
              <w:spacing w:after="40"/>
            </w:pPr>
            <w:r>
              <w:t>25 of 2008</w:t>
            </w:r>
          </w:p>
        </w:tc>
        <w:tc>
          <w:tcPr>
            <w:tcW w:w="1130" w:type="dxa"/>
            <w:tcBorders>
              <w:top w:val="nil"/>
              <w:bottom w:val="nil"/>
            </w:tcBorders>
          </w:tcPr>
          <w:p>
            <w:pPr>
              <w:pStyle w:val="nTable"/>
              <w:spacing w:after="40"/>
            </w:pPr>
            <w:r>
              <w:t>19 Jun 2008</w:t>
            </w:r>
          </w:p>
        </w:tc>
        <w:tc>
          <w:tcPr>
            <w:tcW w:w="2570" w:type="dxa"/>
            <w:gridSpan w:val="2"/>
            <w:tcBorders>
              <w:top w:val="nil"/>
              <w:bottom w:val="nil"/>
            </w:tcBorders>
          </w:tcPr>
          <w:p>
            <w:pPr>
              <w:pStyle w:val="nTable"/>
              <w:spacing w:after="40"/>
              <w:rPr>
                <w:snapToGrid w:val="0"/>
              </w:rPr>
            </w:pPr>
            <w:r>
              <w:t xml:space="preserve">Pt. 2 other than s. 11 (to the extent that it inserts s. 110RA, 110ZAA, 110ZAB and 110ZAC) and s. 12: 15 Feb 2010 (see s. 2 and </w:t>
            </w:r>
            <w:r>
              <w:rPr>
                <w:i/>
                <w:iCs/>
              </w:rPr>
              <w:t>Gazette</w:t>
            </w:r>
            <w:r>
              <w:t xml:space="preserve"> 8 Jan 2010 p. 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 xml:space="preserve">Surrogacy Act 2008 </w:t>
            </w:r>
            <w:r>
              <w:rPr>
                <w:snapToGrid w:val="0"/>
              </w:rPr>
              <w:t>Pt. 4 Div. 4</w:t>
            </w:r>
          </w:p>
        </w:tc>
        <w:tc>
          <w:tcPr>
            <w:tcW w:w="1131" w:type="dxa"/>
            <w:tcBorders>
              <w:top w:val="nil"/>
              <w:bottom w:val="nil"/>
            </w:tcBorders>
          </w:tcPr>
          <w:p>
            <w:pPr>
              <w:pStyle w:val="nTable"/>
              <w:spacing w:after="40"/>
            </w:pPr>
            <w:r>
              <w:t>47 of 2008</w:t>
            </w:r>
          </w:p>
        </w:tc>
        <w:tc>
          <w:tcPr>
            <w:tcW w:w="1130" w:type="dxa"/>
            <w:tcBorders>
              <w:top w:val="nil"/>
              <w:bottom w:val="nil"/>
            </w:tcBorders>
          </w:tcPr>
          <w:p>
            <w:pPr>
              <w:pStyle w:val="nTable"/>
              <w:spacing w:after="40"/>
            </w:pPr>
            <w:r>
              <w:t>10 Dec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pPr>
              <w:pStyle w:val="nTable"/>
              <w:spacing w:after="40"/>
              <w:rPr>
                <w:snapToGrid w:val="0"/>
              </w:rPr>
            </w:pPr>
            <w:r>
              <w:rPr>
                <w:b/>
              </w:rPr>
              <w:t xml:space="preserve">Reprint 4: The </w:t>
            </w:r>
            <w:r>
              <w:rPr>
                <w:b/>
                <w:i/>
              </w:rPr>
              <w:t>Guardianship and Administration Act 1990</w:t>
            </w:r>
            <w:r>
              <w:rPr>
                <w:b/>
              </w:rPr>
              <w:t xml:space="preserve"> as at 6 Feb 2009 </w:t>
            </w:r>
            <w:r>
              <w:br/>
              <w:t xml:space="preserve">(includes amendments listed above except those in the </w:t>
            </w:r>
            <w:r>
              <w:rPr>
                <w:i/>
                <w:iCs/>
              </w:rPr>
              <w:t>Legal Profession Act 2008</w:t>
            </w:r>
            <w:r>
              <w:t xml:space="preserve">, the </w:t>
            </w:r>
            <w:r>
              <w:rPr>
                <w:i/>
                <w:snapToGrid w:val="0"/>
              </w:rPr>
              <w:t xml:space="preserve">Surrogacy Act 2008 </w:t>
            </w:r>
            <w:r>
              <w:rPr>
                <w:iCs/>
                <w:snapToGrid w:val="0"/>
              </w:rPr>
              <w:t xml:space="preserve">and the </w:t>
            </w:r>
            <w:r>
              <w:rPr>
                <w:i/>
                <w:snapToGrid w:val="0"/>
              </w:rPr>
              <w:t>Acts Amendment (Consent to Medical Treatment) Act 2008</w:t>
            </w:r>
            <w:r>
              <w:t>)</w:t>
            </w:r>
          </w:p>
        </w:tc>
      </w:tr>
      <w:tr>
        <w:trPr>
          <w:cantSplit/>
        </w:trPr>
        <w:tc>
          <w:tcPr>
            <w:tcW w:w="2259" w:type="dxa"/>
          </w:tcPr>
          <w:p>
            <w:pPr>
              <w:pStyle w:val="nTable"/>
              <w:spacing w:after="40"/>
              <w:ind w:right="113"/>
              <w:rPr>
                <w:iCs/>
              </w:rPr>
            </w:pPr>
            <w:r>
              <w:rPr>
                <w:i/>
              </w:rPr>
              <w:t>Statutes (Repeals and Miscellaneous Amendments) Act 2009</w:t>
            </w:r>
            <w:r>
              <w:rPr>
                <w:iCs/>
              </w:rPr>
              <w:t xml:space="preserve"> s. 68</w:t>
            </w:r>
          </w:p>
        </w:tc>
        <w:tc>
          <w:tcPr>
            <w:tcW w:w="1131" w:type="dxa"/>
          </w:tcPr>
          <w:p>
            <w:pPr>
              <w:pStyle w:val="nTable"/>
              <w:spacing w:after="40"/>
            </w:pPr>
            <w:r>
              <w:t xml:space="preserve">8 of 2009 </w:t>
            </w:r>
          </w:p>
        </w:tc>
        <w:tc>
          <w:tcPr>
            <w:tcW w:w="1130" w:type="dxa"/>
          </w:tcPr>
          <w:p>
            <w:pPr>
              <w:pStyle w:val="nTable"/>
              <w:spacing w:after="40"/>
            </w:pPr>
            <w:r>
              <w:t>21 May 2009</w:t>
            </w:r>
          </w:p>
        </w:tc>
        <w:tc>
          <w:tcPr>
            <w:tcW w:w="2570" w:type="dxa"/>
            <w:gridSpan w:val="2"/>
          </w:tcPr>
          <w:p>
            <w:pPr>
              <w:pStyle w:val="nTable"/>
              <w:spacing w:after="40"/>
            </w:pPr>
            <w:r>
              <w:t>22 May 2009 (see s. 2(b))</w:t>
            </w:r>
          </w:p>
        </w:tc>
      </w:tr>
      <w:tr>
        <w:trPr>
          <w:cantSplit/>
        </w:trPr>
        <w:tc>
          <w:tcPr>
            <w:tcW w:w="2259" w:type="dxa"/>
          </w:tcPr>
          <w:p>
            <w:pPr>
              <w:pStyle w:val="nTable"/>
              <w:spacing w:after="40"/>
              <w:rPr>
                <w:iCs/>
                <w:snapToGrid w:val="0"/>
              </w:rPr>
            </w:pPr>
            <w:r>
              <w:rPr>
                <w:i/>
                <w:snapToGrid w:val="0"/>
              </w:rPr>
              <w:t>Acts Amendment (Bankruptcy) Act 2009</w:t>
            </w:r>
            <w:r>
              <w:rPr>
                <w:iCs/>
                <w:snapToGrid w:val="0"/>
              </w:rPr>
              <w:t xml:space="preserve"> s. 38</w:t>
            </w:r>
          </w:p>
        </w:tc>
        <w:tc>
          <w:tcPr>
            <w:tcW w:w="1131" w:type="dxa"/>
          </w:tcPr>
          <w:p>
            <w:pPr>
              <w:pStyle w:val="nTable"/>
              <w:spacing w:after="40"/>
            </w:pPr>
            <w:r>
              <w:t>18 of 2009</w:t>
            </w:r>
          </w:p>
        </w:tc>
        <w:tc>
          <w:tcPr>
            <w:tcW w:w="1130" w:type="dxa"/>
          </w:tcPr>
          <w:p>
            <w:pPr>
              <w:pStyle w:val="nTable"/>
              <w:spacing w:after="40"/>
            </w:pPr>
            <w:r>
              <w:t>16 Sep 2009</w:t>
            </w:r>
          </w:p>
        </w:tc>
        <w:tc>
          <w:tcPr>
            <w:tcW w:w="2570" w:type="dxa"/>
            <w:gridSpan w:val="2"/>
          </w:tcPr>
          <w:p>
            <w:pPr>
              <w:pStyle w:val="nTable"/>
              <w:spacing w:after="40"/>
            </w:pPr>
            <w:r>
              <w:t>17 Sep 2009 (see s. 2(b))</w:t>
            </w:r>
          </w:p>
        </w:tc>
      </w:tr>
      <w:tr>
        <w:trPr>
          <w:cantSplit/>
        </w:trPr>
        <w:tc>
          <w:tcPr>
            <w:tcW w:w="7090" w:type="dxa"/>
            <w:gridSpan w:val="5"/>
          </w:tcPr>
          <w:p>
            <w:pPr>
              <w:pStyle w:val="nTable"/>
              <w:spacing w:after="40"/>
            </w:pPr>
            <w:r>
              <w:rPr>
                <w:b/>
              </w:rPr>
              <w:t xml:space="preserve">Reprint 5: The </w:t>
            </w:r>
            <w:r>
              <w:rPr>
                <w:b/>
                <w:i/>
              </w:rPr>
              <w:t>Guardianship and Administration Act 1990</w:t>
            </w:r>
            <w:r>
              <w:rPr>
                <w:b/>
              </w:rPr>
              <w:t xml:space="preserve"> as at 5 Mar 2010 </w:t>
            </w:r>
            <w:r>
              <w:t>(includes amendments listed above)</w:t>
            </w:r>
          </w:p>
        </w:tc>
      </w:tr>
      <w:tr>
        <w:trPr>
          <w:gridAfter w:val="1"/>
          <w:wAfter w:w="8" w:type="dxa"/>
          <w:cantSplit/>
        </w:trPr>
        <w:tc>
          <w:tcPr>
            <w:tcW w:w="2259" w:type="dxa"/>
          </w:tcPr>
          <w:p>
            <w:pPr>
              <w:pStyle w:val="nTable"/>
              <w:spacing w:after="40"/>
              <w:ind w:right="113"/>
              <w:rPr>
                <w:iCs/>
                <w:snapToGrid w:val="0"/>
              </w:rPr>
            </w:pPr>
            <w:r>
              <w:rPr>
                <w:i/>
                <w:snapToGrid w:val="0"/>
              </w:rPr>
              <w:t>Standardisation of Formatting Act 2010</w:t>
            </w:r>
            <w:r>
              <w:rPr>
                <w:iCs/>
                <w:snapToGrid w:val="0"/>
              </w:rPr>
              <w:t xml:space="preserve"> s. 18 and 51</w:t>
            </w:r>
          </w:p>
        </w:tc>
        <w:tc>
          <w:tcPr>
            <w:tcW w:w="1131" w:type="dxa"/>
          </w:tcPr>
          <w:p>
            <w:pPr>
              <w:pStyle w:val="nTable"/>
              <w:spacing w:after="40"/>
              <w:rPr>
                <w:snapToGrid w:val="0"/>
              </w:rPr>
            </w:pPr>
            <w:r>
              <w:rPr>
                <w:snapToGrid w:val="0"/>
              </w:rPr>
              <w:t>19 of 2010</w:t>
            </w:r>
          </w:p>
        </w:tc>
        <w:tc>
          <w:tcPr>
            <w:tcW w:w="1130" w:type="dxa"/>
          </w:tcPr>
          <w:p>
            <w:pPr>
              <w:pStyle w:val="nTable"/>
              <w:spacing w:after="40"/>
              <w:rPr>
                <w:snapToGrid w:val="0"/>
              </w:rPr>
            </w:pPr>
            <w:r>
              <w:rPr>
                <w:snapToGrid w:val="0"/>
              </w:rPr>
              <w:t>28 Jun 2010</w:t>
            </w:r>
          </w:p>
        </w:tc>
        <w:tc>
          <w:tcPr>
            <w:tcW w:w="256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8" w:type="dxa"/>
          <w:cantSplit/>
        </w:trPr>
        <w:tc>
          <w:tcPr>
            <w:tcW w:w="2259"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1" w:type="dxa"/>
          </w:tcPr>
          <w:p>
            <w:pPr>
              <w:pStyle w:val="nTable"/>
              <w:spacing w:after="40"/>
              <w:rPr>
                <w:snapToGrid w:val="0"/>
              </w:rPr>
            </w:pPr>
            <w:r>
              <w:rPr>
                <w:snapToGrid w:val="0"/>
              </w:rPr>
              <w:t>39 of 2010</w:t>
            </w:r>
          </w:p>
        </w:tc>
        <w:tc>
          <w:tcPr>
            <w:tcW w:w="1130" w:type="dxa"/>
          </w:tcPr>
          <w:p>
            <w:pPr>
              <w:pStyle w:val="nTable"/>
              <w:spacing w:after="40"/>
              <w:rPr>
                <w:snapToGrid w:val="0"/>
              </w:rPr>
            </w:pPr>
            <w:r>
              <w:rPr>
                <w:snapToGrid w:val="0"/>
              </w:rPr>
              <w:t>1 Oct 2010</w:t>
            </w:r>
          </w:p>
        </w:tc>
        <w:tc>
          <w:tcPr>
            <w:tcW w:w="256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8" w:type="dxa"/>
          <w:cantSplit/>
        </w:trPr>
        <w:tc>
          <w:tcPr>
            <w:tcW w:w="2259" w:type="dxa"/>
          </w:tcPr>
          <w:p>
            <w:pPr>
              <w:pStyle w:val="nTable"/>
              <w:spacing w:after="40"/>
              <w:ind w:right="113"/>
              <w:rPr>
                <w:i/>
                <w:iCs/>
                <w:snapToGrid w:val="0"/>
              </w:rPr>
            </w:pPr>
            <w:r>
              <w:rPr>
                <w:i/>
                <w:iCs/>
                <w:snapToGrid w:val="0"/>
              </w:rPr>
              <w:t>Statutes (Repeals and Minor Amendments) Act 2014</w:t>
            </w:r>
            <w:r>
              <w:rPr>
                <w:iCs/>
                <w:snapToGrid w:val="0"/>
              </w:rPr>
              <w:t xml:space="preserve"> s. 12 and 22</w:t>
            </w:r>
          </w:p>
        </w:tc>
        <w:tc>
          <w:tcPr>
            <w:tcW w:w="1131" w:type="dxa"/>
          </w:tcPr>
          <w:p>
            <w:pPr>
              <w:pStyle w:val="nTable"/>
              <w:spacing w:after="40"/>
              <w:rPr>
                <w:snapToGrid w:val="0"/>
              </w:rPr>
            </w:pPr>
            <w:r>
              <w:rPr>
                <w:snapToGrid w:val="0"/>
              </w:rPr>
              <w:t>17 of 2014</w:t>
            </w:r>
          </w:p>
        </w:tc>
        <w:tc>
          <w:tcPr>
            <w:tcW w:w="1130" w:type="dxa"/>
          </w:tcPr>
          <w:p>
            <w:pPr>
              <w:pStyle w:val="nTable"/>
              <w:spacing w:after="40"/>
              <w:rPr>
                <w:snapToGrid w:val="0"/>
              </w:rPr>
            </w:pPr>
            <w:r>
              <w:rPr>
                <w:snapToGrid w:val="0"/>
              </w:rPr>
              <w:t>2 Jul 2014</w:t>
            </w:r>
          </w:p>
        </w:tc>
        <w:tc>
          <w:tcPr>
            <w:tcW w:w="256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gridAfter w:val="1"/>
          <w:wAfter w:w="8" w:type="dxa"/>
          <w:cantSplit/>
        </w:trPr>
        <w:tc>
          <w:tcPr>
            <w:tcW w:w="2259" w:type="dxa"/>
            <w:tcBorders>
              <w:bottom w:val="single" w:sz="4" w:space="0" w:color="auto"/>
            </w:tcBorders>
          </w:tcPr>
          <w:p>
            <w:pPr>
              <w:pStyle w:val="nTable"/>
              <w:spacing w:after="40"/>
              <w:ind w:right="113"/>
              <w:rPr>
                <w:i/>
                <w:iCs/>
                <w:snapToGrid w:val="0"/>
              </w:rPr>
            </w:pPr>
            <w:r>
              <w:rPr>
                <w:i/>
              </w:rPr>
              <w:t>Mental Health Legislation Amendment Act 2014</w:t>
            </w:r>
            <w:r>
              <w:t xml:space="preserve"> Pt. 4 Div. 2</w:t>
            </w:r>
          </w:p>
        </w:tc>
        <w:tc>
          <w:tcPr>
            <w:tcW w:w="1131" w:type="dxa"/>
            <w:tcBorders>
              <w:bottom w:val="single" w:sz="4" w:space="0" w:color="auto"/>
            </w:tcBorders>
          </w:tcPr>
          <w:p>
            <w:pPr>
              <w:pStyle w:val="nTable"/>
              <w:spacing w:after="40"/>
              <w:rPr>
                <w:snapToGrid w:val="0"/>
              </w:rPr>
            </w:pPr>
            <w:r>
              <w:rPr>
                <w:snapToGrid w:val="0"/>
              </w:rPr>
              <w:t>25 of 2014</w:t>
            </w:r>
          </w:p>
        </w:tc>
        <w:tc>
          <w:tcPr>
            <w:tcW w:w="1130" w:type="dxa"/>
            <w:tcBorders>
              <w:bottom w:val="single" w:sz="4" w:space="0" w:color="auto"/>
            </w:tcBorders>
          </w:tcPr>
          <w:p>
            <w:pPr>
              <w:pStyle w:val="nTable"/>
              <w:spacing w:after="40"/>
              <w:rPr>
                <w:snapToGrid w:val="0"/>
              </w:rPr>
            </w:pPr>
            <w:r>
              <w:t>3 Nov 2014</w:t>
            </w:r>
          </w:p>
        </w:tc>
        <w:tc>
          <w:tcPr>
            <w:tcW w:w="2562" w:type="dxa"/>
            <w:tcBorders>
              <w:bottom w:val="single" w:sz="4" w:space="0" w:color="auto"/>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bl>
    <w:p>
      <w:pPr>
        <w:pStyle w:val="nHeading3"/>
      </w:pPr>
      <w:bookmarkStart w:id="270" w:name="_Toc32242517"/>
      <w:r>
        <w:t>Uncommenced provisions table</w:t>
      </w:r>
      <w:bookmarkEnd w:id="27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78"/>
        <w:gridCol w:w="1138"/>
        <w:gridCol w:w="1135"/>
        <w:gridCol w:w="2552"/>
      </w:tblGrid>
      <w:tr>
        <w:trPr>
          <w:cantSplit/>
          <w:tblHeader/>
        </w:trPr>
        <w:tc>
          <w:tcPr>
            <w:tcW w:w="2278" w:type="dxa"/>
            <w:tcBorders>
              <w:top w:val="single" w:sz="8" w:space="0" w:color="auto"/>
              <w:bottom w:val="single" w:sz="8" w:space="0" w:color="auto"/>
            </w:tcBorders>
          </w:tcPr>
          <w:p>
            <w:pPr>
              <w:pStyle w:val="nTable"/>
              <w:spacing w:after="40"/>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78" w:type="dxa"/>
            <w:tcBorders>
              <w:top w:val="single" w:sz="8" w:space="0" w:color="auto"/>
            </w:tcBorders>
          </w:tcPr>
          <w:p>
            <w:pPr>
              <w:pStyle w:val="nTable"/>
              <w:spacing w:after="40"/>
              <w:rPr>
                <w:iCs/>
                <w:snapToGrid w:val="0"/>
                <w:vertAlign w:val="superscript"/>
              </w:rPr>
            </w:pPr>
            <w:r>
              <w:rPr>
                <w:i/>
                <w:snapToGrid w:val="0"/>
              </w:rPr>
              <w:t>Acts Amendment (Consent to Medical Treatment) Act 2008</w:t>
            </w:r>
            <w:r>
              <w:rPr>
                <w:iCs/>
                <w:snapToGrid w:val="0"/>
              </w:rPr>
              <w:t xml:space="preserve"> Pt. 2</w:t>
            </w:r>
          </w:p>
        </w:tc>
        <w:tc>
          <w:tcPr>
            <w:tcW w:w="1138" w:type="dxa"/>
            <w:tcBorders>
              <w:top w:val="single" w:sz="8" w:space="0" w:color="auto"/>
            </w:tcBorders>
          </w:tcPr>
          <w:p>
            <w:pPr>
              <w:pStyle w:val="nTable"/>
              <w:spacing w:after="40"/>
            </w:pPr>
            <w:r>
              <w:t>25 of 2008</w:t>
            </w:r>
          </w:p>
        </w:tc>
        <w:tc>
          <w:tcPr>
            <w:tcW w:w="1135" w:type="dxa"/>
            <w:tcBorders>
              <w:top w:val="single" w:sz="8" w:space="0" w:color="auto"/>
            </w:tcBorders>
          </w:tcPr>
          <w:p>
            <w:pPr>
              <w:pStyle w:val="nTable"/>
              <w:spacing w:after="40"/>
            </w:pPr>
            <w:r>
              <w:t>19 Jun 2008</w:t>
            </w:r>
          </w:p>
        </w:tc>
        <w:tc>
          <w:tcPr>
            <w:tcW w:w="2552" w:type="dxa"/>
            <w:tcBorders>
              <w:top w:val="single" w:sz="8" w:space="0" w:color="auto"/>
            </w:tcBorders>
          </w:tcPr>
          <w:p>
            <w:pPr>
              <w:pStyle w:val="nTable"/>
              <w:spacing w:after="40"/>
            </w:pPr>
            <w:r>
              <w:t>s. 11 (to the extent that it inserts s. 110RA, 110ZAA, 110ZAB and 110ZAC) and s. 12: to be proclaimed (see s. 2)</w:t>
            </w:r>
          </w:p>
        </w:tc>
      </w:tr>
      <w:tr>
        <w:trPr>
          <w:cantSplit/>
        </w:trPr>
        <w:tc>
          <w:tcPr>
            <w:tcW w:w="2278" w:type="dxa"/>
            <w:tcBorders>
              <w:bottom w:val="single" w:sz="4" w:space="0" w:color="auto"/>
            </w:tcBorders>
          </w:tcPr>
          <w:p>
            <w:pPr>
              <w:pStyle w:val="nTable"/>
              <w:spacing w:after="40"/>
              <w:rPr>
                <w:snapToGrid w:val="0"/>
              </w:rPr>
            </w:pPr>
            <w:r>
              <w:rPr>
                <w:i/>
                <w:snapToGrid w:val="0"/>
              </w:rPr>
              <w:t>Voluntary Assisted Dying Act 2019</w:t>
            </w:r>
            <w:r>
              <w:rPr>
                <w:snapToGrid w:val="0"/>
              </w:rPr>
              <w:t xml:space="preserve"> Pt. 12 Div. 3</w:t>
            </w:r>
          </w:p>
        </w:tc>
        <w:tc>
          <w:tcPr>
            <w:tcW w:w="1138" w:type="dxa"/>
            <w:tcBorders>
              <w:bottom w:val="single" w:sz="4" w:space="0" w:color="auto"/>
            </w:tcBorders>
          </w:tcPr>
          <w:p>
            <w:pPr>
              <w:pStyle w:val="nTable"/>
              <w:spacing w:after="40"/>
            </w:pPr>
            <w:r>
              <w:t>27 of 2019</w:t>
            </w:r>
          </w:p>
        </w:tc>
        <w:tc>
          <w:tcPr>
            <w:tcW w:w="1135" w:type="dxa"/>
            <w:tcBorders>
              <w:bottom w:val="single" w:sz="4" w:space="0" w:color="auto"/>
            </w:tcBorders>
          </w:tcPr>
          <w:p>
            <w:pPr>
              <w:pStyle w:val="nTable"/>
              <w:spacing w:after="40"/>
            </w:pPr>
            <w:r>
              <w:t>19 Dec 2019</w:t>
            </w:r>
          </w:p>
        </w:tc>
        <w:tc>
          <w:tcPr>
            <w:tcW w:w="2552" w:type="dxa"/>
            <w:tcBorders>
              <w:bottom w:val="single" w:sz="4" w:space="0" w:color="auto"/>
            </w:tcBorders>
          </w:tcPr>
          <w:p>
            <w:pPr>
              <w:pStyle w:val="nTable"/>
              <w:spacing w:after="40"/>
            </w:pPr>
            <w:r>
              <w:t>To be proclaimed (see s. 2(b))</w:t>
            </w:r>
          </w:p>
        </w:tc>
      </w:tr>
    </w:tbl>
    <w:p>
      <w:pPr>
        <w:pStyle w:val="nHeading3"/>
      </w:pPr>
      <w:bookmarkStart w:id="271" w:name="_Toc32242518"/>
      <w:r>
        <w:t>Other notes</w:t>
      </w:r>
      <w:bookmarkEnd w:id="271"/>
    </w:p>
    <w:p>
      <w:pPr>
        <w:pStyle w:val="nNote"/>
        <w:spacing w:before="160"/>
        <w:rPr>
          <w:iCs/>
          <w:snapToGrid w:val="0"/>
        </w:rPr>
      </w:pPr>
      <w:r>
        <w:rPr>
          <w:snapToGrid w:val="0"/>
          <w:vertAlign w:val="superscript"/>
        </w:rPr>
        <w:t>1, 2, 3</w:t>
      </w:r>
      <w:r>
        <w:rPr>
          <w:snapToGrid w:val="0"/>
          <w:vertAlign w:val="superscript"/>
        </w:rPr>
        <w:tab/>
      </w:r>
      <w:r>
        <w:rPr>
          <w:snapToGrid w:val="0"/>
        </w:rPr>
        <w:t>Footnotes no longer applicable.</w:t>
      </w:r>
    </w:p>
    <w:p>
      <w:pPr>
        <w:pStyle w:val="nNote"/>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pPr>
        <w:pStyle w:val="nNote"/>
        <w:keepLines/>
        <w:rPr>
          <w:snapToGrid w:val="0"/>
        </w:rPr>
      </w:pPr>
      <w:r>
        <w:rPr>
          <w:snapToGrid w:val="0"/>
          <w:vertAlign w:val="superscript"/>
        </w:rPr>
        <w:t>5, 6</w:t>
      </w:r>
      <w:r>
        <w:rPr>
          <w:snapToGrid w:val="0"/>
          <w:vertAlign w:val="superscript"/>
        </w:rPr>
        <w:tab/>
      </w:r>
      <w:r>
        <w:rPr>
          <w:snapToGrid w:val="0"/>
        </w:rPr>
        <w:t>Footnotes no longer applicable.</w:t>
      </w:r>
    </w:p>
    <w:p>
      <w:pPr>
        <w:pStyle w:val="nNote"/>
        <w:spacing w:before="200"/>
      </w:pPr>
      <w:r>
        <w:rPr>
          <w:vertAlign w:val="superscript"/>
        </w:rPr>
        <w:t>7</w:t>
      </w:r>
      <w:r>
        <w:tab/>
        <w:t xml:space="preserve">Repealed by the </w:t>
      </w:r>
      <w:r>
        <w:rPr>
          <w:i/>
        </w:rPr>
        <w:t>Mental Health (Consequential Provisions) Act 1996</w:t>
      </w:r>
      <w:r>
        <w:t>.</w:t>
      </w:r>
    </w:p>
    <w:p>
      <w:pPr>
        <w:pStyle w:val="nNote"/>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BlankOpen"/>
        <w:rPr>
          <w:snapToGrid w:val="0"/>
        </w:rPr>
      </w:pP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BlankClose"/>
      </w:pPr>
    </w:p>
    <w:p>
      <w:pPr>
        <w:pStyle w:val="nNote"/>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Note"/>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pPr>
      <w:r>
        <w:rPr>
          <w:vertAlign w:val="superscript"/>
        </w:rPr>
        <w:t>11</w:t>
      </w:r>
      <w:r>
        <w:tab/>
        <w:t xml:space="preserve">The </w:t>
      </w:r>
      <w:r>
        <w:rPr>
          <w:i/>
        </w:rPr>
        <w:t>State Administrative Tribunal Regulations 2004</w:t>
      </w:r>
      <w:r>
        <w:t xml:space="preserve"> r. 52 reads as follows:</w:t>
      </w:r>
    </w:p>
    <w:p>
      <w:pPr>
        <w:pStyle w:val="BlankOpen"/>
      </w:pP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BlankClose"/>
      </w:pPr>
    </w:p>
    <w:p>
      <w:pPr>
        <w:pStyle w:val="nNote"/>
      </w:pPr>
      <w:r>
        <w:rPr>
          <w:vertAlign w:val="superscript"/>
        </w:rPr>
        <w:t>12</w:t>
      </w:r>
      <w:r>
        <w:tab/>
        <w:t xml:space="preserve">The </w:t>
      </w:r>
      <w:r>
        <w:rPr>
          <w:i/>
          <w:iCs/>
        </w:rPr>
        <w:t xml:space="preserve">Acts Amendment (Consent to Medical Treatment) Act 2008 </w:t>
      </w:r>
      <w:r>
        <w:t>s. 14 reads as follows:</w:t>
      </w:r>
    </w:p>
    <w:p>
      <w:pPr>
        <w:pStyle w:val="BlankOpen"/>
      </w:pPr>
    </w:p>
    <w:p>
      <w:pPr>
        <w:pStyle w:val="nzHeading5"/>
      </w:pPr>
      <w:r>
        <w:t>14.</w:t>
      </w:r>
      <w:r>
        <w:tab/>
        <w:t xml:space="preserve">Review of the </w:t>
      </w:r>
      <w:r>
        <w:rPr>
          <w:i/>
        </w:rPr>
        <w:t>Guardianship and Administration Act 1990</w:t>
      </w:r>
    </w:p>
    <w:p>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BlankClose"/>
      </w:pPr>
    </w:p>
    <w:p/>
    <w:p>
      <w:pPr>
        <w:sectPr>
          <w:headerReference w:type="even" r:id="rId34"/>
          <w:headerReference w:type="default" r:id="rId35"/>
          <w:pgSz w:w="11907" w:h="16840" w:code="9"/>
          <w:pgMar w:top="2376" w:right="2405" w:bottom="3542" w:left="2405" w:header="706" w:footer="3380" w:gutter="0"/>
          <w:cols w:space="720"/>
          <w:noEndnote/>
          <w:docGrid w:linePitch="326"/>
        </w:sectPr>
      </w:pPr>
    </w:p>
    <w:p>
      <w:pPr>
        <w:pStyle w:val="nHeading2"/>
        <w:rPr>
          <w:sz w:val="28"/>
        </w:rPr>
      </w:pPr>
      <w:bookmarkStart w:id="273" w:name="_Toc32242296"/>
      <w:bookmarkStart w:id="274" w:name="_Toc32242519"/>
      <w:r>
        <w:rPr>
          <w:sz w:val="28"/>
        </w:rPr>
        <w:t>Defined terms</w:t>
      </w:r>
      <w:bookmarkEnd w:id="273"/>
      <w:bookmarkEnd w:id="2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114(4)</w:t>
      </w:r>
    </w:p>
    <w:p>
      <w:pPr>
        <w:pStyle w:val="DefinedTerms"/>
      </w:pPr>
      <w:r>
        <w:t>administration order</w:t>
      </w:r>
      <w:r>
        <w:tab/>
        <w:t>3(1)</w:t>
      </w:r>
    </w:p>
    <w:p>
      <w:pPr>
        <w:pStyle w:val="DefinedTerms"/>
      </w:pPr>
      <w:r>
        <w:t>administrator</w:t>
      </w:r>
      <w:r>
        <w:tab/>
        <w:t>3(1)</w:t>
      </w:r>
    </w:p>
    <w:p>
      <w:pPr>
        <w:pStyle w:val="DefinedTerms"/>
      </w:pPr>
      <w:r>
        <w:t>advance health directive</w:t>
      </w:r>
      <w:r>
        <w:tab/>
        <w:t>3(1), 110ZH</w:t>
      </w:r>
    </w:p>
    <w:p>
      <w:pPr>
        <w:pStyle w:val="DefinedTerms"/>
      </w:pPr>
      <w:r>
        <w:t>application</w:t>
      </w:r>
      <w:r>
        <w:tab/>
        <w:t>3(1)</w:t>
      </w:r>
    </w:p>
    <w:p>
      <w:pPr>
        <w:pStyle w:val="DefinedTerms"/>
      </w:pPr>
      <w:r>
        <w:t>appointee</w:t>
      </w:r>
      <w:r>
        <w:tab/>
        <w:t>110E(1)</w:t>
      </w:r>
    </w:p>
    <w:p>
      <w:pPr>
        <w:pStyle w:val="DefinedTerms"/>
      </w:pPr>
      <w:r>
        <w:t>appointor</w:t>
      </w:r>
      <w:r>
        <w:tab/>
        <w:t>110A</w:t>
      </w:r>
    </w:p>
    <w:p>
      <w:pPr>
        <w:pStyle w:val="DefinedTerms"/>
      </w:pPr>
      <w:r>
        <w:t>corporate trustee</w:t>
      </w:r>
      <w:r>
        <w:tab/>
        <w:t>3(1)</w:t>
      </w:r>
    </w:p>
    <w:p>
      <w:pPr>
        <w:pStyle w:val="DefinedTerms"/>
      </w:pPr>
      <w:r>
        <w:t>Court</w:t>
      </w:r>
      <w:r>
        <w:tab/>
        <w:t>18(1)</w:t>
      </w:r>
    </w:p>
    <w:p>
      <w:pPr>
        <w:pStyle w:val="DefinedTerms"/>
      </w:pPr>
      <w:r>
        <w:t>Deputy President</w:t>
      </w:r>
      <w:r>
        <w:tab/>
        <w:t>3(1)</w:t>
      </w:r>
    </w:p>
    <w:p>
      <w:pPr>
        <w:pStyle w:val="DefinedTerms"/>
      </w:pPr>
      <w:r>
        <w:t>designated country</w:t>
      </w:r>
      <w:r>
        <w:tab/>
        <w:t>67(5)</w:t>
      </w:r>
    </w:p>
    <w:p>
      <w:pPr>
        <w:pStyle w:val="DefinedTerms"/>
      </w:pPr>
      <w:r>
        <w:t>determination</w:t>
      </w:r>
      <w:r>
        <w:tab/>
        <w:t>3(1)</w:t>
      </w:r>
    </w:p>
    <w:p>
      <w:pPr>
        <w:pStyle w:val="DefinedTerms"/>
      </w:pPr>
      <w:r>
        <w:t>donee</w:t>
      </w:r>
      <w:r>
        <w:tab/>
        <w:t>102</w:t>
      </w:r>
    </w:p>
    <w:p>
      <w:pPr>
        <w:pStyle w:val="DefinedTerms"/>
      </w:pPr>
      <w:r>
        <w:t>enduring guardian</w:t>
      </w:r>
      <w:r>
        <w:tab/>
        <w:t>3(1)</w:t>
      </w:r>
    </w:p>
    <w:p>
      <w:pPr>
        <w:pStyle w:val="DefinedTerms"/>
      </w:pPr>
      <w:r>
        <w:t>enduring power of attorney</w:t>
      </w:r>
      <w:r>
        <w:tab/>
        <w:t>102</w:t>
      </w:r>
    </w:p>
    <w:p>
      <w:pPr>
        <w:pStyle w:val="DefinedTerms"/>
      </w:pPr>
      <w:r>
        <w:t>enduring power of guardianship</w:t>
      </w:r>
      <w:r>
        <w:tab/>
        <w:t>3(1)</w:t>
      </w:r>
    </w:p>
    <w:p>
      <w:pPr>
        <w:pStyle w:val="DefinedTerms"/>
      </w:pPr>
      <w:r>
        <w:t>executive officer</w:t>
      </w:r>
      <w:r>
        <w:tab/>
        <w:t>3(1)</w:t>
      </w:r>
    </w:p>
    <w:p>
      <w:pPr>
        <w:pStyle w:val="DefinedTerms"/>
      </w:pPr>
      <w:r>
        <w:t>foreign administrator</w:t>
      </w:r>
      <w:r>
        <w:tab/>
        <w:t>83B(4)</w:t>
      </w:r>
    </w:p>
    <w:p>
      <w:pPr>
        <w:pStyle w:val="DefinedTerms"/>
      </w:pPr>
      <w:r>
        <w:t>Full Tribunal</w:t>
      </w:r>
      <w:r>
        <w:tab/>
        <w:t>3(1)</w:t>
      </w:r>
    </w:p>
    <w:p>
      <w:pPr>
        <w:pStyle w:val="DefinedTerms"/>
      </w:pPr>
      <w:r>
        <w:t>guardian</w:t>
      </w:r>
      <w:r>
        <w:tab/>
        <w:t>3(1)</w:t>
      </w:r>
    </w:p>
    <w:p>
      <w:pPr>
        <w:pStyle w:val="DefinedTerms"/>
      </w:pPr>
      <w:r>
        <w:t>guardianship order</w:t>
      </w:r>
      <w:r>
        <w:tab/>
        <w:t>3(1)</w:t>
      </w:r>
    </w:p>
    <w:p>
      <w:pPr>
        <w:pStyle w:val="DefinedTerms"/>
      </w:pPr>
      <w:r>
        <w:t>health professional</w:t>
      </w:r>
      <w:r>
        <w:tab/>
        <w:t>110ZH</w:t>
      </w:r>
    </w:p>
    <w:p>
      <w:pPr>
        <w:pStyle w:val="DefinedTerms"/>
      </w:pPr>
      <w:r>
        <w:t>legal practitioner</w:t>
      </w:r>
      <w:r>
        <w:tab/>
        <w:t>3(1)</w:t>
      </w:r>
    </w:p>
    <w:p>
      <w:pPr>
        <w:pStyle w:val="DefinedTerms"/>
      </w:pPr>
      <w:r>
        <w:t>life sustaining measure</w:t>
      </w:r>
      <w:r>
        <w:tab/>
        <w:t>3(1)</w:t>
      </w:r>
    </w:p>
    <w:p>
      <w:pPr>
        <w:pStyle w:val="DefinedTerms"/>
      </w:pPr>
      <w:r>
        <w:t>member</w:t>
      </w:r>
      <w:r>
        <w:tab/>
        <w:t>3(1)</w:t>
      </w:r>
    </w:p>
    <w:p>
      <w:pPr>
        <w:pStyle w:val="DefinedTerms"/>
      </w:pPr>
      <w:r>
        <w:t>mental disability</w:t>
      </w:r>
      <w:r>
        <w:tab/>
        <w:t>3(1)</w:t>
      </w:r>
    </w:p>
    <w:p>
      <w:pPr>
        <w:pStyle w:val="DefinedTerms"/>
      </w:pPr>
      <w:r>
        <w:t>nearest relative</w:t>
      </w:r>
      <w:r>
        <w:tab/>
        <w:t>3(1)</w:t>
      </w:r>
    </w:p>
    <w:p>
      <w:pPr>
        <w:pStyle w:val="DefinedTerms"/>
      </w:pPr>
      <w:r>
        <w:t>palliative care</w:t>
      </w:r>
      <w:r>
        <w:tab/>
        <w:t>3(1)</w:t>
      </w:r>
    </w:p>
    <w:p>
      <w:pPr>
        <w:pStyle w:val="DefinedTerms"/>
      </w:pPr>
      <w:r>
        <w:t>party</w:t>
      </w:r>
      <w:r>
        <w:tab/>
        <w:t>3(1)</w:t>
      </w:r>
    </w:p>
    <w:p>
      <w:pPr>
        <w:pStyle w:val="DefinedTerms"/>
      </w:pPr>
      <w:r>
        <w:t>patient</w:t>
      </w:r>
      <w:r>
        <w:tab/>
        <w:t>110ZC, 110ZH</w:t>
      </w:r>
    </w:p>
    <w:p>
      <w:pPr>
        <w:pStyle w:val="DefinedTerms"/>
      </w:pPr>
      <w:r>
        <w:t>prescribed day</w:t>
      </w:r>
      <w:r>
        <w:tab/>
        <w:t>Sch. 5 cl. 7(1)</w:t>
      </w:r>
    </w:p>
    <w:p>
      <w:pPr>
        <w:pStyle w:val="DefinedTerms"/>
      </w:pPr>
      <w:r>
        <w:t>President</w:t>
      </w:r>
      <w:r>
        <w:tab/>
        <w:t>3(1)</w:t>
      </w:r>
    </w:p>
    <w:p>
      <w:pPr>
        <w:pStyle w:val="DefinedTerms"/>
      </w:pPr>
      <w:r>
        <w:t>procedure for the sterilisation</w:t>
      </w:r>
      <w:r>
        <w:tab/>
        <w:t>56</w:t>
      </w:r>
    </w:p>
    <w:p>
      <w:pPr>
        <w:pStyle w:val="DefinedTerms"/>
      </w:pPr>
      <w:r>
        <w:t>Public Advocate</w:t>
      </w:r>
      <w:r>
        <w:tab/>
        <w:t>3(1)</w:t>
      </w:r>
    </w:p>
    <w:p>
      <w:pPr>
        <w:pStyle w:val="DefinedTerms"/>
      </w:pPr>
      <w:r>
        <w:t>Public Trustee</w:t>
      </w:r>
      <w:r>
        <w:tab/>
        <w:t>3(1)</w:t>
      </w:r>
    </w:p>
    <w:p>
      <w:pPr>
        <w:pStyle w:val="DefinedTerms"/>
      </w:pPr>
      <w:r>
        <w:t>relevant finding</w:t>
      </w:r>
      <w:r>
        <w:tab/>
        <w:t>67(5)</w:t>
      </w:r>
    </w:p>
    <w:p>
      <w:pPr>
        <w:pStyle w:val="DefinedTerms"/>
      </w:pPr>
      <w:r>
        <w:t>relevant official</w:t>
      </w:r>
      <w:r>
        <w:tab/>
        <w:t>83C(4)</w:t>
      </w:r>
    </w:p>
    <w:p>
      <w:pPr>
        <w:pStyle w:val="DefinedTerms"/>
      </w:pPr>
      <w:r>
        <w:t>represented person</w:t>
      </w:r>
      <w:r>
        <w:tab/>
        <w:t>3(1), 56</w:t>
      </w:r>
    </w:p>
    <w:p>
      <w:pPr>
        <w:pStyle w:val="DefinedTerms"/>
      </w:pPr>
      <w:r>
        <w:t>substitute enduring guardian</w:t>
      </w:r>
      <w:r>
        <w:tab/>
        <w:t>3(1)</w:t>
      </w:r>
    </w:p>
    <w:p>
      <w:pPr>
        <w:pStyle w:val="DefinedTerms"/>
      </w:pPr>
      <w:r>
        <w:t>take treatment action</w:t>
      </w:r>
      <w:r>
        <w:tab/>
        <w:t>110ZK(1)</w:t>
      </w:r>
    </w:p>
    <w:p>
      <w:pPr>
        <w:pStyle w:val="DefinedTerms"/>
      </w:pPr>
      <w:r>
        <w:t>treatment</w:t>
      </w:r>
      <w:r>
        <w:tab/>
        <w:t>3(1)</w:t>
      </w:r>
    </w:p>
    <w:p>
      <w:pPr>
        <w:pStyle w:val="DefinedTerms"/>
      </w:pPr>
      <w:r>
        <w:t>treatment decision</w:t>
      </w:r>
      <w:r>
        <w:tab/>
        <w:t>3(1)</w:t>
      </w:r>
    </w:p>
    <w:p>
      <w:pPr>
        <w:pStyle w:val="DefinedTerms"/>
      </w:pPr>
      <w:r>
        <w:t>urgent treatment</w:t>
      </w:r>
      <w:r>
        <w:tab/>
        <w:t>110ZH</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pPr>
        <w:spacing w:after="40"/>
      </w:pPr>
    </w:p>
    <w:sectPr>
      <w:headerReference w:type="even" r:id="rId38"/>
      <w:headerReference w:type="default" r:id="rId39"/>
      <w:footerReference w:type="even" r:id="rId40"/>
      <w:footerReference w:type="default" r:id="rId41"/>
      <w:headerReference w:type="first" r:id="rId42"/>
      <w:footerReference w:type="first" r:id="rId43"/>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05-k0-01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bookmarkStart w:id="244" w:name="Schedule"/>
    <w:bookmarkEnd w:id="2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as to proceedings of State Administrative Tribunal</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as to proceedings of State Administrative Tribunal</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 for enduring power of attorney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Forms for enduring power of attorney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2" w:name="Compilation"/>
    <w:bookmarkEnd w:id="27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5" w:name="DefinedTerms"/>
    <w:bookmarkEnd w:id="275"/>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6" w:name="Coversheet"/>
    <w:bookmarkEnd w:id="2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lvlText w:val="%1."/>
      <w:lvlJc w:val="left"/>
      <w:pPr>
        <w:tabs>
          <w:tab w:val="num" w:pos="1492"/>
        </w:tabs>
        <w:ind w:left="1492" w:hanging="360"/>
      </w:pPr>
    </w:lvl>
  </w:abstractNum>
  <w:abstractNum w:abstractNumId="1">
    <w:nsid w:val="FFFFFF7D"/>
    <w:multiLevelType w:val="singleLevel"/>
    <w:tmpl w:val="C4847534"/>
    <w:lvl w:ilvl="0">
      <w:start w:val="1"/>
      <w:numFmt w:val="decimal"/>
      <w:lvlText w:val="%1."/>
      <w:lvlJc w:val="left"/>
      <w:pPr>
        <w:tabs>
          <w:tab w:val="num" w:pos="1209"/>
        </w:tabs>
        <w:ind w:left="1209" w:hanging="360"/>
      </w:pPr>
    </w:lvl>
  </w:abstractNum>
  <w:abstractNum w:abstractNumId="2">
    <w:nsid w:val="FFFFFF7E"/>
    <w:multiLevelType w:val="singleLevel"/>
    <w:tmpl w:val="6004D200"/>
    <w:lvl w:ilvl="0">
      <w:start w:val="1"/>
      <w:numFmt w:val="decimal"/>
      <w:lvlText w:val="%1."/>
      <w:lvlJc w:val="left"/>
      <w:pPr>
        <w:tabs>
          <w:tab w:val="num" w:pos="926"/>
        </w:tabs>
        <w:ind w:left="926" w:hanging="360"/>
      </w:pPr>
    </w:lvl>
  </w:abstractNum>
  <w:abstractNum w:abstractNumId="3">
    <w:nsid w:val="FFFFFF7F"/>
    <w:multiLevelType w:val="singleLevel"/>
    <w:tmpl w:val="E3A60446"/>
    <w:lvl w:ilvl="0">
      <w:start w:val="1"/>
      <w:numFmt w:val="decimal"/>
      <w:lvlText w:val="%1."/>
      <w:lvlJc w:val="left"/>
      <w:pPr>
        <w:tabs>
          <w:tab w:val="num" w:pos="643"/>
        </w:tabs>
        <w:ind w:left="643" w:hanging="360"/>
      </w:pPr>
    </w:lvl>
  </w:abstractNum>
  <w:abstractNum w:abstractNumId="4">
    <w:nsid w:val="FFFFFF80"/>
    <w:multiLevelType w:val="singleLevel"/>
    <w:tmpl w:val="093A358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lvlText w:val="%1."/>
      <w:lvlJc w:val="left"/>
      <w:pPr>
        <w:tabs>
          <w:tab w:val="num" w:pos="360"/>
        </w:tabs>
        <w:ind w:left="360" w:hanging="360"/>
      </w:pPr>
    </w:lvl>
  </w:abstractNum>
  <w:abstractNum w:abstractNumId="9">
    <w:nsid w:val="FFFFFF89"/>
    <w:multiLevelType w:val="singleLevel"/>
    <w:tmpl w:val="466649E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9DE8C5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0154324"/>
    <w:docVar w:name="WAFER_20140128102602" w:val="RemoveTocBookmarks,RemoveUnusedBookmarks,RemoveLanguageTags,UsedStyles,ResetPageSize,UpdateArrangement"/>
    <w:docVar w:name="WAFER_20140128102602_GUID" w:val="a795142a-09d6-4add-8b19-0ef529083058"/>
    <w:docVar w:name="WAFER_20140128102614" w:val="RemoveTocBookmarks,RunningHeaders"/>
    <w:docVar w:name="WAFER_20140128102614_GUID" w:val="6256d5a9-2cad-4c1e-941a-7ca7ebfbb313"/>
    <w:docVar w:name="WAFER_20141104172538" w:val="RemoveTocBookmarks,RemoveUnusedBookmarks,RemoveLanguageTags,UsedStyles,ResetPageSize,UpdateArrangement"/>
    <w:docVar w:name="WAFER_20141104172538_GUID" w:val="42e6d4ea-540b-4bc8-a5a3-981bec00fe12"/>
    <w:docVar w:name="WAFER_20150512151304" w:val="ResetPageSize,UpdateArrangement,UpdateNTable"/>
    <w:docVar w:name="WAFER_20150512151304_GUID" w:val="fe43496a-7cd6-4fba-b639-ac60ec529e58"/>
    <w:docVar w:name="WAFER_20151105132048" w:val="UpdateStyles,UsedStyles"/>
    <w:docVar w:name="WAFER_20151105132048_GUID" w:val="3c4bbd94-dc46-4106-b3d1-cc826ce900e5"/>
    <w:docVar w:name="WAFER_20191220111350" w:val="RemoveTocBookmarks,RemoveUnusedBookmarks,RemoveLanguageTags,ResetPageSize,RunningHeaders,UpdateStyles,UsedStyles"/>
    <w:docVar w:name="WAFER_20191220111350_GUID" w:val="e06d3b40-539c-4532-8034-5a530124f5bc"/>
    <w:docVar w:name="WAFER_202002101543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4324_GUID" w:val="e7891727-48de-43c2-9082-133c18223e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Salutation" w:uiPriority="0"/>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List Bullet 4" w:uiPriority="0"/>
    <w:lsdException w:name="List Number 3" w:uiPriority="0"/>
    <w:lsdException w:name="Title" w:semiHidden="0" w:uiPriority="10" w:unhideWhenUsed="0" w:qFormat="1"/>
    <w:lsdException w:name="Default Paragraph Font" w:uiPriority="1"/>
    <w:lsdException w:name="Subtitle" w:semiHidden="0" w:uiPriority="11" w:unhideWhenUsed="0" w:qFormat="1"/>
    <w:lsdException w:name="Salutation" w:uiPriority="0"/>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2.jp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6C25D-D208-4934-808F-920643D1B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145</Pages>
  <Words>34684</Words>
  <Characters>167525</Characters>
  <Application>Microsoft Office Word</Application>
  <DocSecurity>0</DocSecurity>
  <Lines>4527</Lines>
  <Paragraphs>2660</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199549</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1990 - 05-k0-01</dc:title>
  <dc:subject/>
  <dc:creator/>
  <cp:keywords/>
  <dc:description/>
  <cp:lastModifiedBy>svcMRProcess</cp:lastModifiedBy>
  <cp:revision>4</cp:revision>
  <cp:lastPrinted>2014-09-11T02:46:00Z</cp:lastPrinted>
  <dcterms:created xsi:type="dcterms:W3CDTF">2020-02-11T07:32:00Z</dcterms:created>
  <dcterms:modified xsi:type="dcterms:W3CDTF">2020-02-11T07:32:00Z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DocumentType">
    <vt:lpwstr>Act</vt:lpwstr>
  </property>
  <property fmtid="{D5CDD505-2E9C-101B-9397-08002B2CF9AE}" pid="4" name="OwlsUID">
    <vt:i4>336</vt:i4>
  </property>
  <property fmtid="{D5CDD505-2E9C-101B-9397-08002B2CF9AE}" pid="5" name="ReprintNo">
    <vt:lpwstr>5</vt:lpwstr>
  </property>
  <property fmtid="{D5CDD505-2E9C-101B-9397-08002B2CF9AE}" pid="6" name="CommencementDate">
    <vt:lpwstr>20191219</vt:lpwstr>
  </property>
  <property fmtid="{D5CDD505-2E9C-101B-9397-08002B2CF9AE}" pid="7" name="AsAtDate">
    <vt:lpwstr>19 Dec 2019</vt:lpwstr>
  </property>
  <property fmtid="{D5CDD505-2E9C-101B-9397-08002B2CF9AE}" pid="8" name="Suffix">
    <vt:lpwstr>05-k0-01</vt:lpwstr>
  </property>
</Properties>
</file>