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Charitable Collections Act 1946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Charitable Collections Act 1946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_Toc32233354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_Toc32233355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Repeal</w:t>
      </w:r>
      <w:r>
        <w:tab/>
      </w:r>
      <w:r>
        <w:fldChar w:fldCharType="begin"/>
      </w:r>
      <w:r>
        <w:instrText xml:space="preserve"> PAGEREF _Toc32233356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r>
      <w:r>
        <w:rPr>
          <w:i/>
          <w:snapToGrid w:val="0"/>
        </w:rPr>
        <w:t xml:space="preserve">Street Collections (Regulation) Act 1940 </w:t>
      </w:r>
      <w:r>
        <w:rPr>
          <w:iCs/>
          <w:snapToGrid w:val="0"/>
        </w:rPr>
        <w:t>paramount</w:t>
      </w:r>
      <w:r>
        <w:tab/>
      </w:r>
      <w:r>
        <w:fldChar w:fldCharType="begin"/>
      </w:r>
      <w:r>
        <w:instrText xml:space="preserve"> PAGEREF _Toc32233357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Terms used</w:t>
      </w:r>
      <w:r>
        <w:tab/>
      </w:r>
      <w:r>
        <w:fldChar w:fldCharType="begin"/>
      </w:r>
      <w:r>
        <w:instrText xml:space="preserve"> PAGEREF _Toc32233358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Restriction on certain collections</w:t>
      </w:r>
      <w:r>
        <w:tab/>
      </w:r>
      <w:r>
        <w:fldChar w:fldCharType="begin"/>
      </w:r>
      <w:r>
        <w:instrText xml:space="preserve"> PAGEREF _Toc32233359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War funds</w:t>
      </w:r>
      <w:r>
        <w:tab/>
      </w:r>
      <w:r>
        <w:fldChar w:fldCharType="begin"/>
      </w:r>
      <w:r>
        <w:instrText xml:space="preserve"> PAGEREF _Toc32233360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Grant of authority by licensee</w:t>
      </w:r>
      <w:r>
        <w:tab/>
      </w:r>
      <w:r>
        <w:fldChar w:fldCharType="begin"/>
      </w:r>
      <w:r>
        <w:instrText xml:space="preserve"> PAGEREF _Toc32233361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Revocation of authority by society etc.</w:t>
      </w:r>
      <w:r>
        <w:tab/>
      </w:r>
      <w:r>
        <w:fldChar w:fldCharType="begin"/>
      </w:r>
      <w:r>
        <w:instrText xml:space="preserve"> PAGEREF _Toc32233362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Advisory committee</w:t>
      </w:r>
      <w:r>
        <w:tab/>
      </w:r>
      <w:r>
        <w:fldChar w:fldCharType="begin"/>
      </w:r>
      <w:r>
        <w:instrText xml:space="preserve"> PAGEREF _Toc32233363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Application for licence</w:t>
      </w:r>
      <w:r>
        <w:tab/>
      </w:r>
      <w:r>
        <w:fldChar w:fldCharType="begin"/>
      </w:r>
      <w:r>
        <w:instrText xml:space="preserve"> PAGEREF _Toc32233364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Conditions of licence</w:t>
      </w:r>
      <w:r>
        <w:tab/>
      </w:r>
      <w:r>
        <w:fldChar w:fldCharType="begin"/>
      </w:r>
      <w:r>
        <w:instrText xml:space="preserve"> PAGEREF _Toc32233365 \h </w:instrText>
      </w:r>
      <w:r>
        <w:fldChar w:fldCharType="separate"/>
      </w:r>
      <w:r>
        <w:t>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Inquiry as to revocation of licences</w:t>
      </w:r>
      <w:r>
        <w:tab/>
      </w:r>
      <w:r>
        <w:fldChar w:fldCharType="begin"/>
      </w:r>
      <w:r>
        <w:instrText xml:space="preserve"> PAGEREF _Toc32233366 \h </w:instrText>
      </w:r>
      <w:r>
        <w:fldChar w:fldCharType="separate"/>
      </w:r>
      <w:r>
        <w:t>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Licences to be issued without charge</w:t>
      </w:r>
      <w:r>
        <w:tab/>
      </w:r>
      <w:r>
        <w:fldChar w:fldCharType="begin"/>
      </w:r>
      <w:r>
        <w:instrText xml:space="preserve"> PAGEREF _Toc32233367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Statements to be furnished by licensees</w:t>
      </w:r>
      <w:r>
        <w:tab/>
      </w:r>
      <w:r>
        <w:fldChar w:fldCharType="begin"/>
      </w:r>
      <w:r>
        <w:instrText xml:space="preserve"> PAGEREF _Toc32233368 \h </w:instrText>
      </w:r>
      <w:r>
        <w:fldChar w:fldCharType="separate"/>
      </w:r>
      <w:r>
        <w:t>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Transfers of moneys</w:t>
      </w:r>
      <w:r>
        <w:tab/>
      </w:r>
      <w:r>
        <w:fldChar w:fldCharType="begin"/>
      </w:r>
      <w:r>
        <w:instrText xml:space="preserve"> PAGEREF _Toc32233369 \h </w:instrText>
      </w:r>
      <w:r>
        <w:fldChar w:fldCharType="separate"/>
      </w:r>
      <w:r>
        <w:t>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Vesting of funds in Minister</w:t>
      </w:r>
      <w:r>
        <w:tab/>
      </w:r>
      <w:r>
        <w:fldChar w:fldCharType="begin"/>
      </w:r>
      <w:r>
        <w:instrText xml:space="preserve"> PAGEREF _Toc32233370 \h </w:instrText>
      </w:r>
      <w:r>
        <w:fldChar w:fldCharType="separate"/>
      </w:r>
      <w:r>
        <w:t>10</w:t>
      </w:r>
      <w:r>
        <w:fldChar w:fldCharType="end"/>
      </w:r>
    </w:p>
    <w:p>
      <w:pPr>
        <w:pStyle w:val="TOC8"/>
        <w:rPr>
          <w:rFonts w:asciiTheme="minorHAnsi" w:eastAsiaTheme="minorEastAsia" w:hAnsiTheme="minorHAnsi" w:cstheme="minorBidi"/>
          <w:szCs w:val="22"/>
        </w:rPr>
      </w:pPr>
      <w:r>
        <w:t>17A.</w:t>
      </w:r>
      <w:r>
        <w:tab/>
        <w:t>Delegation</w:t>
      </w:r>
      <w:r>
        <w:tab/>
      </w:r>
      <w:r>
        <w:fldChar w:fldCharType="begin"/>
      </w:r>
      <w:r>
        <w:instrText xml:space="preserve"> PAGEREF _Toc32233371 \h </w:instrText>
      </w:r>
      <w:r>
        <w:fldChar w:fldCharType="separate"/>
      </w:r>
      <w:r>
        <w:t>11</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Proceedings for offences</w:t>
      </w:r>
      <w:r>
        <w:tab/>
      </w:r>
      <w:r>
        <w:fldChar w:fldCharType="begin"/>
      </w:r>
      <w:r>
        <w:instrText xml:space="preserve"> PAGEREF _Toc32233372 \h </w:instrText>
      </w:r>
      <w:r>
        <w:fldChar w:fldCharType="separate"/>
      </w:r>
      <w:r>
        <w:t>12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Audit of accounts</w:t>
      </w:r>
      <w:r>
        <w:tab/>
      </w:r>
      <w:r>
        <w:fldChar w:fldCharType="begin"/>
      </w:r>
      <w:r>
        <w:instrText xml:space="preserve"> PAGEREF _Toc32233373 \h </w:instrText>
      </w:r>
      <w:r>
        <w:fldChar w:fldCharType="separate"/>
      </w:r>
      <w:r>
        <w:t>12</w:t>
      </w:r>
      <w:r>
        <w:fldChar w:fldCharType="end"/>
      </w:r>
    </w:p>
    <w:p>
      <w:pPr>
        <w:pStyle w:val="TOC8"/>
        <w:rPr>
          <w:rFonts w:asciiTheme="minorHAnsi" w:eastAsiaTheme="minorEastAsia" w:hAnsiTheme="minorHAnsi" w:cstheme="minorBidi"/>
          <w:szCs w:val="22"/>
        </w:rPr>
      </w:pPr>
      <w:r>
        <w:t>20A.</w:t>
      </w:r>
      <w:r>
        <w:tab/>
        <w:t>Powers of investigation</w:t>
      </w:r>
      <w:r>
        <w:tab/>
      </w:r>
      <w:r>
        <w:fldChar w:fldCharType="begin"/>
      </w:r>
      <w:r>
        <w:instrText xml:space="preserve"> PAGEREF _Toc32233374 \h </w:instrText>
      </w:r>
      <w:r>
        <w:fldChar w:fldCharType="separate"/>
      </w:r>
      <w:r>
        <w:t>13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Regulations</w:t>
      </w:r>
      <w:r>
        <w:tab/>
      </w:r>
      <w:r>
        <w:fldChar w:fldCharType="begin"/>
      </w:r>
      <w:r>
        <w:instrText xml:space="preserve"> PAGEREF _Toc32233375 \h </w:instrText>
      </w:r>
      <w:r>
        <w:fldChar w:fldCharType="separate"/>
      </w:r>
      <w:r>
        <w:t>13</w:t>
      </w:r>
      <w:r>
        <w:fldChar w:fldCharType="end"/>
      </w:r>
    </w:p>
    <w:p>
      <w:pPr>
        <w:pStyle w:val="TOC8"/>
        <w:rPr>
          <w:rFonts w:asciiTheme="minorHAnsi" w:eastAsiaTheme="minorEastAsia" w:hAnsiTheme="minorHAnsi" w:cstheme="minorBidi"/>
          <w:szCs w:val="22"/>
        </w:rPr>
      </w:pPr>
      <w:r>
        <w:t>22.</w:t>
      </w:r>
      <w:r>
        <w:tab/>
        <w:t xml:space="preserve">Transitional provision for </w:t>
      </w:r>
      <w:r>
        <w:rPr>
          <w:i/>
        </w:rPr>
        <w:t>Consumer Protection Legislation Amendment Act 2019</w:t>
      </w:r>
      <w:r>
        <w:tab/>
      </w:r>
      <w:r>
        <w:fldChar w:fldCharType="begin"/>
      </w:r>
      <w:r>
        <w:instrText xml:space="preserve"> PAGEREF _Toc32233376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_Toc32233378 \h </w:instrText>
      </w:r>
      <w:r>
        <w:fldChar w:fldCharType="separate"/>
      </w:r>
      <w:r>
        <w:t>15</w:t>
      </w:r>
      <w:r>
        <w:fldChar w:fldCharType="end"/>
      </w:r>
    </w:p>
    <w:p>
      <w:pPr>
        <w:pStyle w:val="TOC8"/>
        <w:rPr>
          <w:rFonts w:asciiTheme="minorHAnsi" w:eastAsiaTheme="minorEastAsia" w:hAnsiTheme="minorHAnsi" w:cstheme="minorBidi"/>
          <w:szCs w:val="22"/>
        </w:rPr>
      </w:pPr>
      <w:r>
        <w:lastRenderedPageBreak/>
        <w:tab/>
        <w:t>Other notes</w:t>
      </w:r>
      <w:r>
        <w:tab/>
      </w:r>
      <w:r>
        <w:fldChar w:fldCharType="begin"/>
      </w:r>
      <w:r>
        <w:instrText xml:space="preserve"> PAGEREF _Toc32233379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pPr>
      <w:r>
        <w:t xml:space="preserve">Charitable Collections Act 1946 </w:t>
      </w:r>
    </w:p>
    <w:p>
      <w:pPr>
        <w:pStyle w:val="LongTitle"/>
        <w:spacing w:after="480"/>
        <w:rPr>
          <w:snapToGrid w:val="0"/>
        </w:rPr>
      </w:pPr>
      <w:r>
        <w:rPr>
          <w:snapToGrid w:val="0"/>
        </w:rPr>
        <w:t xml:space="preserve">An Act to provide for the regulation and control of the collection of money or goods for charitable purposes, and to repeal the </w:t>
      </w:r>
      <w:r>
        <w:rPr>
          <w:i/>
          <w:snapToGrid w:val="0"/>
        </w:rPr>
        <w:t>War Funds Regulation Act 1939</w:t>
      </w:r>
      <w:r>
        <w:rPr>
          <w:snapToGrid w:val="0"/>
        </w:rPr>
        <w:t>.</w:t>
      </w:r>
    </w:p>
    <w:p>
      <w:pPr>
        <w:pStyle w:val="Heading5"/>
        <w:rPr>
          <w:snapToGrid w:val="0"/>
        </w:rPr>
      </w:pPr>
      <w:bookmarkStart w:id="3" w:name="_Toc32233354"/>
      <w:r>
        <w:rPr>
          <w:rStyle w:val="CharSectno"/>
        </w:rPr>
        <w:t>1</w:t>
      </w:r>
      <w:r>
        <w:rPr>
          <w:snapToGrid w:val="0"/>
        </w:rPr>
        <w:t>.</w:t>
      </w:r>
      <w:r>
        <w:rPr>
          <w:snapToGrid w:val="0"/>
        </w:rPr>
        <w:tab/>
        <w:t>Short title</w:t>
      </w:r>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rPr>
        <w:t>.</w:t>
      </w:r>
    </w:p>
    <w:p>
      <w:pPr>
        <w:pStyle w:val="Heading5"/>
        <w:rPr>
          <w:snapToGrid w:val="0"/>
        </w:rPr>
      </w:pPr>
      <w:bookmarkStart w:id="4" w:name="_Toc32233355"/>
      <w:r>
        <w:rPr>
          <w:rStyle w:val="CharSectno"/>
        </w:rPr>
        <w:t>2</w:t>
      </w:r>
      <w:r>
        <w:rPr>
          <w:snapToGrid w:val="0"/>
        </w:rPr>
        <w:t>.</w:t>
      </w:r>
      <w:r>
        <w:rPr>
          <w:snapToGrid w:val="0"/>
        </w:rPr>
        <w:tab/>
        <w:t>Commencement</w:t>
      </w:r>
      <w:bookmarkEnd w:id="4"/>
      <w:r>
        <w:rPr>
          <w:snapToGrid w:val="0"/>
        </w:rPr>
        <w:t xml:space="preserve"> </w:t>
      </w:r>
    </w:p>
    <w:p>
      <w:pPr>
        <w:pStyle w:val="Subsection"/>
        <w:rPr>
          <w:snapToGrid w:val="0"/>
        </w:rPr>
      </w:pPr>
      <w:r>
        <w:rPr>
          <w:snapToGrid w:val="0"/>
        </w:rPr>
        <w:tab/>
      </w:r>
      <w:r>
        <w:rPr>
          <w:snapToGrid w:val="0"/>
        </w:rPr>
        <w:tab/>
        <w:t>This Act shall come into force upon a day to be fixed by proclamation.</w:t>
      </w:r>
    </w:p>
    <w:p>
      <w:pPr>
        <w:pStyle w:val="Heading5"/>
        <w:rPr>
          <w:snapToGrid w:val="0"/>
        </w:rPr>
      </w:pPr>
      <w:bookmarkStart w:id="5" w:name="_Toc32233356"/>
      <w:r>
        <w:rPr>
          <w:rStyle w:val="CharSectno"/>
        </w:rPr>
        <w:t>3</w:t>
      </w:r>
      <w:r>
        <w:rPr>
          <w:snapToGrid w:val="0"/>
        </w:rPr>
        <w:t>.</w:t>
      </w:r>
      <w:r>
        <w:rPr>
          <w:snapToGrid w:val="0"/>
        </w:rPr>
        <w:tab/>
        <w:t>Repeal</w:t>
      </w:r>
      <w:bookmarkEnd w:id="5"/>
      <w:r>
        <w:rPr>
          <w:snapToGrid w:val="0"/>
        </w:rPr>
        <w:t xml:space="preserve"> </w:t>
      </w:r>
    </w:p>
    <w:p>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pPr>
        <w:pStyle w:val="Heading5"/>
        <w:rPr>
          <w:snapToGrid w:val="0"/>
        </w:rPr>
      </w:pPr>
      <w:bookmarkStart w:id="6" w:name="_Toc32233357"/>
      <w:r>
        <w:rPr>
          <w:rStyle w:val="CharSectno"/>
        </w:rPr>
        <w:t>4</w:t>
      </w:r>
      <w:r>
        <w:rPr>
          <w:snapToGrid w:val="0"/>
        </w:rPr>
        <w:t>.</w:t>
      </w:r>
      <w:r>
        <w:rPr>
          <w:snapToGrid w:val="0"/>
        </w:rPr>
        <w:tab/>
      </w:r>
      <w:r>
        <w:rPr>
          <w:i/>
          <w:snapToGrid w:val="0"/>
        </w:rPr>
        <w:t xml:space="preserve">Street Collections (Regulation) Act 1940 </w:t>
      </w:r>
      <w:r>
        <w:rPr>
          <w:iCs/>
          <w:snapToGrid w:val="0"/>
        </w:rPr>
        <w:t>paramount</w:t>
      </w:r>
      <w:bookmarkEnd w:id="6"/>
    </w:p>
    <w:p>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pPr>
        <w:pStyle w:val="Heading5"/>
        <w:rPr>
          <w:snapToGrid w:val="0"/>
        </w:rPr>
      </w:pPr>
      <w:bookmarkStart w:id="7" w:name="_Toc32233358"/>
      <w:r>
        <w:rPr>
          <w:rStyle w:val="CharSectno"/>
        </w:rPr>
        <w:t>5</w:t>
      </w:r>
      <w:r>
        <w:rPr>
          <w:snapToGrid w:val="0"/>
        </w:rPr>
        <w:t>.</w:t>
      </w:r>
      <w:r>
        <w:rPr>
          <w:snapToGrid w:val="0"/>
        </w:rPr>
        <w:tab/>
        <w:t>Terms used</w:t>
      </w:r>
      <w:bookmarkEnd w:id="7"/>
      <w:r>
        <w:rPr>
          <w:snapToGrid w:val="0"/>
        </w:rPr>
        <w:t xml:space="preserve"> </w:t>
      </w:r>
    </w:p>
    <w:p>
      <w:pPr>
        <w:pStyle w:val="Subsection"/>
        <w:keepNext/>
        <w:rPr>
          <w:snapToGrid w:val="0"/>
        </w:rPr>
      </w:pPr>
      <w:r>
        <w:rPr>
          <w:snapToGrid w:val="0"/>
        </w:rPr>
        <w:tab/>
      </w:r>
      <w:r>
        <w:rPr>
          <w:snapToGrid w:val="0"/>
        </w:rPr>
        <w:tab/>
        <w:t>In this Act — </w:t>
      </w:r>
    </w:p>
    <w:p>
      <w:pPr>
        <w:pStyle w:val="Defstart"/>
        <w:keepNext/>
      </w:pPr>
      <w:r>
        <w:rPr>
          <w:b/>
        </w:rPr>
        <w:tab/>
      </w:r>
      <w:r>
        <w:rPr>
          <w:rStyle w:val="CharDefText"/>
        </w:rPr>
        <w:t>charitable purpose</w:t>
      </w:r>
      <w:r>
        <w:t xml:space="preserve"> means — </w:t>
      </w:r>
    </w:p>
    <w:p>
      <w:pPr>
        <w:pStyle w:val="Defpara"/>
      </w:pPr>
      <w:r>
        <w:tab/>
        <w:t>(a)</w:t>
      </w:r>
      <w:r>
        <w:tab/>
        <w:t>the affording of relief to diseased, sick, infirm, incurable, poor, destitute, helpless or unemployed persons, or to the dependants of any such persons;</w:t>
      </w:r>
    </w:p>
    <w:p>
      <w:pPr>
        <w:pStyle w:val="Defpara"/>
      </w:pPr>
      <w:r>
        <w:tab/>
        <w:t>(b)</w:t>
      </w:r>
      <w:r>
        <w:tab/>
        <w:t>the relief of distress occasioned by war, whether occasioned in Western Australia or elsewhere;</w:t>
      </w:r>
    </w:p>
    <w:p>
      <w:pPr>
        <w:pStyle w:val="Defpara"/>
      </w:pPr>
      <w:r>
        <w:tab/>
        <w:t>(c)</w:t>
      </w:r>
      <w:r>
        <w:tab/>
        <w:t>the supply of equipment to any of His Majesty’s naval, military, or air forces, including the supply of ambulances, hospitals and hospital ships;</w:t>
      </w:r>
    </w:p>
    <w:p>
      <w:pPr>
        <w:pStyle w:val="Defpara"/>
      </w:pPr>
      <w:r>
        <w:tab/>
        <w:t>(d)</w:t>
      </w:r>
      <w:r>
        <w:tab/>
        <w:t>the supply of comforts or conveniences to members of the said forces;</w:t>
      </w:r>
    </w:p>
    <w:p>
      <w:pPr>
        <w:pStyle w:val="Defpara"/>
      </w:pPr>
      <w:r>
        <w:tab/>
        <w:t>(e)</w:t>
      </w:r>
      <w:r>
        <w:tab/>
        <w:t>the affording of relief, assistance or support to persons who are or have been members of the said forces or to the dependants of any such persons;</w:t>
      </w:r>
    </w:p>
    <w:p>
      <w:pPr>
        <w:pStyle w:val="Defpara"/>
      </w:pPr>
      <w:r>
        <w:tab/>
        <w:t>(f)</w:t>
      </w:r>
      <w:r>
        <w:tab/>
        <w:t>the support of hospitals, infant health centres, kindergartens and other activities of a social welfare or public character;</w:t>
      </w:r>
    </w:p>
    <w:p>
      <w:pPr>
        <w:pStyle w:val="Defpara"/>
      </w:pPr>
      <w:r>
        <w:tab/>
        <w:t>(g)</w:t>
      </w:r>
      <w:r>
        <w:tab/>
        <w:t>any other benevolent, philanthropic or patriotic purpose.</w:t>
      </w:r>
    </w:p>
    <w:p>
      <w:pPr>
        <w:pStyle w:val="Defstart"/>
      </w:pPr>
      <w:r>
        <w:tab/>
      </w:r>
      <w:r>
        <w:rPr>
          <w:rStyle w:val="CharDefText"/>
        </w:rPr>
        <w:t>Commissioner</w:t>
      </w:r>
      <w:r>
        <w:t xml:space="preserve"> has the meaning given in the </w:t>
      </w:r>
      <w:r>
        <w:rPr>
          <w:i/>
        </w:rPr>
        <w:t>Fair Trading Act 2010</w:t>
      </w:r>
      <w:r>
        <w:t xml:space="preserve"> section 6.</w:t>
      </w:r>
    </w:p>
    <w:p>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pPr>
        <w:pStyle w:val="Defstart"/>
      </w:pPr>
      <w:r>
        <w:rPr>
          <w:b/>
        </w:rPr>
        <w:tab/>
      </w:r>
      <w:r>
        <w:rPr>
          <w:rStyle w:val="CharDefText"/>
        </w:rPr>
        <w:t>Minister</w:t>
      </w:r>
      <w:r>
        <w:t xml:space="preserve"> means the Minister of the Crown to whom for the time being the administration of this Act is committed by the Governor.</w:t>
      </w:r>
    </w:p>
    <w:p>
      <w:pPr>
        <w:pStyle w:val="Defstart"/>
      </w:pPr>
      <w:r>
        <w:rPr>
          <w:b/>
        </w:rPr>
        <w:tab/>
      </w:r>
      <w:r>
        <w:rPr>
          <w:b/>
          <w:i/>
          <w:iCs/>
        </w:rPr>
        <w:t>p</w:t>
      </w:r>
      <w:r>
        <w:rPr>
          <w:rStyle w:val="CharDefText"/>
        </w:rPr>
        <w:t>resent war</w:t>
      </w:r>
      <w:r>
        <w:t xml:space="preserve"> means the war in which His Majesty was engaged commencing on 3 September 1939.</w:t>
      </w:r>
    </w:p>
    <w:p>
      <w:pPr>
        <w:pStyle w:val="Defstart"/>
      </w:pPr>
      <w:r>
        <w:rPr>
          <w:b/>
        </w:rPr>
        <w:tab/>
      </w:r>
      <w:r>
        <w:rPr>
          <w:rStyle w:val="CharDefText"/>
        </w:rPr>
        <w:t>securities for money</w:t>
      </w:r>
      <w:r>
        <w:t xml:space="preserve"> includes real and personal estate.</w:t>
      </w:r>
    </w:p>
    <w:p>
      <w:pPr>
        <w:pStyle w:val="Defstart"/>
      </w:pPr>
      <w:r>
        <w:rPr>
          <w:b/>
        </w:rPr>
        <w:tab/>
      </w:r>
      <w:r>
        <w:rPr>
          <w:rStyle w:val="CharDefText"/>
        </w:rPr>
        <w:t>war fund</w:t>
      </w:r>
      <w:r>
        <w:t xml:space="preserve"> means a fund lawfully established under the </w:t>
      </w:r>
      <w:r>
        <w:rPr>
          <w:i/>
        </w:rPr>
        <w:t>War Funds Regulation Act 1939</w:t>
      </w:r>
      <w:r>
        <w:t xml:space="preserve"> </w:t>
      </w:r>
      <w:r>
        <w:rPr>
          <w:vertAlign w:val="superscript"/>
        </w:rPr>
        <w:t>1</w:t>
      </w:r>
      <w:r>
        <w:t>.</w:t>
      </w:r>
    </w:p>
    <w:p>
      <w:pPr>
        <w:pStyle w:val="Footnotesection"/>
      </w:pPr>
      <w:r>
        <w:tab/>
        <w:t xml:space="preserve">[Section 5 amended: No. 25 of 2019 s. 9.] </w:t>
      </w:r>
    </w:p>
    <w:p>
      <w:pPr>
        <w:pStyle w:val="Heading5"/>
        <w:rPr>
          <w:snapToGrid w:val="0"/>
        </w:rPr>
      </w:pPr>
      <w:bookmarkStart w:id="8" w:name="_Toc32233359"/>
      <w:r>
        <w:rPr>
          <w:rStyle w:val="CharSectno"/>
        </w:rPr>
        <w:t>6</w:t>
      </w:r>
      <w:r>
        <w:rPr>
          <w:snapToGrid w:val="0"/>
        </w:rPr>
        <w:t>.</w:t>
      </w:r>
      <w:r>
        <w:rPr>
          <w:snapToGrid w:val="0"/>
        </w:rPr>
        <w:tab/>
        <w:t>Restriction on certain collections</w:t>
      </w:r>
      <w:bookmarkEnd w:id="8"/>
      <w:r>
        <w:rPr>
          <w:snapToGrid w:val="0"/>
        </w:rPr>
        <w:t xml:space="preserve"> </w:t>
      </w:r>
    </w:p>
    <w:p>
      <w:pPr>
        <w:pStyle w:val="Subsection"/>
        <w:rPr>
          <w:snapToGrid w:val="0"/>
        </w:rPr>
      </w:pPr>
      <w:r>
        <w:rPr>
          <w:snapToGrid w:val="0"/>
        </w:rPr>
        <w:tab/>
        <w:t>(1)</w:t>
      </w:r>
      <w:r>
        <w:rPr>
          <w:snapToGrid w:val="0"/>
        </w:rPr>
        <w:tab/>
        <w:t>No person shall — </w:t>
      </w:r>
    </w:p>
    <w:p>
      <w:pPr>
        <w:pStyle w:val="Indenta"/>
        <w:rPr>
          <w:snapToGrid w:val="0"/>
        </w:rPr>
      </w:pPr>
      <w:r>
        <w:rPr>
          <w:snapToGrid w:val="0"/>
        </w:rPr>
        <w:tab/>
        <w:t>(a)</w:t>
      </w:r>
      <w:r>
        <w:rPr>
          <w:snapToGrid w:val="0"/>
        </w:rPr>
        <w:tab/>
        <w:t>collect or attempt to collect any money or goods for any charitable purpose; or</w:t>
      </w:r>
    </w:p>
    <w:p>
      <w:pPr>
        <w:pStyle w:val="Indenta"/>
        <w:rPr>
          <w:snapToGrid w:val="0"/>
        </w:rPr>
      </w:pPr>
      <w:r>
        <w:rPr>
          <w:snapToGrid w:val="0"/>
        </w:rPr>
        <w:tab/>
        <w:t>(b)</w:t>
      </w:r>
      <w:r>
        <w:rPr>
          <w:snapToGrid w:val="0"/>
        </w:rPr>
        <w:tab/>
        <w:t>obtain or attempt to obtain money by the sale of any disc, badge, token, flower or other device for any charitable purpose; or</w:t>
      </w:r>
    </w:p>
    <w:p>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pPr>
        <w:pStyle w:val="Subsection"/>
        <w:rPr>
          <w:snapToGrid w:val="0"/>
        </w:rPr>
      </w:pPr>
      <w:r>
        <w:rPr>
          <w:snapToGrid w:val="0"/>
        </w:rPr>
        <w:tab/>
      </w:r>
      <w:r>
        <w:rPr>
          <w:snapToGrid w:val="0"/>
        </w:rPr>
        <w:tab/>
        <w:t>unless he is — </w:t>
      </w:r>
    </w:p>
    <w:p>
      <w:pPr>
        <w:pStyle w:val="Indenta"/>
        <w:rPr>
          <w:snapToGrid w:val="0"/>
        </w:rPr>
      </w:pPr>
      <w:r>
        <w:rPr>
          <w:snapToGrid w:val="0"/>
        </w:rPr>
        <w:tab/>
      </w:r>
      <w:r>
        <w:t>(e)</w:t>
      </w:r>
      <w:r>
        <w:tab/>
        <w:t>the holder</w:t>
      </w:r>
      <w:r>
        <w:rPr>
          <w:snapToGrid w:val="0"/>
        </w:rPr>
        <w:t xml:space="preserve"> of a licence under this Act; or</w:t>
      </w:r>
    </w:p>
    <w:p>
      <w:pPr>
        <w:pStyle w:val="Indenta"/>
        <w:rPr>
          <w:snapToGrid w:val="0"/>
        </w:rPr>
      </w:pPr>
      <w:r>
        <w:rPr>
          <w:snapToGrid w:val="0"/>
        </w:rPr>
        <w:tab/>
      </w:r>
      <w:r>
        <w:t>(f)</w:t>
      </w:r>
      <w:r>
        <w:tab/>
        <w:t>a member</w:t>
      </w:r>
      <w:r>
        <w:rPr>
          <w:snapToGrid w:val="0"/>
        </w:rPr>
        <w:t xml:space="preserve"> of the committee or other governing body, of a society, body, or association which is the holder of a licence under this Act and who is authorised by such licensee; or</w:t>
      </w:r>
    </w:p>
    <w:p>
      <w:pPr>
        <w:pStyle w:val="Indenta"/>
        <w:keepNext/>
        <w:rPr>
          <w:snapToGrid w:val="0"/>
        </w:rPr>
      </w:pPr>
      <w:r>
        <w:tab/>
        <w:t>(g)</w:t>
      </w:r>
      <w:r>
        <w:tab/>
        <w:t>authorised to</w:t>
      </w:r>
      <w:r>
        <w:rPr>
          <w:snapToGrid w:val="0"/>
        </w:rPr>
        <w:t xml:space="preserve"> do so by a person, society, body or association which holds a licence under this Act,</w:t>
      </w:r>
    </w:p>
    <w:p>
      <w:pPr>
        <w:pStyle w:val="Subsection"/>
        <w:rPr>
          <w:snapToGrid w:val="0"/>
        </w:rPr>
      </w:pPr>
      <w:r>
        <w:rPr>
          <w:snapToGrid w:val="0"/>
        </w:rPr>
        <w:tab/>
      </w:r>
      <w:r>
        <w:rPr>
          <w:snapToGrid w:val="0"/>
        </w:rPr>
        <w:tab/>
        <w:t>and except in accordance with such licence and authority.</w:t>
      </w:r>
    </w:p>
    <w:p>
      <w:pPr>
        <w:pStyle w:val="Penstart"/>
      </w:pPr>
      <w:r>
        <w:tab/>
        <w:t>Penalty for this subsection: a fine of $20 000.</w:t>
      </w:r>
    </w:p>
    <w:p>
      <w:pPr>
        <w:pStyle w:val="Ednotesubsection"/>
      </w:pPr>
      <w:r>
        <w:tab/>
        <w:t>[(2)</w:t>
      </w:r>
      <w:r>
        <w:tab/>
        <w:t>deleted]</w:t>
      </w:r>
    </w:p>
    <w:p>
      <w:pPr>
        <w:pStyle w:val="Subsection"/>
        <w:rPr>
          <w:snapToGrid w:val="0"/>
        </w:rPr>
      </w:pPr>
      <w:r>
        <w:rPr>
          <w:snapToGrid w:val="0"/>
        </w:rPr>
        <w:tab/>
        <w:t>(3)</w:t>
      </w:r>
      <w:r>
        <w:rPr>
          <w:snapToGrid w:val="0"/>
        </w:rPr>
        <w:tab/>
        <w:t xml:space="preserve">In any proceedings for an offence against this section the prosecution need not negative any of the matters specified in </w:t>
      </w:r>
      <w:r>
        <w:t xml:space="preserve">subsection (1)(e), (f) or (g), </w:t>
      </w:r>
      <w:r>
        <w:rPr>
          <w:snapToGrid w:val="0"/>
        </w:rPr>
        <w:t>but it shall lie on the accused to prove any of those matters on which he relies.</w:t>
      </w:r>
    </w:p>
    <w:p>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pPr>
        <w:pStyle w:val="Footnotesection"/>
      </w:pPr>
      <w:r>
        <w:tab/>
        <w:t xml:space="preserve">[Section 6 amended: No. 113 of 1965 s. 8; No. 84 of 2004 s. 82; No. 8 of 2009 s. 28(2) and (3); No. 25 of 2019 s. 10.] </w:t>
      </w:r>
    </w:p>
    <w:p>
      <w:pPr>
        <w:pStyle w:val="Heading5"/>
        <w:rPr>
          <w:snapToGrid w:val="0"/>
        </w:rPr>
      </w:pPr>
      <w:bookmarkStart w:id="9" w:name="_Toc32233360"/>
      <w:r>
        <w:rPr>
          <w:rStyle w:val="CharSectno"/>
        </w:rPr>
        <w:t>7</w:t>
      </w:r>
      <w:r>
        <w:rPr>
          <w:snapToGrid w:val="0"/>
        </w:rPr>
        <w:t>.</w:t>
      </w:r>
      <w:r>
        <w:rPr>
          <w:snapToGrid w:val="0"/>
        </w:rPr>
        <w:tab/>
        <w:t>War funds</w:t>
      </w:r>
      <w:bookmarkEnd w:id="9"/>
      <w:r>
        <w:rPr>
          <w:snapToGrid w:val="0"/>
        </w:rPr>
        <w:t xml:space="preserve"> </w:t>
      </w:r>
    </w:p>
    <w:p>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1</w:t>
      </w:r>
      <w:r>
        <w:rPr>
          <w:snapToGrid w:val="0"/>
        </w:rPr>
        <w:t>, shall be deemed to be a licence under this Act.</w:t>
      </w:r>
    </w:p>
    <w:p>
      <w:pPr>
        <w:pStyle w:val="Heading5"/>
        <w:rPr>
          <w:snapToGrid w:val="0"/>
        </w:rPr>
      </w:pPr>
      <w:bookmarkStart w:id="10" w:name="_Toc32233361"/>
      <w:r>
        <w:rPr>
          <w:rStyle w:val="CharSectno"/>
        </w:rPr>
        <w:t>8</w:t>
      </w:r>
      <w:r>
        <w:rPr>
          <w:snapToGrid w:val="0"/>
        </w:rPr>
        <w:t>.</w:t>
      </w:r>
      <w:r>
        <w:rPr>
          <w:snapToGrid w:val="0"/>
        </w:rPr>
        <w:tab/>
        <w:t>Grant of authority by licensee</w:t>
      </w:r>
      <w:bookmarkEnd w:id="10"/>
      <w:r>
        <w:rPr>
          <w:snapToGrid w:val="0"/>
        </w:rPr>
        <w:t xml:space="preserve"> </w:t>
      </w:r>
    </w:p>
    <w:p>
      <w:pPr>
        <w:pStyle w:val="Subsection"/>
        <w:rPr>
          <w:snapToGrid w:val="0"/>
        </w:rPr>
      </w:pPr>
      <w:r>
        <w:rPr>
          <w:snapToGrid w:val="0"/>
        </w:rPr>
        <w:tab/>
      </w:r>
      <w:r>
        <w:rPr>
          <w:snapToGrid w:val="0"/>
        </w:rPr>
        <w:tab/>
        <w:t xml:space="preserve">Any person, society, body or association being the holder of a licence under this Act may give any authority referred to in section 6 by any means approved by the </w:t>
      </w:r>
      <w:r>
        <w:t>Commissioner</w:t>
      </w:r>
      <w:r>
        <w:rPr>
          <w:snapToGrid w:val="0"/>
        </w:rPr>
        <w:t xml:space="preserve"> either generally or in any particular case. Any such approval may be revoked by the </w:t>
      </w:r>
      <w:r>
        <w:t>Commissioner.</w:t>
      </w:r>
    </w:p>
    <w:p>
      <w:pPr>
        <w:pStyle w:val="Footnotesection"/>
      </w:pPr>
      <w:r>
        <w:tab/>
        <w:t xml:space="preserve">[Section 8 amended: No. 25 of 2019 s. 11.] </w:t>
      </w:r>
    </w:p>
    <w:p>
      <w:pPr>
        <w:pStyle w:val="Heading5"/>
        <w:rPr>
          <w:snapToGrid w:val="0"/>
        </w:rPr>
      </w:pPr>
      <w:bookmarkStart w:id="11" w:name="_Toc32233362"/>
      <w:r>
        <w:rPr>
          <w:rStyle w:val="CharSectno"/>
        </w:rPr>
        <w:t>9</w:t>
      </w:r>
      <w:r>
        <w:rPr>
          <w:snapToGrid w:val="0"/>
        </w:rPr>
        <w:t>.</w:t>
      </w:r>
      <w:r>
        <w:rPr>
          <w:snapToGrid w:val="0"/>
        </w:rPr>
        <w:tab/>
        <w:t>Revocation of authority by society etc.</w:t>
      </w:r>
      <w:bookmarkEnd w:id="11"/>
      <w:r>
        <w:rPr>
          <w:snapToGrid w:val="0"/>
        </w:rPr>
        <w:t xml:space="preserve"> </w:t>
      </w:r>
    </w:p>
    <w:p>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pPr>
        <w:pStyle w:val="Subsection"/>
        <w:rPr>
          <w:snapToGrid w:val="0"/>
        </w:rPr>
      </w:pPr>
      <w:r>
        <w:rPr>
          <w:snapToGrid w:val="0"/>
        </w:rPr>
        <w:tab/>
        <w:t>(2)</w:t>
      </w:r>
      <w:r>
        <w:rPr>
          <w:snapToGrid w:val="0"/>
        </w:rPr>
        <w:tab/>
        <w:t xml:space="preserve">Any such person to whom such authority is given who fails to produce or deliver such authority, together with any moneys, books, vouchers or other things held or controlled by virtue of such authority, as aforesaid shall be guilty of an </w:t>
      </w:r>
      <w:r>
        <w:t xml:space="preserve">offence. </w:t>
      </w:r>
    </w:p>
    <w:p>
      <w:pPr>
        <w:pStyle w:val="Penstart"/>
      </w:pPr>
      <w:r>
        <w:tab/>
        <w:t>Penalty for this subsection: a fine of $5 000.</w:t>
      </w:r>
    </w:p>
    <w:p>
      <w:pPr>
        <w:pStyle w:val="Footnotesection"/>
      </w:pPr>
      <w:r>
        <w:tab/>
        <w:t xml:space="preserve">[Section 9 amended: No. 113 of 1965 s. 8; No. 25 of 2019 s. 12.] </w:t>
      </w:r>
    </w:p>
    <w:p>
      <w:pPr>
        <w:pStyle w:val="Heading5"/>
        <w:rPr>
          <w:snapToGrid w:val="0"/>
        </w:rPr>
      </w:pPr>
      <w:bookmarkStart w:id="12" w:name="_Toc32233363"/>
      <w:r>
        <w:rPr>
          <w:rStyle w:val="CharSectno"/>
        </w:rPr>
        <w:t>10</w:t>
      </w:r>
      <w:r>
        <w:rPr>
          <w:snapToGrid w:val="0"/>
        </w:rPr>
        <w:t>.</w:t>
      </w:r>
      <w:r>
        <w:rPr>
          <w:snapToGrid w:val="0"/>
        </w:rPr>
        <w:tab/>
        <w:t>Advisory committee</w:t>
      </w:r>
      <w:bookmarkEnd w:id="12"/>
      <w:r>
        <w:rPr>
          <w:snapToGrid w:val="0"/>
        </w:rPr>
        <w:t xml:space="preserve"> </w:t>
      </w:r>
    </w:p>
    <w:p>
      <w:pPr>
        <w:pStyle w:val="Subsection"/>
        <w:rPr>
          <w:snapToGrid w:val="0"/>
        </w:rPr>
      </w:pPr>
      <w:r>
        <w:rPr>
          <w:snapToGrid w:val="0"/>
        </w:rPr>
        <w:tab/>
        <w:t>(1)</w:t>
      </w:r>
      <w:r>
        <w:rPr>
          <w:snapToGrid w:val="0"/>
        </w:rPr>
        <w:tab/>
        <w:t>There shall be an advisory committee for the purposes of this Act.</w:t>
      </w:r>
    </w:p>
    <w:p>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pPr>
        <w:pStyle w:val="Subsection"/>
        <w:rPr>
          <w:snapToGrid w:val="0"/>
        </w:rPr>
      </w:pPr>
      <w:r>
        <w:rPr>
          <w:snapToGrid w:val="0"/>
        </w:rPr>
        <w:tab/>
        <w:t>(3)</w:t>
      </w:r>
      <w:r>
        <w:rPr>
          <w:snapToGrid w:val="0"/>
        </w:rPr>
        <w:tab/>
        <w:t>The Minister shall from time to time appoint one of the members of the committee to be the chairman thereof.</w:t>
      </w:r>
    </w:p>
    <w:p>
      <w:pPr>
        <w:pStyle w:val="Heading5"/>
        <w:rPr>
          <w:snapToGrid w:val="0"/>
        </w:rPr>
      </w:pPr>
      <w:bookmarkStart w:id="13" w:name="_Toc32233364"/>
      <w:r>
        <w:rPr>
          <w:rStyle w:val="CharSectno"/>
        </w:rPr>
        <w:t>11</w:t>
      </w:r>
      <w:r>
        <w:rPr>
          <w:snapToGrid w:val="0"/>
        </w:rPr>
        <w:t>.</w:t>
      </w:r>
      <w:r>
        <w:rPr>
          <w:snapToGrid w:val="0"/>
        </w:rPr>
        <w:tab/>
        <w:t>Application for licence</w:t>
      </w:r>
      <w:bookmarkEnd w:id="13"/>
      <w:r>
        <w:rPr>
          <w:snapToGrid w:val="0"/>
        </w:rPr>
        <w:t xml:space="preserve"> </w:t>
      </w:r>
    </w:p>
    <w:p>
      <w:pPr>
        <w:pStyle w:val="Subsection"/>
        <w:rPr>
          <w:snapToGrid w:val="0"/>
        </w:rPr>
      </w:pPr>
      <w:r>
        <w:rPr>
          <w:snapToGrid w:val="0"/>
        </w:rPr>
        <w:tab/>
        <w:t>(1)</w:t>
      </w:r>
      <w:r>
        <w:rPr>
          <w:snapToGrid w:val="0"/>
        </w:rPr>
        <w:tab/>
        <w:t xml:space="preserve">An application for a licence under this Act </w:t>
      </w:r>
      <w:r>
        <w:t>must be made to the Commissioner, who must</w:t>
      </w:r>
      <w:r>
        <w:rPr>
          <w:snapToGrid w:val="0"/>
        </w:rPr>
        <w:t xml:space="preserve"> refer the application for consideration and report by the advisory committee.</w:t>
      </w:r>
    </w:p>
    <w:p>
      <w:pPr>
        <w:pStyle w:val="Subsection"/>
        <w:rPr>
          <w:snapToGrid w:val="0"/>
        </w:rPr>
      </w:pPr>
      <w:r>
        <w:rPr>
          <w:snapToGrid w:val="0"/>
        </w:rPr>
        <w:tab/>
        <w:t>(2)</w:t>
      </w:r>
      <w:r>
        <w:rPr>
          <w:snapToGrid w:val="0"/>
        </w:rPr>
        <w:tab/>
        <w:t xml:space="preserve">In considering any application for a licence the advisory committee, in addition to taking into account any other matters thought fit by the committee, </w:t>
      </w:r>
      <w:r>
        <w:t>must</w:t>
      </w:r>
      <w:r>
        <w:rPr>
          <w:snapToGrid w:val="0"/>
        </w:rPr>
        <w:t xml:space="preserve"> consider whether, having regard to the objects of the applicant, those objects would be more effectively or economically carried out by any other person, society, body or association being the holder of or an applicant for a licence under this Act.</w:t>
      </w:r>
    </w:p>
    <w:p>
      <w:pPr>
        <w:pStyle w:val="Subsection"/>
        <w:rPr>
          <w:snapToGrid w:val="0"/>
        </w:rPr>
      </w:pPr>
      <w:r>
        <w:rPr>
          <w:snapToGrid w:val="0"/>
        </w:rPr>
        <w:tab/>
        <w:t>(3)</w:t>
      </w:r>
      <w:r>
        <w:rPr>
          <w:snapToGrid w:val="0"/>
        </w:rPr>
        <w:tab/>
        <w:t xml:space="preserve">After considering the report of the advisory committee on any application, the </w:t>
      </w:r>
      <w:r>
        <w:t xml:space="preserve">Commissioner may, in the Commissioner’s </w:t>
      </w:r>
      <w:r>
        <w:rPr>
          <w:snapToGrid w:val="0"/>
        </w:rPr>
        <w:t>discretion, grant or refuse a licence to any applicant and shall not be liable to any proceedings whatsoever as a consequence of any refusal.</w:t>
      </w:r>
    </w:p>
    <w:p>
      <w:pPr>
        <w:pStyle w:val="Footnotesection"/>
      </w:pPr>
      <w:r>
        <w:tab/>
        <w:t xml:space="preserve">[Section 11 amended: No. 25 of 2019 s. 13.] </w:t>
      </w:r>
    </w:p>
    <w:p>
      <w:pPr>
        <w:pStyle w:val="Heading5"/>
        <w:rPr>
          <w:snapToGrid w:val="0"/>
        </w:rPr>
      </w:pPr>
      <w:bookmarkStart w:id="14" w:name="_Toc32233365"/>
      <w:r>
        <w:rPr>
          <w:rStyle w:val="CharSectno"/>
        </w:rPr>
        <w:t>12</w:t>
      </w:r>
      <w:r>
        <w:rPr>
          <w:snapToGrid w:val="0"/>
        </w:rPr>
        <w:t>.</w:t>
      </w:r>
      <w:r>
        <w:rPr>
          <w:snapToGrid w:val="0"/>
        </w:rPr>
        <w:tab/>
        <w:t>Conditions of licence</w:t>
      </w:r>
      <w:bookmarkEnd w:id="14"/>
      <w:r>
        <w:rPr>
          <w:snapToGrid w:val="0"/>
        </w:rPr>
        <w:t xml:space="preserve"> </w:t>
      </w:r>
    </w:p>
    <w:p>
      <w:pPr>
        <w:pStyle w:val="Subsection"/>
        <w:rPr>
          <w:snapToGrid w:val="0"/>
        </w:rPr>
      </w:pPr>
      <w:r>
        <w:rPr>
          <w:snapToGrid w:val="0"/>
        </w:rPr>
        <w:tab/>
        <w:t>(1)</w:t>
      </w:r>
      <w:r>
        <w:rPr>
          <w:snapToGrid w:val="0"/>
        </w:rPr>
        <w:tab/>
        <w:t xml:space="preserve">A licence under this Act may authorise collections to be made, money to be obtained, or entertainments to be conducted, for such period or for such occasions as the </w:t>
      </w:r>
      <w:r>
        <w:t>Commissioner</w:t>
      </w:r>
      <w:r>
        <w:rPr>
          <w:snapToGrid w:val="0"/>
        </w:rPr>
        <w:t xml:space="preserve"> thinks fit, or may authorise collections to be made, money to be obtained, or entertainments to be conducted, during such time as the licence remains unrevoked.</w:t>
      </w:r>
    </w:p>
    <w:p>
      <w:pPr>
        <w:pStyle w:val="Subsection"/>
        <w:rPr>
          <w:snapToGrid w:val="0"/>
        </w:rPr>
      </w:pPr>
      <w:r>
        <w:rPr>
          <w:snapToGrid w:val="0"/>
        </w:rPr>
        <w:tab/>
        <w:t>(2)</w:t>
      </w:r>
      <w:r>
        <w:rPr>
          <w:snapToGrid w:val="0"/>
        </w:rPr>
        <w:tab/>
        <w:t xml:space="preserve">A licence may be issued subject to any condition </w:t>
      </w:r>
      <w:r>
        <w:t>imposed by the Commissioner.</w:t>
      </w:r>
    </w:p>
    <w:p>
      <w:pPr>
        <w:pStyle w:val="Subsection"/>
        <w:rPr>
          <w:snapToGrid w:val="0"/>
        </w:rPr>
      </w:pPr>
      <w:r>
        <w:rPr>
          <w:snapToGrid w:val="0"/>
        </w:rPr>
        <w:tab/>
        <w:t>(3)</w:t>
      </w:r>
      <w:r>
        <w:rPr>
          <w:snapToGrid w:val="0"/>
        </w:rPr>
        <w:tab/>
        <w:t xml:space="preserve">A licence may at any time be revoked by the </w:t>
      </w:r>
      <w:r>
        <w:t>Commissioner</w:t>
      </w:r>
      <w:r>
        <w:rPr>
          <w:snapToGrid w:val="0"/>
        </w:rPr>
        <w:t xml:space="preserve"> as an administrative act.</w:t>
      </w:r>
    </w:p>
    <w:p>
      <w:pPr>
        <w:pStyle w:val="Subsection"/>
        <w:rPr>
          <w:snapToGrid w:val="0"/>
        </w:rPr>
      </w:pPr>
      <w:r>
        <w:rPr>
          <w:snapToGrid w:val="0"/>
        </w:rPr>
        <w:tab/>
        <w:t>(4)</w:t>
      </w:r>
      <w:r>
        <w:rPr>
          <w:snapToGrid w:val="0"/>
        </w:rPr>
        <w:tab/>
        <w:t xml:space="preserve">Where a condition of a licence requires that before being made, any proposed contract or arrangement, relating to payment from moneys in hand or to be obtained for any charitable purpose, shall be submitted to and approved by the </w:t>
      </w:r>
      <w:r>
        <w:t>Commissioner —</w:t>
      </w:r>
    </w:p>
    <w:p>
      <w:pPr>
        <w:pStyle w:val="Indenta"/>
        <w:rPr>
          <w:snapToGrid w:val="0"/>
        </w:rPr>
      </w:pPr>
      <w:r>
        <w:rPr>
          <w:snapToGrid w:val="0"/>
        </w:rPr>
        <w:tab/>
        <w:t>(a)</w:t>
      </w:r>
      <w:r>
        <w:rPr>
          <w:snapToGrid w:val="0"/>
        </w:rPr>
        <w:tab/>
        <w:t xml:space="preserve">any contract or arrangement made after the coming into operation of </w:t>
      </w:r>
      <w:r>
        <w:rPr>
          <w:iCs/>
          <w:snapToGrid w:val="0"/>
        </w:rPr>
        <w:t>the</w:t>
      </w:r>
      <w:r>
        <w:rPr>
          <w:i/>
          <w:snapToGrid w:val="0"/>
        </w:rPr>
        <w:t xml:space="preserve"> Charitable Collections Act Amendment Act 1949</w:t>
      </w:r>
      <w:r>
        <w:rPr>
          <w:snapToGrid w:val="0"/>
        </w:rPr>
        <w:t>, without having been so submitted and approved shall, subject to the provisions of the next succeeding paragraph, be void;</w:t>
      </w:r>
    </w:p>
    <w:p>
      <w:pPr>
        <w:pStyle w:val="Indenta"/>
        <w:keepLines/>
        <w:rPr>
          <w:snapToGrid w:val="0"/>
        </w:rPr>
      </w:pPr>
      <w:r>
        <w:rPr>
          <w:snapToGrid w:val="0"/>
        </w:rPr>
        <w:tab/>
        <w:t>(b)</w:t>
      </w:r>
      <w:r>
        <w:rPr>
          <w:snapToGrid w:val="0"/>
        </w:rPr>
        <w:tab/>
        <w:t xml:space="preserve">any money received by any person in purported pursuance of a contract or arrangement which is void by virtue of the provisions of the last preceding subsection shall be recoverable in any court of competent jurisdiction as a debt due from that person at the suit of the </w:t>
      </w:r>
      <w:r>
        <w:t>Commissioner or a person authorised by the Commissioner</w:t>
      </w:r>
      <w:r>
        <w:rPr>
          <w:snapToGrid w:val="0"/>
        </w:rPr>
        <w:t xml:space="preserve"> to sue.</w:t>
      </w:r>
    </w:p>
    <w:p>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pPr>
        <w:pStyle w:val="Footnotesection"/>
      </w:pPr>
      <w:r>
        <w:tab/>
        <w:t xml:space="preserve">[Section 12 amended: No. 2 of 1949 s. 3; No. 25 of 2019 s. 14.] </w:t>
      </w:r>
    </w:p>
    <w:p>
      <w:pPr>
        <w:pStyle w:val="Heading5"/>
        <w:rPr>
          <w:snapToGrid w:val="0"/>
        </w:rPr>
      </w:pPr>
      <w:bookmarkStart w:id="15" w:name="_Toc32233366"/>
      <w:r>
        <w:rPr>
          <w:rStyle w:val="CharSectno"/>
        </w:rPr>
        <w:t>13</w:t>
      </w:r>
      <w:r>
        <w:rPr>
          <w:snapToGrid w:val="0"/>
        </w:rPr>
        <w:t>.</w:t>
      </w:r>
      <w:r>
        <w:rPr>
          <w:snapToGrid w:val="0"/>
        </w:rPr>
        <w:tab/>
        <w:t>Inquiry as to revocation of licences</w:t>
      </w:r>
      <w:bookmarkEnd w:id="15"/>
      <w:r>
        <w:rPr>
          <w:snapToGrid w:val="0"/>
        </w:rPr>
        <w:t xml:space="preserve"> </w:t>
      </w:r>
    </w:p>
    <w:p>
      <w:pPr>
        <w:pStyle w:val="Subsection"/>
        <w:rPr>
          <w:snapToGrid w:val="0"/>
        </w:rPr>
      </w:pPr>
      <w:r>
        <w:rPr>
          <w:snapToGrid w:val="0"/>
        </w:rPr>
        <w:tab/>
        <w:t>(1)</w:t>
      </w:r>
      <w:r>
        <w:rPr>
          <w:snapToGrid w:val="0"/>
        </w:rPr>
        <w:tab/>
        <w:t xml:space="preserve">The advisory committee shall, when requested so to do by the </w:t>
      </w:r>
      <w:r>
        <w:t>Commissioner,</w:t>
      </w:r>
      <w:r>
        <w:rPr>
          <w:snapToGrid w:val="0"/>
        </w:rPr>
        <w:t xml:space="preserve"> inquire whether any licence issued under this Act to any person, society, body or association should be revoked.</w:t>
      </w:r>
    </w:p>
    <w:p>
      <w:pPr>
        <w:pStyle w:val="Subsection"/>
        <w:rPr>
          <w:snapToGrid w:val="0"/>
        </w:rPr>
      </w:pPr>
      <w:r>
        <w:rPr>
          <w:snapToGrid w:val="0"/>
        </w:rPr>
        <w:tab/>
        <w:t>(2)</w:t>
      </w:r>
      <w:r>
        <w:rPr>
          <w:snapToGrid w:val="0"/>
        </w:rPr>
        <w:tab/>
        <w:t xml:space="preserve">The advisory committee may recommend that any such licence be revoked if it is </w:t>
      </w:r>
      <w:r>
        <w:t>of the opinion —</w:t>
      </w:r>
    </w:p>
    <w:p>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pPr>
        <w:pStyle w:val="Indenta"/>
        <w:rPr>
          <w:snapToGrid w:val="0"/>
        </w:rPr>
      </w:pPr>
      <w:r>
        <w:rPr>
          <w:snapToGrid w:val="0"/>
        </w:rPr>
        <w:tab/>
        <w:t>(d)</w:t>
      </w:r>
      <w:r>
        <w:rPr>
          <w:snapToGrid w:val="0"/>
        </w:rPr>
        <w:tab/>
        <w:t>that the person, society, body or association has ceased effectively to carry out any charitable purpose; or</w:t>
      </w:r>
    </w:p>
    <w:p>
      <w:pPr>
        <w:pStyle w:val="Indenta"/>
        <w:rPr>
          <w:snapToGrid w:val="0"/>
        </w:rPr>
      </w:pPr>
      <w:r>
        <w:rPr>
          <w:snapToGrid w:val="0"/>
        </w:rPr>
        <w:tab/>
        <w:t>(e)</w:t>
      </w:r>
      <w:r>
        <w:rPr>
          <w:snapToGrid w:val="0"/>
        </w:rPr>
        <w:tab/>
        <w:t>that for any other reason the licence should be revoked.</w:t>
      </w:r>
    </w:p>
    <w:p>
      <w:pPr>
        <w:pStyle w:val="Footnotesection"/>
      </w:pPr>
      <w:r>
        <w:tab/>
        <w:t>[Section 13 amended: No. 8 of 2009 s. 28(4); No. 25 of 2019 s. 15.]</w:t>
      </w:r>
    </w:p>
    <w:p>
      <w:pPr>
        <w:pStyle w:val="Heading5"/>
        <w:rPr>
          <w:snapToGrid w:val="0"/>
        </w:rPr>
      </w:pPr>
      <w:bookmarkStart w:id="16" w:name="_Toc32233367"/>
      <w:r>
        <w:rPr>
          <w:rStyle w:val="CharSectno"/>
        </w:rPr>
        <w:t>14</w:t>
      </w:r>
      <w:r>
        <w:rPr>
          <w:snapToGrid w:val="0"/>
        </w:rPr>
        <w:t>.</w:t>
      </w:r>
      <w:r>
        <w:rPr>
          <w:snapToGrid w:val="0"/>
        </w:rPr>
        <w:tab/>
        <w:t>Licences to be issued without charge</w:t>
      </w:r>
      <w:bookmarkEnd w:id="16"/>
      <w:r>
        <w:rPr>
          <w:snapToGrid w:val="0"/>
        </w:rPr>
        <w:t xml:space="preserve"> </w:t>
      </w:r>
    </w:p>
    <w:p>
      <w:pPr>
        <w:pStyle w:val="Subsection"/>
        <w:rPr>
          <w:snapToGrid w:val="0"/>
        </w:rPr>
      </w:pPr>
      <w:r>
        <w:rPr>
          <w:snapToGrid w:val="0"/>
        </w:rPr>
        <w:tab/>
      </w:r>
      <w:r>
        <w:rPr>
          <w:snapToGrid w:val="0"/>
        </w:rPr>
        <w:tab/>
        <w:t>No fee shall be charged for any licence under this Act.</w:t>
      </w:r>
    </w:p>
    <w:p>
      <w:pPr>
        <w:pStyle w:val="Heading5"/>
        <w:rPr>
          <w:snapToGrid w:val="0"/>
        </w:rPr>
      </w:pPr>
      <w:bookmarkStart w:id="17" w:name="_Toc32233368"/>
      <w:r>
        <w:rPr>
          <w:rStyle w:val="CharSectno"/>
        </w:rPr>
        <w:t>15</w:t>
      </w:r>
      <w:r>
        <w:rPr>
          <w:snapToGrid w:val="0"/>
        </w:rPr>
        <w:t>.</w:t>
      </w:r>
      <w:r>
        <w:rPr>
          <w:snapToGrid w:val="0"/>
        </w:rPr>
        <w:tab/>
        <w:t>Statements to be furnished by licensees</w:t>
      </w:r>
      <w:bookmarkEnd w:id="17"/>
      <w:r>
        <w:rPr>
          <w:snapToGrid w:val="0"/>
        </w:rPr>
        <w:t xml:space="preserve"> </w:t>
      </w:r>
    </w:p>
    <w:p>
      <w:pPr>
        <w:pStyle w:val="Subsection"/>
      </w:pPr>
      <w:r>
        <w:tab/>
        <w:t>(1)</w:t>
      </w:r>
      <w:r>
        <w:tab/>
        <w:t xml:space="preserve">In this section — </w:t>
      </w:r>
    </w:p>
    <w:p>
      <w:pPr>
        <w:pStyle w:val="Defstart"/>
      </w:pPr>
      <w:r>
        <w:tab/>
      </w:r>
      <w:r>
        <w:rPr>
          <w:rStyle w:val="CharDefText"/>
        </w:rPr>
        <w:t>collection records</w:t>
      </w:r>
      <w:r>
        <w:t xml:space="preserve"> means — </w:t>
      </w:r>
    </w:p>
    <w:p>
      <w:pPr>
        <w:pStyle w:val="Defpara"/>
      </w:pPr>
      <w:r>
        <w:tab/>
        <w:t>(a)</w:t>
      </w:r>
      <w:r>
        <w:tab/>
        <w:t>accounts setting out the money and goods collected or received by the collector for a charitable purpose; and</w:t>
      </w:r>
    </w:p>
    <w:p>
      <w:pPr>
        <w:pStyle w:val="Defpara"/>
      </w:pPr>
      <w:r>
        <w:tab/>
        <w:t>(b)</w:t>
      </w:r>
      <w:r>
        <w:tab/>
        <w:t>statements setting out the way the money and goods collected or received by the collector have been dealt with;</w:t>
      </w:r>
    </w:p>
    <w:p>
      <w:pPr>
        <w:pStyle w:val="Defstart"/>
      </w:pPr>
      <w:r>
        <w:tab/>
      </w:r>
      <w:r>
        <w:rPr>
          <w:rStyle w:val="CharDefText"/>
        </w:rPr>
        <w:t>collector</w:t>
      </w:r>
      <w:r>
        <w:t xml:space="preserve"> means a person, society, body, or association that collects or receives money or goods for a charitable purpose.</w:t>
      </w:r>
    </w:p>
    <w:p>
      <w:pPr>
        <w:pStyle w:val="Subsection"/>
      </w:pPr>
      <w:r>
        <w:tab/>
        <w:t>(2)</w:t>
      </w:r>
      <w:r>
        <w:tab/>
        <w:t xml:space="preserve">A collector must keep collection records and retain them for 7 years after the end of the financial year to which they relate. </w:t>
      </w:r>
    </w:p>
    <w:p>
      <w:pPr>
        <w:pStyle w:val="Penstart"/>
      </w:pPr>
      <w:r>
        <w:tab/>
        <w:t>Penalty for this subsection: a fine of $5 000.</w:t>
      </w:r>
    </w:p>
    <w:p>
      <w:pPr>
        <w:pStyle w:val="Subsection"/>
      </w:pPr>
      <w:r>
        <w:tab/>
        <w:t>(3)</w:t>
      </w:r>
      <w:r>
        <w:tab/>
        <w:t xml:space="preserve">The Commissioner may require in writing that a collector, within a specified time — </w:t>
      </w:r>
    </w:p>
    <w:p>
      <w:pPr>
        <w:pStyle w:val="Indenta"/>
      </w:pPr>
      <w:r>
        <w:tab/>
        <w:t>(a)</w:t>
      </w:r>
      <w:r>
        <w:tab/>
        <w:t>give the Commissioner a copy of, or access to, the collection records of the collector; or</w:t>
      </w:r>
    </w:p>
    <w:p>
      <w:pPr>
        <w:pStyle w:val="Indenta"/>
      </w:pPr>
      <w:r>
        <w:tab/>
        <w:t>(b)</w:t>
      </w:r>
      <w:r>
        <w:tab/>
        <w:t>have the collection records of the collector audited by an auditor approved by the Commissioner and give the Commissioner a copy of, or access to, the audited collection records.</w:t>
      </w:r>
    </w:p>
    <w:p>
      <w:pPr>
        <w:pStyle w:val="Subsection"/>
      </w:pPr>
      <w:r>
        <w:tab/>
        <w:t>(3A)</w:t>
      </w:r>
      <w:r>
        <w:tab/>
        <w:t>A collector must comply with a requirement under subsection (3).</w:t>
      </w:r>
    </w:p>
    <w:p>
      <w:pPr>
        <w:pStyle w:val="Penstart"/>
      </w:pPr>
      <w:r>
        <w:tab/>
        <w:t>Penalty for this subsection: a fine of $5 000.</w:t>
      </w:r>
    </w:p>
    <w:p>
      <w:pPr>
        <w:pStyle w:val="Subsection"/>
      </w:pPr>
      <w:r>
        <w:tab/>
        <w:t>(3B)</w:t>
      </w:r>
      <w:r>
        <w:tab/>
        <w:t xml:space="preserve">Without limiting section 12(2), the Commissioner may impose conditions relating to giving the Commissioner collection records. </w:t>
      </w:r>
    </w:p>
    <w:p>
      <w:pPr>
        <w:pStyle w:val="Subsection"/>
        <w:rPr>
          <w:snapToGrid w:val="0"/>
        </w:rPr>
      </w:pPr>
      <w:r>
        <w:rPr>
          <w:snapToGrid w:val="0"/>
        </w:rPr>
        <w:tab/>
        <w:t>(4)</w:t>
      </w:r>
      <w:r>
        <w:rPr>
          <w:snapToGrid w:val="0"/>
        </w:rPr>
        <w:tab/>
        <w:t>When any society, body, or association is liable to a penalty under subsection (2) or (3A), every member of the committee or governing body thereof or (if there is no committee or governing body thereof) every member of the society, body or association shall be severally liable to the penalty unless he proves that the offence was committed without his knowledge or without his consent.</w:t>
      </w:r>
    </w:p>
    <w:p>
      <w:pPr>
        <w:pStyle w:val="Footnotesection"/>
      </w:pPr>
      <w:r>
        <w:tab/>
        <w:t xml:space="preserve">[Section 15 amended: No. 55 of 1947 s. 4; No. 113 of 1965 s. 8; No. 25 of 2019 s. 16.] </w:t>
      </w:r>
    </w:p>
    <w:p>
      <w:pPr>
        <w:pStyle w:val="Heading5"/>
        <w:rPr>
          <w:snapToGrid w:val="0"/>
        </w:rPr>
      </w:pPr>
      <w:bookmarkStart w:id="18" w:name="_Toc32233369"/>
      <w:r>
        <w:rPr>
          <w:rStyle w:val="CharSectno"/>
        </w:rPr>
        <w:t>16</w:t>
      </w:r>
      <w:r>
        <w:rPr>
          <w:snapToGrid w:val="0"/>
        </w:rPr>
        <w:t>.</w:t>
      </w:r>
      <w:r>
        <w:rPr>
          <w:snapToGrid w:val="0"/>
        </w:rPr>
        <w:tab/>
        <w:t>Transfers of moneys</w:t>
      </w:r>
      <w:bookmarkEnd w:id="18"/>
      <w:r>
        <w:rPr>
          <w:snapToGrid w:val="0"/>
        </w:rPr>
        <w:t xml:space="preserve"> </w:t>
      </w:r>
    </w:p>
    <w:p>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pPr>
        <w:pStyle w:val="Indenta"/>
        <w:rPr>
          <w:snapToGrid w:val="0"/>
        </w:rPr>
      </w:pPr>
      <w:r>
        <w:rPr>
          <w:snapToGrid w:val="0"/>
        </w:rPr>
        <w:tab/>
        <w:t>(a)</w:t>
      </w:r>
      <w:r>
        <w:rPr>
          <w:snapToGrid w:val="0"/>
        </w:rPr>
        <w:tab/>
        <w:t>applied by such person, society, body or association to any other charitable purpose; or</w:t>
      </w:r>
    </w:p>
    <w:p>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pPr>
        <w:pStyle w:val="Subsection"/>
        <w:rPr>
          <w:snapToGrid w:val="0"/>
        </w:rPr>
      </w:pPr>
      <w:r>
        <w:rPr>
          <w:snapToGrid w:val="0"/>
        </w:rPr>
        <w:tab/>
        <w:t>(1A)</w:t>
      </w:r>
      <w:r>
        <w:rPr>
          <w:snapToGrid w:val="0"/>
        </w:rPr>
        <w:tab/>
        <w:t>If such moneys, securities or goods were originally collected by a war fund they shall be applied to purposes connected with the present war unless the Minister on the advice of the advisory committee otherwise directs.</w:t>
      </w:r>
    </w:p>
    <w:p>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pPr>
        <w:pStyle w:val="Subsection"/>
        <w:rPr>
          <w:snapToGrid w:val="0"/>
        </w:rPr>
      </w:pPr>
      <w:r>
        <w:rPr>
          <w:snapToGrid w:val="0"/>
        </w:rPr>
        <w:tab/>
        <w:t>(4)</w:t>
      </w:r>
      <w:r>
        <w:rPr>
          <w:snapToGrid w:val="0"/>
        </w:rPr>
        <w:tab/>
        <w:t>This section shall apply notwithstanding any exemption given by a proclamation issued under section 6(5).</w:t>
      </w:r>
    </w:p>
    <w:p>
      <w:pPr>
        <w:pStyle w:val="Footnotesection"/>
      </w:pPr>
      <w:r>
        <w:tab/>
        <w:t xml:space="preserve">[Section 16 amended: No. 55 of 1947 s. 5; No. 19 of 2010 s. 51.] </w:t>
      </w:r>
    </w:p>
    <w:p>
      <w:pPr>
        <w:pStyle w:val="Heading5"/>
        <w:rPr>
          <w:snapToGrid w:val="0"/>
        </w:rPr>
      </w:pPr>
      <w:bookmarkStart w:id="19" w:name="_Toc32233370"/>
      <w:r>
        <w:rPr>
          <w:rStyle w:val="CharSectno"/>
        </w:rPr>
        <w:t>17</w:t>
      </w:r>
      <w:r>
        <w:rPr>
          <w:snapToGrid w:val="0"/>
        </w:rPr>
        <w:t>.</w:t>
      </w:r>
      <w:r>
        <w:rPr>
          <w:snapToGrid w:val="0"/>
        </w:rPr>
        <w:tab/>
        <w:t>Vesting of funds in Minister</w:t>
      </w:r>
      <w:bookmarkEnd w:id="19"/>
      <w:r>
        <w:rPr>
          <w:snapToGrid w:val="0"/>
        </w:rPr>
        <w:t xml:space="preserve"> </w:t>
      </w:r>
    </w:p>
    <w:p>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pPr>
        <w:pStyle w:val="Indenta"/>
        <w:rPr>
          <w:snapToGrid w:val="0"/>
        </w:rPr>
      </w:pPr>
      <w:r>
        <w:rPr>
          <w:snapToGrid w:val="0"/>
        </w:rPr>
        <w:tab/>
        <w:t>(b)</w:t>
      </w:r>
      <w:r>
        <w:rPr>
          <w:snapToGrid w:val="0"/>
        </w:rPr>
        <w:tab/>
        <w:t>there has been maladministration of the moneys, securities for moneys, or goods.</w:t>
      </w:r>
    </w:p>
    <w:p>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w:t>
      </w:r>
    </w:p>
    <w:p>
      <w:pPr>
        <w:pStyle w:val="Subsection"/>
        <w:rPr>
          <w:snapToGrid w:val="0"/>
        </w:rPr>
      </w:pPr>
      <w:r>
        <w:rPr>
          <w:snapToGrid w:val="0"/>
        </w:rPr>
        <w:tab/>
        <w:t>(2A)</w:t>
      </w:r>
      <w:r>
        <w:rPr>
          <w:snapToGrid w:val="0"/>
        </w:rPr>
        <w:tab/>
      </w:r>
      <w:r>
        <w:t>The Governor</w:t>
      </w:r>
      <w:r>
        <w:rPr>
          <w:snapToGrid w:val="0"/>
        </w:rPr>
        <w:t xml:space="preserve"> may by proclamation vary the </w:t>
      </w:r>
      <w:r>
        <w:t>trusts referred to in subsection (2) and</w:t>
      </w:r>
      <w:r>
        <w:rPr>
          <w:snapToGrid w:val="0"/>
        </w:rPr>
        <w:t xml:space="preserve"> may by the same or any subsequent proclamation vest the said moneys, securities and goods or any part thereof in such persons and for such charitable purposes as the Governor shall specify.</w:t>
      </w:r>
    </w:p>
    <w:p>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pPr>
        <w:pStyle w:val="Footnotesection"/>
      </w:pPr>
      <w:r>
        <w:tab/>
        <w:t xml:space="preserve">[Section 17 amended: No. 55 of 1947 s. 6; No. 19 of 2010 s. 51.] </w:t>
      </w:r>
    </w:p>
    <w:p>
      <w:pPr>
        <w:pStyle w:val="Heading5"/>
      </w:pPr>
      <w:bookmarkStart w:id="20" w:name="_Toc32233371"/>
      <w:r>
        <w:rPr>
          <w:rStyle w:val="CharSectno"/>
        </w:rPr>
        <w:t>17A</w:t>
      </w:r>
      <w:r>
        <w:t>.</w:t>
      </w:r>
      <w:r>
        <w:tab/>
        <w:t>Delegation</w:t>
      </w:r>
      <w:bookmarkEnd w:id="20"/>
    </w:p>
    <w:p>
      <w:pPr>
        <w:pStyle w:val="Subsection"/>
      </w:pPr>
      <w:r>
        <w:tab/>
        <w:t>(1)</w:t>
      </w:r>
      <w:r>
        <w:tab/>
        <w:t>The Minister may, either generally or as provided by the instrument of delegation, delegate to any person any of the Minister’s functions under this Act except this power of delegation.</w:t>
      </w:r>
    </w:p>
    <w:p>
      <w:pPr>
        <w:pStyle w:val="Subsection"/>
      </w:pPr>
      <w:r>
        <w:tab/>
        <w:t>(2)</w:t>
      </w:r>
      <w:r>
        <w:tab/>
        <w:t>Performance of a function by a delegate is to be treated as performance by the Minister.</w:t>
      </w:r>
    </w:p>
    <w:p>
      <w:pPr>
        <w:pStyle w:val="Subsection"/>
      </w:pPr>
      <w:r>
        <w:tab/>
        <w:t>(3)</w:t>
      </w:r>
      <w:r>
        <w:tab/>
        <w:t>A person purporting to act under this section as a delegate is taken to have acted in accordance with the terms of the delegation unless the contrary is shown.</w:t>
      </w:r>
    </w:p>
    <w:p>
      <w:pPr>
        <w:pStyle w:val="Footnotesection"/>
      </w:pPr>
      <w:r>
        <w:tab/>
        <w:t>[Section 17A inserted: No. 74 of 2003 s. 33.]</w:t>
      </w:r>
    </w:p>
    <w:p>
      <w:pPr>
        <w:pStyle w:val="Ednotesection"/>
        <w:rPr>
          <w:rStyle w:val="CharSectno"/>
          <w:b/>
        </w:rPr>
      </w:pPr>
      <w:r>
        <w:rPr>
          <w:rStyle w:val="CharSectno"/>
        </w:rPr>
        <w:t>[</w:t>
      </w:r>
      <w:r>
        <w:rPr>
          <w:b/>
        </w:rPr>
        <w:t>18.</w:t>
      </w:r>
      <w:r>
        <w:rPr>
          <w:rStyle w:val="CharSectno"/>
        </w:rPr>
        <w:tab/>
        <w:t>Deleted: No. 25 of 2019 s. 17.]</w:t>
      </w:r>
    </w:p>
    <w:p>
      <w:pPr>
        <w:pStyle w:val="Heading5"/>
        <w:rPr>
          <w:snapToGrid w:val="0"/>
        </w:rPr>
      </w:pPr>
      <w:bookmarkStart w:id="21" w:name="_Toc32233372"/>
      <w:r>
        <w:rPr>
          <w:rStyle w:val="CharSectno"/>
        </w:rPr>
        <w:t>19</w:t>
      </w:r>
      <w:r>
        <w:rPr>
          <w:snapToGrid w:val="0"/>
        </w:rPr>
        <w:t>.</w:t>
      </w:r>
      <w:r>
        <w:rPr>
          <w:snapToGrid w:val="0"/>
        </w:rPr>
        <w:tab/>
        <w:t>Proceedings for offences</w:t>
      </w:r>
      <w:bookmarkEnd w:id="21"/>
      <w:r>
        <w:rPr>
          <w:snapToGrid w:val="0"/>
        </w:rPr>
        <w:t xml:space="preserve"> </w:t>
      </w:r>
    </w:p>
    <w:p>
      <w:pPr>
        <w:pStyle w:val="Subsection"/>
        <w:rPr>
          <w:snapToGrid w:val="0"/>
        </w:rPr>
      </w:pPr>
      <w:r>
        <w:rPr>
          <w:snapToGrid w:val="0"/>
        </w:rPr>
        <w:tab/>
        <w:t>(1)</w:t>
      </w:r>
      <w:r>
        <w:rPr>
          <w:snapToGrid w:val="0"/>
        </w:rPr>
        <w:tab/>
        <w:t xml:space="preserve">No prosecution for an offence against this Act is to be commenced without the approval in writing of the </w:t>
      </w:r>
      <w:r>
        <w:t>Commissioner.</w:t>
      </w:r>
    </w:p>
    <w:p>
      <w:pPr>
        <w:pStyle w:val="Subsection"/>
        <w:rPr>
          <w:snapToGrid w:val="0"/>
        </w:rPr>
      </w:pPr>
      <w:r>
        <w:rPr>
          <w:snapToGrid w:val="0"/>
        </w:rPr>
        <w:tab/>
        <w:t>(2)</w:t>
      </w:r>
      <w:r>
        <w:rPr>
          <w:snapToGrid w:val="0"/>
        </w:rPr>
        <w:tab/>
        <w:t xml:space="preserve">Unless proof to the contrary is given, any document purporting to be signed by the </w:t>
      </w:r>
      <w:r>
        <w:t>Commissioner</w:t>
      </w:r>
      <w:r>
        <w:rPr>
          <w:snapToGrid w:val="0"/>
        </w:rPr>
        <w:t xml:space="preserve"> and to be an approval by the </w:t>
      </w:r>
      <w:r>
        <w:t>Commissioner</w:t>
      </w:r>
      <w:r>
        <w:rPr>
          <w:snapToGrid w:val="0"/>
        </w:rPr>
        <w:t xml:space="preserve"> under subsection (1) shall, without any further proof or proof of the signature of the </w:t>
      </w:r>
      <w:r>
        <w:t>Commissioner,</w:t>
      </w:r>
      <w:r>
        <w:rPr>
          <w:snapToGrid w:val="0"/>
        </w:rPr>
        <w:t xml:space="preserve"> be sufficient proof before any court of the giving of the approval.</w:t>
      </w:r>
    </w:p>
    <w:p>
      <w:pPr>
        <w:pStyle w:val="Footnotesection"/>
      </w:pPr>
      <w:r>
        <w:tab/>
        <w:t>[Section 19 amended: No. 25 of 2019 s. 18.]</w:t>
      </w:r>
    </w:p>
    <w:p>
      <w:pPr>
        <w:pStyle w:val="Heading5"/>
        <w:rPr>
          <w:snapToGrid w:val="0"/>
        </w:rPr>
      </w:pPr>
      <w:bookmarkStart w:id="22" w:name="_Toc32233373"/>
      <w:r>
        <w:rPr>
          <w:rStyle w:val="CharSectno"/>
        </w:rPr>
        <w:t>20</w:t>
      </w:r>
      <w:r>
        <w:rPr>
          <w:snapToGrid w:val="0"/>
        </w:rPr>
        <w:t>.</w:t>
      </w:r>
      <w:r>
        <w:rPr>
          <w:snapToGrid w:val="0"/>
        </w:rPr>
        <w:tab/>
        <w:t>Audit of accounts</w:t>
      </w:r>
      <w:bookmarkEnd w:id="22"/>
      <w:r>
        <w:rPr>
          <w:snapToGrid w:val="0"/>
        </w:rPr>
        <w:t xml:space="preserve"> </w:t>
      </w:r>
    </w:p>
    <w:p>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pPr>
        <w:pStyle w:val="Subsection"/>
        <w:rPr>
          <w:snapToGrid w:val="0"/>
        </w:rPr>
      </w:pPr>
      <w:r>
        <w:rPr>
          <w:snapToGrid w:val="0"/>
        </w:rPr>
        <w:tab/>
        <w:t>(3)</w:t>
      </w:r>
      <w:r>
        <w:rPr>
          <w:snapToGrid w:val="0"/>
        </w:rPr>
        <w:tab/>
        <w:t>Such report may, if the Minister so directs, be published in any newspaper.</w:t>
      </w:r>
    </w:p>
    <w:p>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iCs/>
        </w:rPr>
        <w:t>Auditor General Act 2006</w:t>
      </w:r>
      <w:r>
        <w:t>.</w:t>
      </w:r>
    </w:p>
    <w:p>
      <w:pPr>
        <w:pStyle w:val="Footnotesection"/>
      </w:pPr>
      <w:r>
        <w:tab/>
        <w:t xml:space="preserve">[Section 20 amended: No. 2 of 1949 s. 4; No. 98 of 1985 s. 3; No. 77 of 2006 Sch. 1 cl. 23.] </w:t>
      </w:r>
    </w:p>
    <w:p>
      <w:pPr>
        <w:pStyle w:val="Heading5"/>
      </w:pPr>
      <w:bookmarkStart w:id="23" w:name="_Toc32233374"/>
      <w:r>
        <w:rPr>
          <w:rStyle w:val="CharSectno"/>
        </w:rPr>
        <w:t>20A</w:t>
      </w:r>
      <w:r>
        <w:t>.</w:t>
      </w:r>
      <w:r>
        <w:tab/>
        <w:t>Powers of investigation</w:t>
      </w:r>
      <w:bookmarkEnd w:id="23"/>
    </w:p>
    <w:p>
      <w:pPr>
        <w:pStyle w:val="Subsection"/>
      </w:pPr>
      <w:r>
        <w:tab/>
      </w:r>
      <w:r>
        <w:tab/>
        <w:t xml:space="preserve">The </w:t>
      </w:r>
      <w:r>
        <w:rPr>
          <w:i/>
        </w:rPr>
        <w:t>Fair Trading Act 2010</w:t>
      </w:r>
      <w:r>
        <w:t xml:space="preserve"> section 61 and Part 6 of that Act, other than section 88E, apply for the purposes of this Act.</w:t>
      </w:r>
    </w:p>
    <w:p>
      <w:pPr>
        <w:pStyle w:val="Footnotesection"/>
      </w:pPr>
      <w:r>
        <w:tab/>
        <w:t>[Section 20A inserted: No. 25 of 2019 s. 19.]</w:t>
      </w:r>
    </w:p>
    <w:p>
      <w:pPr>
        <w:pStyle w:val="Heading5"/>
        <w:rPr>
          <w:snapToGrid w:val="0"/>
        </w:rPr>
      </w:pPr>
      <w:bookmarkStart w:id="24" w:name="_Toc32233375"/>
      <w:r>
        <w:rPr>
          <w:rStyle w:val="CharSectno"/>
        </w:rPr>
        <w:t>21</w:t>
      </w:r>
      <w:r>
        <w:rPr>
          <w:snapToGrid w:val="0"/>
        </w:rPr>
        <w:t>.</w:t>
      </w:r>
      <w:r>
        <w:rPr>
          <w:snapToGrid w:val="0"/>
        </w:rPr>
        <w:tab/>
        <w:t>Regulations</w:t>
      </w:r>
      <w:bookmarkEnd w:id="24"/>
      <w:r>
        <w:rPr>
          <w:snapToGrid w:val="0"/>
        </w:rPr>
        <w:t xml:space="preserve"> </w:t>
      </w:r>
    </w:p>
    <w:p>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pPr>
        <w:pStyle w:val="Indenta"/>
        <w:rPr>
          <w:snapToGrid w:val="0"/>
        </w:rPr>
      </w:pPr>
      <w:r>
        <w:rPr>
          <w:snapToGrid w:val="0"/>
        </w:rPr>
        <w:tab/>
        <w:t>(a)</w:t>
      </w:r>
      <w:r>
        <w:rPr>
          <w:snapToGrid w:val="0"/>
        </w:rPr>
        <w:tab/>
        <w:t>to prescribe the manner in which and times when returns, accounts and statements required under this Act, shall be made;</w:t>
      </w:r>
    </w:p>
    <w:p>
      <w:pPr>
        <w:pStyle w:val="Indenta"/>
        <w:rPr>
          <w:snapToGrid w:val="0"/>
        </w:rPr>
      </w:pPr>
      <w:r>
        <w:rPr>
          <w:snapToGrid w:val="0"/>
        </w:rPr>
        <w:tab/>
        <w:t>(b)</w:t>
      </w:r>
      <w:r>
        <w:rPr>
          <w:snapToGrid w:val="0"/>
        </w:rPr>
        <w:tab/>
        <w:t>to prescribe the manner of investment of moneys collected or held for charitable purposes;</w:t>
      </w:r>
    </w:p>
    <w:p>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pPr>
        <w:pStyle w:val="Indenta"/>
        <w:rPr>
          <w:snapToGrid w:val="0"/>
        </w:rPr>
      </w:pPr>
      <w:r>
        <w:rPr>
          <w:snapToGrid w:val="0"/>
        </w:rPr>
        <w:tab/>
        <w:t>(d)</w:t>
      </w:r>
      <w:r>
        <w:rPr>
          <w:snapToGrid w:val="0"/>
        </w:rPr>
        <w:tab/>
        <w:t>to prescribe and regulate methods of banking of moneys collected for charitable purposes;</w:t>
      </w:r>
    </w:p>
    <w:p>
      <w:pPr>
        <w:pStyle w:val="Indenta"/>
        <w:rPr>
          <w:snapToGrid w:val="0"/>
        </w:rPr>
      </w:pPr>
      <w:r>
        <w:rPr>
          <w:snapToGrid w:val="0"/>
        </w:rPr>
        <w:tab/>
        <w:t>(e)</w:t>
      </w:r>
      <w:r>
        <w:rPr>
          <w:snapToGrid w:val="0"/>
        </w:rPr>
        <w:tab/>
        <w:t>to prescribe the forms to be used for the purposes of this Act;</w:t>
      </w:r>
    </w:p>
    <w:p>
      <w:pPr>
        <w:pStyle w:val="Indenta"/>
        <w:rPr>
          <w:snapToGrid w:val="0"/>
        </w:rPr>
      </w:pPr>
      <w:r>
        <w:rPr>
          <w:snapToGrid w:val="0"/>
        </w:rPr>
        <w:tab/>
        <w:t>(f)</w:t>
      </w:r>
      <w:r>
        <w:rPr>
          <w:snapToGrid w:val="0"/>
        </w:rPr>
        <w:tab/>
        <w:t>to regulate the proceedings and provide for the carrying on of the functions of the advisory committee.</w:t>
      </w:r>
    </w:p>
    <w:p>
      <w:pPr>
        <w:pStyle w:val="Footnotesection"/>
      </w:pPr>
      <w:r>
        <w:tab/>
        <w:t xml:space="preserve">[Section 21 amended: No. 55 of 1947 s. 7.] </w:t>
      </w:r>
    </w:p>
    <w:p>
      <w:pPr>
        <w:pStyle w:val="Heading5"/>
      </w:pPr>
      <w:bookmarkStart w:id="25" w:name="_Toc32233376"/>
      <w:r>
        <w:rPr>
          <w:rStyle w:val="CharSectno"/>
        </w:rPr>
        <w:t>22</w:t>
      </w:r>
      <w:r>
        <w:t>.</w:t>
      </w:r>
      <w:r>
        <w:tab/>
        <w:t xml:space="preserve">Transitional provision for </w:t>
      </w:r>
      <w:r>
        <w:rPr>
          <w:i/>
        </w:rPr>
        <w:t>Consumer Protection Legislation Amendment Act 2019</w:t>
      </w:r>
      <w:bookmarkEnd w:id="25"/>
    </w:p>
    <w:p>
      <w:pPr>
        <w:pStyle w:val="Subsection"/>
      </w:pPr>
      <w:r>
        <w:tab/>
        <w:t>(1)</w:t>
      </w:r>
      <w:r>
        <w:tab/>
        <w:t xml:space="preserve">In this section — </w:t>
      </w:r>
    </w:p>
    <w:p>
      <w:pPr>
        <w:pStyle w:val="Defstart"/>
      </w:pPr>
      <w:r>
        <w:tab/>
      </w:r>
      <w:r>
        <w:rPr>
          <w:rStyle w:val="CharDefText"/>
        </w:rPr>
        <w:t>authority</w:t>
      </w:r>
      <w:r>
        <w:t xml:space="preserve"> means the authority referred to in section 6(1)(g);</w:t>
      </w:r>
    </w:p>
    <w:p>
      <w:pPr>
        <w:pStyle w:val="Defstart"/>
      </w:pPr>
      <w:r>
        <w:tab/>
      </w:r>
      <w:r>
        <w:rPr>
          <w:rStyle w:val="CharDefText"/>
        </w:rPr>
        <w:t>commencement day</w:t>
      </w:r>
      <w:r>
        <w:t xml:space="preserve"> means the day on which the </w:t>
      </w:r>
      <w:r>
        <w:rPr>
          <w:i/>
        </w:rPr>
        <w:t>Consumer Protection Legislation Amendment Act 2019</w:t>
      </w:r>
      <w:r>
        <w:t xml:space="preserve"> section 11 comes into operation.</w:t>
      </w:r>
    </w:p>
    <w:p>
      <w:pPr>
        <w:pStyle w:val="Subsection"/>
      </w:pPr>
      <w:r>
        <w:tab/>
        <w:t>(2)</w:t>
      </w:r>
      <w:r>
        <w:tab/>
        <w:t>The Minister’s approval of a means of giving an authority under section 8 of this Act, as in force immediately before commencement day, is taken, on and from commencement day, to be a means approved by the Commissioner under section 8 of this Act.</w:t>
      </w:r>
    </w:p>
    <w:p>
      <w:pPr>
        <w:pStyle w:val="Footnotesection"/>
      </w:pPr>
      <w:r>
        <w:tab/>
        <w:t>[Section 22 inserted: No. 25 of 2019 s. 20.]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26" w:name="_Toc32233350"/>
      <w:bookmarkStart w:id="27" w:name="_Toc32233377"/>
      <w:r>
        <w:t>Notes</w:t>
      </w:r>
      <w:bookmarkEnd w:id="26"/>
      <w:bookmarkEnd w:id="27"/>
    </w:p>
    <w:p>
      <w:pPr>
        <w:pStyle w:val="nStatement"/>
      </w:pPr>
      <w:r>
        <w:t xml:space="preserve">This is a compilation of the </w:t>
      </w:r>
      <w:r>
        <w:rPr>
          <w:i/>
          <w:noProof/>
        </w:rPr>
        <w:t>Charitable Collections Act 1946</w:t>
      </w:r>
      <w:r>
        <w:t xml:space="preserve"> and includes amendments made by other written laws. For provisions that have come into operation, and for information about any reprints, see the compilation table.</w:t>
      </w:r>
    </w:p>
    <w:p>
      <w:pPr>
        <w:pStyle w:val="nHeading3"/>
      </w:pPr>
      <w:bookmarkStart w:id="28" w:name="_Toc32233378"/>
      <w:r>
        <w:t>Compilation table</w:t>
      </w:r>
      <w:bookmarkEnd w:id="28"/>
    </w:p>
    <w:tbl>
      <w:tblPr>
        <w:tblW w:w="0" w:type="auto"/>
        <w:tblInd w:w="-1"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9"/>
        <w:gridCol w:w="2244"/>
        <w:gridCol w:w="24"/>
        <w:gridCol w:w="1115"/>
        <w:gridCol w:w="19"/>
        <w:gridCol w:w="1116"/>
        <w:gridCol w:w="18"/>
        <w:gridCol w:w="2534"/>
        <w:gridCol w:w="18"/>
      </w:tblGrid>
      <w:tr>
        <w:trPr>
          <w:gridBefore w:val="1"/>
          <w:wBefore w:w="29" w:type="dxa"/>
          <w:tblHeader/>
        </w:trPr>
        <w:tc>
          <w:tcPr>
            <w:tcW w:w="2268"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Charitable Collections Act 1946</w:t>
            </w:r>
          </w:p>
        </w:tc>
        <w:tc>
          <w:tcPr>
            <w:tcW w:w="1139" w:type="dxa"/>
            <w:gridSpan w:val="2"/>
          </w:tcPr>
          <w:p>
            <w:pPr>
              <w:pStyle w:val="nTable"/>
              <w:spacing w:after="40"/>
            </w:pPr>
            <w:r>
              <w:t>29 of 1946 (10 and 11 Geo. VI No. 29)</w:t>
            </w:r>
          </w:p>
        </w:tc>
        <w:tc>
          <w:tcPr>
            <w:tcW w:w="1135" w:type="dxa"/>
            <w:gridSpan w:val="2"/>
          </w:tcPr>
          <w:p>
            <w:pPr>
              <w:pStyle w:val="nTable"/>
              <w:spacing w:after="40"/>
            </w:pPr>
            <w:r>
              <w:t>24 Jan 1947</w:t>
            </w:r>
          </w:p>
        </w:tc>
        <w:tc>
          <w:tcPr>
            <w:tcW w:w="2552" w:type="dxa"/>
            <w:gridSpan w:val="2"/>
          </w:tcPr>
          <w:p>
            <w:pPr>
              <w:pStyle w:val="nTable"/>
              <w:spacing w:after="40"/>
            </w:pPr>
            <w:r>
              <w:t xml:space="preserve">28 Mar 1947 (see s. 2 and </w:t>
            </w:r>
            <w:r>
              <w:rPr>
                <w:i/>
              </w:rPr>
              <w:t>Gazette</w:t>
            </w:r>
            <w:r>
              <w:t xml:space="preserve"> 28 Mar 1947 p. 509)</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Charitable Collections Act Amendment Act 1947</w:t>
            </w:r>
          </w:p>
        </w:tc>
        <w:tc>
          <w:tcPr>
            <w:tcW w:w="1139" w:type="dxa"/>
            <w:gridSpan w:val="2"/>
          </w:tcPr>
          <w:p>
            <w:pPr>
              <w:pStyle w:val="nTable"/>
              <w:spacing w:after="40"/>
            </w:pPr>
            <w:r>
              <w:t>55 of 1947 (11 and 12 Geo. VI No. 55)</w:t>
            </w:r>
          </w:p>
        </w:tc>
        <w:tc>
          <w:tcPr>
            <w:tcW w:w="1135" w:type="dxa"/>
            <w:gridSpan w:val="2"/>
          </w:tcPr>
          <w:p>
            <w:pPr>
              <w:pStyle w:val="nTable"/>
              <w:spacing w:after="40"/>
            </w:pPr>
            <w:r>
              <w:t>10 Jan 1948</w:t>
            </w:r>
          </w:p>
        </w:tc>
        <w:tc>
          <w:tcPr>
            <w:tcW w:w="2552" w:type="dxa"/>
            <w:gridSpan w:val="2"/>
          </w:tcPr>
          <w:p>
            <w:pPr>
              <w:pStyle w:val="nTable"/>
              <w:spacing w:after="40"/>
            </w:pPr>
            <w:r>
              <w:t>10 Jan 1948</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Charitable Collections Act Amendment Act 1949</w:t>
            </w:r>
          </w:p>
        </w:tc>
        <w:tc>
          <w:tcPr>
            <w:tcW w:w="1139" w:type="dxa"/>
            <w:gridSpan w:val="2"/>
          </w:tcPr>
          <w:p>
            <w:pPr>
              <w:pStyle w:val="nTable"/>
              <w:spacing w:after="40"/>
            </w:pPr>
            <w:r>
              <w:t>2 of 1949 (13 Geo. VI No. 88)</w:t>
            </w:r>
          </w:p>
        </w:tc>
        <w:tc>
          <w:tcPr>
            <w:tcW w:w="1135" w:type="dxa"/>
            <w:gridSpan w:val="2"/>
          </w:tcPr>
          <w:p>
            <w:pPr>
              <w:pStyle w:val="nTable"/>
              <w:spacing w:after="40"/>
            </w:pPr>
            <w:r>
              <w:t>24 Aug 1949</w:t>
            </w:r>
          </w:p>
        </w:tc>
        <w:tc>
          <w:tcPr>
            <w:tcW w:w="2552" w:type="dxa"/>
            <w:gridSpan w:val="2"/>
          </w:tcPr>
          <w:p>
            <w:pPr>
              <w:pStyle w:val="nTable"/>
              <w:spacing w:after="40"/>
            </w:pPr>
            <w:r>
              <w:t>24 Aug 1949</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pPr>
              <w:pStyle w:val="nTable"/>
              <w:spacing w:after="40"/>
            </w:pPr>
            <w:r>
              <w:rPr>
                <w:b/>
              </w:rPr>
              <w:t xml:space="preserve">Reprint of the </w:t>
            </w:r>
            <w:r>
              <w:rPr>
                <w:b/>
                <w:i/>
              </w:rPr>
              <w:t>Charitable Collections Act 1946</w:t>
            </w:r>
            <w:r>
              <w:rPr>
                <w:b/>
              </w:rPr>
              <w:t xml:space="preserve"> approved 9 Apr 1959</w:t>
            </w:r>
            <w:r>
              <w:t xml:space="preserve"> (includes amendments listed above)</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rPr>
                <w:i/>
              </w:rPr>
            </w:pPr>
            <w:r>
              <w:rPr>
                <w:i/>
              </w:rPr>
              <w:t>Decimal Currency Act 1965</w:t>
            </w:r>
          </w:p>
        </w:tc>
        <w:tc>
          <w:tcPr>
            <w:tcW w:w="1139" w:type="dxa"/>
            <w:gridSpan w:val="2"/>
          </w:tcPr>
          <w:p>
            <w:pPr>
              <w:pStyle w:val="nTable"/>
              <w:spacing w:after="40"/>
            </w:pPr>
            <w:r>
              <w:t>113 of 1965</w:t>
            </w:r>
          </w:p>
        </w:tc>
        <w:tc>
          <w:tcPr>
            <w:tcW w:w="1135" w:type="dxa"/>
            <w:gridSpan w:val="2"/>
          </w:tcPr>
          <w:p>
            <w:pPr>
              <w:pStyle w:val="nTable"/>
              <w:spacing w:after="40"/>
            </w:pPr>
            <w:r>
              <w:t>21 Dec 1965</w:t>
            </w:r>
          </w:p>
        </w:tc>
        <w:tc>
          <w:tcPr>
            <w:tcW w:w="2552" w:type="dxa"/>
            <w:gridSpan w:val="2"/>
          </w:tcPr>
          <w:p>
            <w:pPr>
              <w:pStyle w:val="nTable"/>
              <w:spacing w:after="40"/>
              <w:ind w:right="-84"/>
            </w:pPr>
            <w:r>
              <w:t>Act other than s. 4-9: 21 Dec 1965 (see s. 2(1));</w:t>
            </w:r>
            <w:r>
              <w:br/>
              <w:t>s. 4</w:t>
            </w:r>
            <w:r>
              <w:noBreakHyphen/>
              <w:t>9: 14 Feb 1966 (see s. 2(2))</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pPr>
              <w:pStyle w:val="nTable"/>
              <w:spacing w:after="40"/>
              <w:rPr>
                <w:spacing w:val="-2"/>
              </w:rPr>
            </w:pPr>
            <w:r>
              <w:rPr>
                <w:b/>
              </w:rPr>
              <w:t xml:space="preserve">Reprint of the </w:t>
            </w:r>
            <w:r>
              <w:rPr>
                <w:b/>
                <w:i/>
              </w:rPr>
              <w:t>Charitable Collections Act 1946</w:t>
            </w:r>
            <w:r>
              <w:rPr>
                <w:b/>
              </w:rPr>
              <w:t xml:space="preserve"> authorised 24 Mar 1971 </w:t>
            </w:r>
            <w:r>
              <w:t>(includes amendments listed above)</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Acts Amendment (Financial Administration and Audit) Act 1985</w:t>
            </w:r>
            <w:r>
              <w:t xml:space="preserve"> s. 3</w:t>
            </w:r>
          </w:p>
        </w:tc>
        <w:tc>
          <w:tcPr>
            <w:tcW w:w="1139" w:type="dxa"/>
            <w:gridSpan w:val="2"/>
          </w:tcPr>
          <w:p>
            <w:pPr>
              <w:pStyle w:val="nTable"/>
              <w:spacing w:after="40"/>
            </w:pPr>
            <w:r>
              <w:t>98 of 1985</w:t>
            </w:r>
          </w:p>
        </w:tc>
        <w:tc>
          <w:tcPr>
            <w:tcW w:w="1135" w:type="dxa"/>
            <w:gridSpan w:val="2"/>
          </w:tcPr>
          <w:p>
            <w:pPr>
              <w:pStyle w:val="nTable"/>
              <w:spacing w:after="40"/>
            </w:pPr>
            <w:r>
              <w:t>4 Dec 1985</w:t>
            </w:r>
          </w:p>
        </w:tc>
        <w:tc>
          <w:tcPr>
            <w:tcW w:w="2552" w:type="dxa"/>
            <w:gridSpan w:val="2"/>
          </w:tcPr>
          <w:p>
            <w:pPr>
              <w:pStyle w:val="nTable"/>
              <w:spacing w:after="40"/>
            </w:pPr>
            <w:r>
              <w:t xml:space="preserve">1 Jul 1986 (see s. 2 and </w:t>
            </w:r>
            <w:r>
              <w:rPr>
                <w:i/>
              </w:rPr>
              <w:t>Gazette</w:t>
            </w:r>
            <w:r>
              <w:t xml:space="preserve"> 30 Jun 1986 p. 2255)</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pPr>
              <w:pStyle w:val="nTable"/>
              <w:spacing w:after="40"/>
            </w:pPr>
            <w:r>
              <w:rPr>
                <w:i/>
              </w:rPr>
              <w:t>Statutes (Repeals and Minor Amendments) Act 2003</w:t>
            </w:r>
            <w:r>
              <w:t xml:space="preserve"> s. 33</w:t>
            </w:r>
          </w:p>
        </w:tc>
        <w:tc>
          <w:tcPr>
            <w:tcW w:w="1139" w:type="dxa"/>
            <w:gridSpan w:val="2"/>
          </w:tcPr>
          <w:p>
            <w:pPr>
              <w:pStyle w:val="nTable"/>
              <w:spacing w:after="40"/>
            </w:pPr>
            <w:r>
              <w:t>74 of 2003</w:t>
            </w:r>
          </w:p>
        </w:tc>
        <w:tc>
          <w:tcPr>
            <w:tcW w:w="1135" w:type="dxa"/>
            <w:gridSpan w:val="2"/>
          </w:tcPr>
          <w:p>
            <w:pPr>
              <w:pStyle w:val="nTable"/>
              <w:spacing w:after="40"/>
            </w:pPr>
            <w:r>
              <w:t>15 Dec 2003</w:t>
            </w:r>
          </w:p>
        </w:tc>
        <w:tc>
          <w:tcPr>
            <w:tcW w:w="2552" w:type="dxa"/>
            <w:gridSpan w:val="2"/>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pPr>
              <w:pStyle w:val="nTable"/>
              <w:spacing w:after="40"/>
            </w:pPr>
            <w:r>
              <w:rPr>
                <w:b/>
              </w:rPr>
              <w:t xml:space="preserve">Reprint 3: The </w:t>
            </w:r>
            <w:r>
              <w:rPr>
                <w:b/>
                <w:i/>
              </w:rPr>
              <w:t>Charitable Collections Act 1946</w:t>
            </w:r>
            <w:r>
              <w:rPr>
                <w:b/>
              </w:rPr>
              <w:t xml:space="preserve"> as at 2 Apr 2004</w:t>
            </w:r>
            <w: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trPr>
        <w:tc>
          <w:tcPr>
            <w:tcW w:w="2273" w:type="dxa"/>
            <w:gridSpan w:val="2"/>
            <w:tcBorders>
              <w:top w:val="nil"/>
              <w:bottom w:val="nil"/>
            </w:tcBorders>
          </w:tcPr>
          <w:p>
            <w:pPr>
              <w:pStyle w:val="nTable"/>
              <w:spacing w:after="40"/>
              <w:rPr>
                <w:snapToGrid w:val="0"/>
              </w:rPr>
            </w:pPr>
            <w:r>
              <w:rPr>
                <w:i/>
                <w:snapToGrid w:val="0"/>
              </w:rPr>
              <w:t>Courts Legislation Amendment and Repeal Act 2004</w:t>
            </w:r>
            <w:r>
              <w:rPr>
                <w:snapToGrid w:val="0"/>
              </w:rPr>
              <w:t xml:space="preserve"> s. 141</w:t>
            </w:r>
          </w:p>
        </w:tc>
        <w:tc>
          <w:tcPr>
            <w:tcW w:w="1139" w:type="dxa"/>
            <w:gridSpan w:val="2"/>
            <w:tcBorders>
              <w:top w:val="nil"/>
              <w:bottom w:val="nil"/>
            </w:tcBorders>
          </w:tcPr>
          <w:p>
            <w:pPr>
              <w:pStyle w:val="nTable"/>
              <w:spacing w:after="40"/>
              <w:rPr>
                <w:snapToGrid w:val="0"/>
              </w:rPr>
            </w:pPr>
            <w:r>
              <w:rPr>
                <w:snapToGrid w:val="0"/>
              </w:rPr>
              <w:t>59 of 2004</w:t>
            </w:r>
          </w:p>
        </w:tc>
        <w:tc>
          <w:tcPr>
            <w:tcW w:w="1135" w:type="dxa"/>
            <w:gridSpan w:val="2"/>
            <w:tcBorders>
              <w:top w:val="nil"/>
              <w:bottom w:val="nil"/>
            </w:tcBorders>
          </w:tcPr>
          <w:p>
            <w:pPr>
              <w:pStyle w:val="nTable"/>
              <w:spacing w:after="40"/>
              <w:ind w:left="-42" w:right="-108"/>
            </w:pPr>
            <w:r>
              <w:t>23 Nov 2004</w:t>
            </w:r>
          </w:p>
        </w:tc>
        <w:tc>
          <w:tcPr>
            <w:tcW w:w="2552" w:type="dxa"/>
            <w:gridSpan w:val="2"/>
            <w:tcBorders>
              <w:top w:val="nil"/>
              <w:bottom w:val="nil"/>
            </w:tcBorders>
          </w:tcPr>
          <w:p>
            <w:pPr>
              <w:pStyle w:val="nTable"/>
              <w:spacing w:after="40"/>
              <w:rPr>
                <w:snapToGrid w:val="0"/>
              </w:rPr>
            </w:pPr>
            <w:r>
              <w:rPr>
                <w:snapToGrid w:val="0"/>
              </w:rPr>
              <w:t xml:space="preserve">1 May 2005 (see s. 2 and </w:t>
            </w:r>
            <w:r>
              <w:rPr>
                <w:i/>
                <w:snapToGrid w:val="0"/>
              </w:rPr>
              <w:t>Gazette</w:t>
            </w:r>
            <w:r>
              <w:rPr>
                <w:snapToGrid w:val="0"/>
              </w:rPr>
              <w:t xml:space="preserve"> 31 Dec 2004 p. 7128)</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2273" w:type="dxa"/>
            <w:gridSpan w:val="2"/>
            <w:tcBorders>
              <w:top w:val="nil"/>
              <w:bottom w:val="nil"/>
            </w:tcBorders>
          </w:tcPr>
          <w:p>
            <w:pPr>
              <w:pStyle w:val="nTable"/>
              <w:spacing w:after="40"/>
              <w:rPr>
                <w:i/>
                <w:snapToGrid w:val="0"/>
              </w:rPr>
            </w:pPr>
            <w:r>
              <w:rPr>
                <w:i/>
                <w:snapToGrid w:val="0"/>
              </w:rPr>
              <w:t>Criminal Procedure and Appeals (Consequential and Other Provisions) Act 2004</w:t>
            </w:r>
            <w:r>
              <w:rPr>
                <w:snapToGrid w:val="0"/>
              </w:rPr>
              <w:t xml:space="preserve"> s. 82</w:t>
            </w:r>
          </w:p>
        </w:tc>
        <w:tc>
          <w:tcPr>
            <w:tcW w:w="1139" w:type="dxa"/>
            <w:gridSpan w:val="2"/>
            <w:tcBorders>
              <w:top w:val="nil"/>
              <w:bottom w:val="nil"/>
            </w:tcBorders>
          </w:tcPr>
          <w:p>
            <w:pPr>
              <w:pStyle w:val="nTable"/>
              <w:spacing w:after="40"/>
              <w:rPr>
                <w:snapToGrid w:val="0"/>
              </w:rPr>
            </w:pPr>
            <w:r>
              <w:rPr>
                <w:snapToGrid w:val="0"/>
              </w:rPr>
              <w:t>84 of 2004</w:t>
            </w:r>
          </w:p>
        </w:tc>
        <w:tc>
          <w:tcPr>
            <w:tcW w:w="1135" w:type="dxa"/>
            <w:gridSpan w:val="2"/>
            <w:tcBorders>
              <w:top w:val="nil"/>
              <w:bottom w:val="nil"/>
            </w:tcBorders>
          </w:tcPr>
          <w:p>
            <w:pPr>
              <w:pStyle w:val="nTable"/>
              <w:spacing w:after="40"/>
            </w:pPr>
            <w:r>
              <w:t>16 Dec 2004</w:t>
            </w:r>
          </w:p>
        </w:tc>
        <w:tc>
          <w:tcPr>
            <w:tcW w:w="2552" w:type="dxa"/>
            <w:gridSpan w:val="2"/>
            <w:tcBorders>
              <w:top w:val="nil"/>
              <w:bottom w:val="nil"/>
            </w:tcBorders>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trPr>
        <w:tc>
          <w:tcPr>
            <w:tcW w:w="2273" w:type="dxa"/>
            <w:gridSpan w:val="2"/>
            <w:tcBorders>
              <w:top w:val="nil"/>
              <w:bottom w:val="nil"/>
            </w:tcBorders>
          </w:tcPr>
          <w:p>
            <w:pPr>
              <w:pStyle w:val="nTable"/>
              <w:spacing w:after="40"/>
              <w:rPr>
                <w:i/>
                <w:snapToGrid w:val="0"/>
              </w:rPr>
            </w:pPr>
            <w:r>
              <w:rPr>
                <w:i/>
                <w:snapToGrid w:val="0"/>
              </w:rPr>
              <w:t xml:space="preserve">Financial Legislation Amendment and Repeal Act 2006 </w:t>
            </w:r>
            <w:r>
              <w:rPr>
                <w:iCs/>
                <w:snapToGrid w:val="0"/>
              </w:rPr>
              <w:t>Sch. 1 cl. 23</w:t>
            </w:r>
          </w:p>
        </w:tc>
        <w:tc>
          <w:tcPr>
            <w:tcW w:w="1139"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pPr>
            <w:r>
              <w:rPr>
                <w:snapToGrid w:val="0"/>
              </w:rPr>
              <w:t>21 Dec 2006</w:t>
            </w:r>
          </w:p>
        </w:tc>
        <w:tc>
          <w:tcPr>
            <w:tcW w:w="2552" w:type="dxa"/>
            <w:gridSpan w:val="2"/>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2273" w:type="dxa"/>
            <w:gridSpan w:val="2"/>
            <w:tcBorders>
              <w:top w:val="nil"/>
              <w:bottom w:val="nil"/>
            </w:tcBorders>
          </w:tcPr>
          <w:p>
            <w:pPr>
              <w:pStyle w:val="nTable"/>
              <w:spacing w:after="40"/>
              <w:rPr>
                <w:i/>
                <w:snapToGrid w:val="0"/>
              </w:rPr>
            </w:pPr>
            <w:r>
              <w:rPr>
                <w:i/>
              </w:rPr>
              <w:t>Statutes (Repeals and Miscellaneous Amendments) Act 2009</w:t>
            </w:r>
            <w:r>
              <w:rPr>
                <w:iCs/>
              </w:rPr>
              <w:t xml:space="preserve"> s. 28</w:t>
            </w:r>
          </w:p>
        </w:tc>
        <w:tc>
          <w:tcPr>
            <w:tcW w:w="1139" w:type="dxa"/>
            <w:gridSpan w:val="2"/>
            <w:tcBorders>
              <w:top w:val="nil"/>
              <w:bottom w:val="nil"/>
            </w:tcBorders>
          </w:tcPr>
          <w:p>
            <w:pPr>
              <w:pStyle w:val="nTable"/>
              <w:spacing w:after="40"/>
              <w:rPr>
                <w:snapToGrid w:val="0"/>
              </w:rPr>
            </w:pPr>
            <w:r>
              <w:t xml:space="preserve">8 of 2009 </w:t>
            </w:r>
          </w:p>
        </w:tc>
        <w:tc>
          <w:tcPr>
            <w:tcW w:w="1135" w:type="dxa"/>
            <w:gridSpan w:val="2"/>
            <w:tcBorders>
              <w:top w:val="nil"/>
              <w:bottom w:val="nil"/>
            </w:tcBorders>
          </w:tcPr>
          <w:p>
            <w:pPr>
              <w:pStyle w:val="nTable"/>
              <w:spacing w:after="40"/>
              <w:rPr>
                <w:snapToGrid w:val="0"/>
              </w:rPr>
            </w:pPr>
            <w:r>
              <w:t>21 May 2009</w:t>
            </w:r>
          </w:p>
        </w:tc>
        <w:tc>
          <w:tcPr>
            <w:tcW w:w="2552" w:type="dxa"/>
            <w:gridSpan w:val="2"/>
            <w:tcBorders>
              <w:top w:val="nil"/>
              <w:bottom w:val="nil"/>
            </w:tcBorders>
          </w:tcPr>
          <w:p>
            <w:pPr>
              <w:pStyle w:val="nTable"/>
              <w:spacing w:after="40"/>
              <w:rPr>
                <w:snapToGrid w:val="0"/>
              </w:rPr>
            </w:pPr>
            <w:r>
              <w:t>22 May 2009 (see s. 2(b))</w:t>
            </w:r>
          </w:p>
        </w:tc>
      </w:tr>
      <w:tr>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7099" w:type="dxa"/>
            <w:gridSpan w:val="8"/>
            <w:tcBorders>
              <w:top w:val="nil"/>
              <w:bottom w:val="nil"/>
            </w:tcBorders>
          </w:tcPr>
          <w:p>
            <w:pPr>
              <w:pStyle w:val="nTable"/>
              <w:spacing w:after="40"/>
            </w:pPr>
            <w:r>
              <w:rPr>
                <w:b/>
              </w:rPr>
              <w:t xml:space="preserve">Reprint 4: The </w:t>
            </w:r>
            <w:r>
              <w:rPr>
                <w:b/>
                <w:i/>
              </w:rPr>
              <w:t>Charitable Collections Act 1946</w:t>
            </w:r>
            <w:r>
              <w:rPr>
                <w:b/>
              </w:rPr>
              <w:t xml:space="preserve"> as at 4 Sep 2009</w:t>
            </w:r>
            <w:r>
              <w:t xml:space="preserve"> (includes amendments listed above)</w:t>
            </w:r>
          </w:p>
        </w:tc>
      </w:tr>
      <w:tr>
        <w:tblPrEx>
          <w:tblBorders>
            <w:top w:val="none" w:sz="0" w:space="0" w:color="auto"/>
            <w:bottom w:val="none" w:sz="0" w:space="0" w:color="auto"/>
            <w:insideH w:val="none" w:sz="0" w:space="0" w:color="auto"/>
          </w:tblBorders>
        </w:tblPrEx>
        <w:trPr>
          <w:gridAfter w:val="1"/>
          <w:wAfter w:w="18" w:type="dxa"/>
          <w:cantSplit/>
        </w:trPr>
        <w:tc>
          <w:tcPr>
            <w:tcW w:w="2273" w:type="dxa"/>
            <w:gridSpan w:val="2"/>
          </w:tcPr>
          <w:p>
            <w:pPr>
              <w:pStyle w:val="nTable"/>
              <w:spacing w:after="40"/>
              <w:ind w:right="113"/>
              <w:rPr>
                <w:iCs/>
                <w:snapToGrid w:val="0"/>
              </w:rPr>
            </w:pPr>
            <w:r>
              <w:rPr>
                <w:i/>
                <w:snapToGrid w:val="0"/>
              </w:rPr>
              <w:t>Standardisation of Formatting Act 2010</w:t>
            </w:r>
            <w:r>
              <w:rPr>
                <w:iCs/>
                <w:snapToGrid w:val="0"/>
              </w:rPr>
              <w:t xml:space="preserve"> s. 51</w:t>
            </w:r>
          </w:p>
        </w:tc>
        <w:tc>
          <w:tcPr>
            <w:tcW w:w="1139"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gridAfter w:val="1"/>
          <w:wAfter w:w="18" w:type="dxa"/>
          <w:cantSplit/>
        </w:trPr>
        <w:tc>
          <w:tcPr>
            <w:tcW w:w="2273" w:type="dxa"/>
            <w:gridSpan w:val="2"/>
            <w:tcBorders>
              <w:bottom w:val="single" w:sz="4" w:space="0" w:color="auto"/>
            </w:tcBorders>
          </w:tcPr>
          <w:p>
            <w:pPr>
              <w:pStyle w:val="nTable"/>
              <w:spacing w:after="40"/>
              <w:ind w:right="113"/>
              <w:rPr>
                <w:snapToGrid w:val="0"/>
              </w:rPr>
            </w:pPr>
            <w:r>
              <w:rPr>
                <w:i/>
                <w:snapToGrid w:val="0"/>
              </w:rPr>
              <w:t>Consumer Protection Legislation Amendment Act 2019</w:t>
            </w:r>
            <w:r>
              <w:rPr>
                <w:snapToGrid w:val="0"/>
              </w:rPr>
              <w:t xml:space="preserve"> Pt. 3</w:t>
            </w:r>
          </w:p>
        </w:tc>
        <w:tc>
          <w:tcPr>
            <w:tcW w:w="1139" w:type="dxa"/>
            <w:gridSpan w:val="2"/>
            <w:tcBorders>
              <w:bottom w:val="single" w:sz="4" w:space="0" w:color="auto"/>
            </w:tcBorders>
          </w:tcPr>
          <w:p>
            <w:pPr>
              <w:pStyle w:val="nTable"/>
              <w:spacing w:after="40"/>
              <w:rPr>
                <w:snapToGrid w:val="0"/>
              </w:rPr>
            </w:pPr>
            <w:r>
              <w:rPr>
                <w:snapToGrid w:val="0"/>
              </w:rPr>
              <w:t>25 of 2019</w:t>
            </w:r>
          </w:p>
        </w:tc>
        <w:tc>
          <w:tcPr>
            <w:tcW w:w="1135" w:type="dxa"/>
            <w:gridSpan w:val="2"/>
            <w:tcBorders>
              <w:bottom w:val="single" w:sz="4" w:space="0" w:color="auto"/>
            </w:tcBorders>
          </w:tcPr>
          <w:p>
            <w:pPr>
              <w:pStyle w:val="nTable"/>
              <w:spacing w:after="40"/>
              <w:rPr>
                <w:snapToGrid w:val="0"/>
              </w:rPr>
            </w:pPr>
            <w:r>
              <w:rPr>
                <w:snapToGrid w:val="0"/>
              </w:rPr>
              <w:t>24 Oct 2019</w:t>
            </w:r>
          </w:p>
        </w:tc>
        <w:tc>
          <w:tcPr>
            <w:tcW w:w="2552" w:type="dxa"/>
            <w:gridSpan w:val="2"/>
            <w:tcBorders>
              <w:bottom w:val="single" w:sz="4" w:space="0" w:color="auto"/>
            </w:tcBorders>
          </w:tcPr>
          <w:p>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bl>
    <w:p>
      <w:pPr>
        <w:pStyle w:val="nHeading3"/>
      </w:pPr>
      <w:bookmarkStart w:id="29" w:name="_Toc32233379"/>
      <w:r>
        <w:t>Other notes</w:t>
      </w:r>
      <w:bookmarkEnd w:id="29"/>
    </w:p>
    <w:p>
      <w:pPr>
        <w:pStyle w:val="nNote"/>
        <w:spacing w:before="240"/>
      </w:pPr>
      <w:r>
        <w:rPr>
          <w:snapToGrid w:val="0"/>
          <w:vertAlign w:val="superscript"/>
        </w:rPr>
        <w:t>1</w:t>
      </w:r>
      <w:r>
        <w:rPr>
          <w:snapToGrid w:val="0"/>
        </w:rPr>
        <w:tab/>
      </w:r>
      <w:r>
        <w:t>Repealed by section 3 of this Act.</w:t>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rPr>
          <w:sz w:val="28"/>
        </w:rPr>
      </w:pPr>
      <w:bookmarkStart w:id="31" w:name="_Toc32233353"/>
      <w:bookmarkStart w:id="32" w:name="_Toc32233380"/>
      <w:r>
        <w:rPr>
          <w:sz w:val="28"/>
        </w:rPr>
        <w:t>Defined terms</w:t>
      </w:r>
      <w:bookmarkEnd w:id="31"/>
      <w:bookmarkEnd w:id="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authority</w:t>
      </w:r>
      <w:r>
        <w:tab/>
        <w:t>22(1)</w:t>
      </w:r>
    </w:p>
    <w:p>
      <w:pPr>
        <w:pStyle w:val="DefinedTerms"/>
      </w:pPr>
      <w:r>
        <w:t>charitable purpose</w:t>
      </w:r>
      <w:r>
        <w:tab/>
        <w:t>5</w:t>
      </w:r>
    </w:p>
    <w:p>
      <w:pPr>
        <w:pStyle w:val="DefinedTerms"/>
      </w:pPr>
      <w:r>
        <w:t>collection records</w:t>
      </w:r>
      <w:r>
        <w:tab/>
        <w:t>15(1)</w:t>
      </w:r>
    </w:p>
    <w:p>
      <w:pPr>
        <w:pStyle w:val="DefinedTerms"/>
      </w:pPr>
      <w:r>
        <w:t>collector</w:t>
      </w:r>
      <w:r>
        <w:tab/>
        <w:t>15(1)</w:t>
      </w:r>
    </w:p>
    <w:p>
      <w:pPr>
        <w:pStyle w:val="DefinedTerms"/>
      </w:pPr>
      <w:r>
        <w:t>commencement day</w:t>
      </w:r>
      <w:r>
        <w:tab/>
        <w:t>22(1)</w:t>
      </w:r>
    </w:p>
    <w:p>
      <w:pPr>
        <w:pStyle w:val="DefinedTerms"/>
      </w:pPr>
      <w:r>
        <w:t>Commissioner</w:t>
      </w:r>
      <w:r>
        <w:tab/>
        <w:t>5</w:t>
      </w:r>
    </w:p>
    <w:p>
      <w:pPr>
        <w:pStyle w:val="DefinedTerms"/>
      </w:pPr>
      <w:r>
        <w:t>maladministration</w:t>
      </w:r>
      <w:r>
        <w:tab/>
        <w:t>5</w:t>
      </w:r>
    </w:p>
    <w:p>
      <w:pPr>
        <w:pStyle w:val="DefinedTerms"/>
      </w:pPr>
      <w:r>
        <w:t>Minister</w:t>
      </w:r>
      <w:r>
        <w:tab/>
        <w:t>5</w:t>
      </w:r>
    </w:p>
    <w:p>
      <w:pPr>
        <w:pStyle w:val="DefinedTerms"/>
      </w:pPr>
      <w:r>
        <w:t>resent war</w:t>
      </w:r>
      <w:r>
        <w:tab/>
        <w:t>5</w:t>
      </w:r>
    </w:p>
    <w:p>
      <w:pPr>
        <w:pStyle w:val="DefinedTerms"/>
      </w:pPr>
      <w:r>
        <w:t>securities for money</w:t>
      </w:r>
      <w:r>
        <w:tab/>
        <w:t>5</w:t>
      </w:r>
    </w:p>
    <w:p>
      <w:pPr>
        <w:pStyle w:val="DefinedTerms"/>
      </w:pPr>
      <w:r>
        <w:t>war fund</w:t>
      </w:r>
      <w:r>
        <w:tab/>
        <w:t>5</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09" w:bottom="2976"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0" w:name="Compilation"/>
    <w:bookmarkEnd w:id="3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 w:name="DefinedTerms"/>
    <w:bookmarkEnd w:id="3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4" w:name="Coversheet"/>
    <w:bookmarkEnd w:id="3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DE040E"/>
    <w:lvl w:ilvl="0">
      <w:start w:val="1"/>
      <w:numFmt w:val="decimal"/>
      <w:lvlText w:val="%1."/>
      <w:lvlJc w:val="left"/>
      <w:pPr>
        <w:tabs>
          <w:tab w:val="num" w:pos="1492"/>
        </w:tabs>
        <w:ind w:left="1492" w:hanging="360"/>
      </w:pPr>
    </w:lvl>
  </w:abstractNum>
  <w:abstractNum w:abstractNumId="1">
    <w:nsid w:val="FFFFFF7D"/>
    <w:multiLevelType w:val="singleLevel"/>
    <w:tmpl w:val="D8200332"/>
    <w:lvl w:ilvl="0">
      <w:start w:val="1"/>
      <w:numFmt w:val="decimal"/>
      <w:lvlText w:val="%1."/>
      <w:lvlJc w:val="left"/>
      <w:pPr>
        <w:tabs>
          <w:tab w:val="num" w:pos="1209"/>
        </w:tabs>
        <w:ind w:left="1209" w:hanging="360"/>
      </w:pPr>
    </w:lvl>
  </w:abstractNum>
  <w:abstractNum w:abstractNumId="2">
    <w:nsid w:val="FFFFFF7E"/>
    <w:multiLevelType w:val="singleLevel"/>
    <w:tmpl w:val="0F580786"/>
    <w:lvl w:ilvl="0">
      <w:start w:val="1"/>
      <w:numFmt w:val="decimal"/>
      <w:lvlText w:val="%1."/>
      <w:lvlJc w:val="left"/>
      <w:pPr>
        <w:tabs>
          <w:tab w:val="num" w:pos="926"/>
        </w:tabs>
        <w:ind w:left="926" w:hanging="360"/>
      </w:pPr>
    </w:lvl>
  </w:abstractNum>
  <w:abstractNum w:abstractNumId="3">
    <w:nsid w:val="FFFFFF7F"/>
    <w:multiLevelType w:val="singleLevel"/>
    <w:tmpl w:val="C91CEEE2"/>
    <w:lvl w:ilvl="0">
      <w:start w:val="1"/>
      <w:numFmt w:val="decimal"/>
      <w:lvlText w:val="%1."/>
      <w:lvlJc w:val="left"/>
      <w:pPr>
        <w:tabs>
          <w:tab w:val="num" w:pos="643"/>
        </w:tabs>
        <w:ind w:left="643" w:hanging="360"/>
      </w:pPr>
    </w:lvl>
  </w:abstractNum>
  <w:abstractNum w:abstractNumId="4">
    <w:nsid w:val="FFFFFF80"/>
    <w:multiLevelType w:val="singleLevel"/>
    <w:tmpl w:val="BAF86B5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27844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F0AD4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2703EF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B18DEB8"/>
    <w:lvl w:ilvl="0">
      <w:start w:val="1"/>
      <w:numFmt w:val="decimal"/>
      <w:lvlText w:val="%1."/>
      <w:lvlJc w:val="left"/>
      <w:pPr>
        <w:tabs>
          <w:tab w:val="num" w:pos="360"/>
        </w:tabs>
        <w:ind w:left="360" w:hanging="360"/>
      </w:pPr>
    </w:lvl>
  </w:abstractNum>
  <w:abstractNum w:abstractNumId="9">
    <w:nsid w:val="FFFFFF89"/>
    <w:multiLevelType w:val="singleLevel"/>
    <w:tmpl w:val="E75C3DE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558404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0131643"/>
    <w:docVar w:name="WAFER_20140121114145" w:val="RemoveTocBookmarks,RemoveUnusedBookmarks,RemoveLanguageTags,UsedStyles,ResetPageSize,UpdateArrangement"/>
    <w:docVar w:name="WAFER_20140121114145_GUID" w:val="e3e85f51-30fe-45ee-a3e6-b3133c2b56f3"/>
    <w:docVar w:name="WAFER_20140121120101" w:val="RemoveTocBookmarks,RunningHeaders"/>
    <w:docVar w:name="WAFER_20140121120101_GUID" w:val="7e3d298a-a7cb-464a-aebd-e79b48f147ee"/>
    <w:docVar w:name="WAFER_20150327152730" w:val="ResetPageSize,UpdateArrangement,UpdateNTable"/>
    <w:docVar w:name="WAFER_20150327152730_GUID" w:val="7e1113a4-e553-4fef-b162-62f55c77aee2"/>
    <w:docVar w:name="WAFER_20151102150708" w:val="UpdateStyles,UsedStyles"/>
    <w:docVar w:name="WAFER_20151102150708_GUID" w:val="82104f8e-3538-4bca-a1a6-750b310f4792"/>
    <w:docVar w:name="WAFER_20151201084000" w:val="RemoveTrackChanges"/>
    <w:docVar w:name="WAFER_20151201084000_GUID" w:val="0c21609e-e041-49e5-9532-083d4fa78d2d"/>
    <w:docVar w:name="WAFER_20191219115039" w:val="RemoveTocBookmarks,RemoveUnusedBookmarks,RemoveLanguageTags,ResetPageSize,RunningHeaders,UpdateStyles,UsedStyles"/>
    <w:docVar w:name="WAFER_20191219115039_GUID" w:val="0c819306-8514-4e55-9c97-b57cdcef2ba8"/>
    <w:docVar w:name="WAFER_20200210131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1643_GUID" w:val="779cdc86-b30a-4f3b-b1e4-6624a7b1c1c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alutation"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alutation"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jp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4277</Words>
  <Characters>20276</Characters>
  <Application>Microsoft Office Word</Application>
  <DocSecurity>0</DocSecurity>
  <Lines>614</Lines>
  <Paragraphs>327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24226</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1946 - 04-e0-01</dc:title>
  <dc:subject/>
  <dc:creator/>
  <cp:keywords/>
  <dc:description/>
  <cp:lastModifiedBy>svcMRProcess</cp:lastModifiedBy>
  <cp:revision>4</cp:revision>
  <cp:lastPrinted>2009-09-01T04:43:00Z</cp:lastPrinted>
  <dcterms:created xsi:type="dcterms:W3CDTF">2020-02-11T06:29:00Z</dcterms:created>
  <dcterms:modified xsi:type="dcterms:W3CDTF">2020-02-11T06:29:00Z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DocumentType">
    <vt:lpwstr>Act</vt:lpwstr>
  </property>
  <property fmtid="{D5CDD505-2E9C-101B-9397-08002B2CF9AE}" pid="4" name="OwlsUID">
    <vt:i4>117</vt:i4>
  </property>
  <property fmtid="{D5CDD505-2E9C-101B-9397-08002B2CF9AE}" pid="5" name="ReprintNo">
    <vt:lpwstr>4</vt:lpwstr>
  </property>
  <property fmtid="{D5CDD505-2E9C-101B-9397-08002B2CF9AE}" pid="6" name="CommencementDate">
    <vt:lpwstr>20200101</vt:lpwstr>
  </property>
  <property fmtid="{D5CDD505-2E9C-101B-9397-08002B2CF9AE}" pid="7" name="AsAtDate">
    <vt:lpwstr>01 Jan 2020</vt:lpwstr>
  </property>
  <property fmtid="{D5CDD505-2E9C-101B-9397-08002B2CF9AE}" pid="8" name="Suffix">
    <vt:lpwstr>04-e0-01</vt:lpwstr>
  </property>
</Properties>
</file>