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Debt Collectors Licensing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_Toc32237024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_Toc32237025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_Toc32237026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_Toc32237027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Licensing of debt collectors</w:t>
      </w:r>
      <w:r>
        <w:tab/>
      </w:r>
      <w:r>
        <w:fldChar w:fldCharType="begin"/>
      </w:r>
      <w:r>
        <w:instrText xml:space="preserve"> PAGEREF _Toc32237028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Licensees not to assume additional powers</w:t>
      </w:r>
      <w:r>
        <w:tab/>
      </w:r>
      <w:r>
        <w:fldChar w:fldCharType="begin"/>
      </w:r>
      <w:r>
        <w:instrText xml:space="preserve"> PAGEREF _Toc32237029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w:t>
      </w:r>
      <w:r>
        <w:tab/>
      </w:r>
      <w:r>
        <w:fldChar w:fldCharType="begin"/>
      </w:r>
      <w:r>
        <w:instrText xml:space="preserve"> PAGEREF _Toc32237030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licences</w:t>
      </w:r>
      <w:r>
        <w:tab/>
      </w:r>
      <w:r>
        <w:fldChar w:fldCharType="begin"/>
      </w:r>
      <w:r>
        <w:instrText xml:space="preserve"> PAGEREF _Toc32237031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Grounds on which licence refused</w:t>
      </w:r>
      <w:r>
        <w:tab/>
      </w:r>
      <w:r>
        <w:fldChar w:fldCharType="begin"/>
      </w:r>
      <w:r>
        <w:instrText xml:space="preserve"> PAGEREF _Toc32237032 \h </w:instrText>
      </w:r>
      <w:r>
        <w:fldChar w:fldCharType="separate"/>
      </w:r>
      <w:r>
        <w:t>6</w:t>
      </w:r>
      <w:r>
        <w:fldChar w:fldCharType="end"/>
      </w:r>
    </w:p>
    <w:p>
      <w:pPr>
        <w:pStyle w:val="TOC8"/>
        <w:rPr>
          <w:rFonts w:asciiTheme="minorHAnsi" w:eastAsiaTheme="minorEastAsia" w:hAnsiTheme="minorHAnsi" w:cstheme="minorBidi"/>
          <w:szCs w:val="22"/>
        </w:rPr>
      </w:pPr>
      <w:r>
        <w:t>10A.</w:t>
      </w:r>
      <w:r>
        <w:tab/>
        <w:t>Duration of licences</w:t>
      </w:r>
      <w:r>
        <w:tab/>
      </w:r>
      <w:r>
        <w:fldChar w:fldCharType="begin"/>
      </w:r>
      <w:r>
        <w:instrText xml:space="preserve"> PAGEREF _Toc32237033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Cancellation of licence</w:t>
      </w:r>
      <w:r>
        <w:tab/>
      </w:r>
      <w:r>
        <w:fldChar w:fldCharType="begin"/>
      </w:r>
      <w:r>
        <w:instrText xml:space="preserve"> PAGEREF _Toc32237034 \h </w:instrText>
      </w:r>
      <w:r>
        <w:fldChar w:fldCharType="separate"/>
      </w:r>
      <w:r>
        <w:t>7</w:t>
      </w:r>
      <w:r>
        <w:fldChar w:fldCharType="end"/>
      </w:r>
    </w:p>
    <w:p>
      <w:pPr>
        <w:pStyle w:val="TOC8"/>
        <w:rPr>
          <w:rFonts w:asciiTheme="minorHAnsi" w:eastAsiaTheme="minorEastAsia" w:hAnsiTheme="minorHAnsi" w:cstheme="minorBidi"/>
          <w:szCs w:val="22"/>
        </w:rPr>
      </w:pPr>
      <w:r>
        <w:t>11.</w:t>
      </w:r>
      <w:r>
        <w:tab/>
        <w:t>Review of Commissioner’s decision</w:t>
      </w:r>
      <w:r>
        <w:tab/>
      </w:r>
      <w:r>
        <w:fldChar w:fldCharType="begin"/>
      </w:r>
      <w:r>
        <w:instrText xml:space="preserve"> PAGEREF _Toc32237035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Register to be kept by Commissioner</w:t>
      </w:r>
      <w:r>
        <w:tab/>
      </w:r>
      <w:r>
        <w:fldChar w:fldCharType="begin"/>
      </w:r>
      <w:r>
        <w:instrText xml:space="preserve"> PAGEREF _Toc32237036 \h </w:instrText>
      </w:r>
      <w:r>
        <w:fldChar w:fldCharType="separate"/>
      </w:r>
      <w:r>
        <w:t>9</w:t>
      </w:r>
      <w:r>
        <w:fldChar w:fldCharType="end"/>
      </w:r>
    </w:p>
    <w:p>
      <w:pPr>
        <w:pStyle w:val="TOC8"/>
        <w:rPr>
          <w:rFonts w:asciiTheme="minorHAnsi" w:eastAsiaTheme="minorEastAsia" w:hAnsiTheme="minorHAnsi" w:cstheme="minorBidi"/>
          <w:szCs w:val="22"/>
        </w:rPr>
      </w:pPr>
      <w:r>
        <w:t>12A.</w:t>
      </w:r>
      <w:r>
        <w:tab/>
        <w:t>Matters to be included in annual report</w:t>
      </w:r>
      <w:r>
        <w:tab/>
      </w:r>
      <w:r>
        <w:fldChar w:fldCharType="begin"/>
      </w:r>
      <w:r>
        <w:instrText xml:space="preserve"> PAGEREF _Toc32237037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Unlicensed persons not to recover fees etc.</w:t>
      </w:r>
      <w:r>
        <w:tab/>
      </w:r>
      <w:r>
        <w:fldChar w:fldCharType="begin"/>
      </w:r>
      <w:r>
        <w:instrText xml:space="preserve"> PAGEREF _Toc32237038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of furnishing incorrect information in applications etc.</w:t>
      </w:r>
      <w:r>
        <w:tab/>
      </w:r>
      <w:r>
        <w:fldChar w:fldCharType="begin"/>
      </w:r>
      <w:r>
        <w:instrText xml:space="preserve"> PAGEREF _Toc32237039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of debt collectors in respect of trust money</w:t>
      </w:r>
      <w:r>
        <w:tab/>
      </w:r>
      <w:r>
        <w:fldChar w:fldCharType="begin"/>
      </w:r>
      <w:r>
        <w:instrText xml:space="preserve"> PAGEREF _Toc32237040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of bank Manager</w:t>
      </w:r>
      <w:r>
        <w:tab/>
      </w:r>
      <w:r>
        <w:fldChar w:fldCharType="begin"/>
      </w:r>
      <w:r>
        <w:instrText xml:space="preserve"> PAGEREF _Toc32237041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Duty of debt collector as to accounts</w:t>
      </w:r>
      <w:r>
        <w:tab/>
      </w:r>
      <w:r>
        <w:fldChar w:fldCharType="begin"/>
      </w:r>
      <w:r>
        <w:instrText xml:space="preserve"> PAGEREF _Toc32237042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Inspection of records</w:t>
      </w:r>
      <w:r>
        <w:tab/>
      </w:r>
      <w:r>
        <w:fldChar w:fldCharType="begin"/>
      </w:r>
      <w:r>
        <w:instrText xml:space="preserve"> PAGEREF _Toc32237043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appoint auditor to audit trust accounts</w:t>
      </w:r>
      <w:r>
        <w:tab/>
      </w:r>
      <w:r>
        <w:fldChar w:fldCharType="begin"/>
      </w:r>
      <w:r>
        <w:instrText xml:space="preserve"> PAGEREF _Toc32237044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Fidelity bond</w:t>
      </w:r>
      <w:r>
        <w:tab/>
      </w:r>
      <w:r>
        <w:fldChar w:fldCharType="begin"/>
      </w:r>
      <w:r>
        <w:instrText xml:space="preserve"> PAGEREF _Toc32237045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Termination of fidelity bond</w:t>
      </w:r>
      <w:r>
        <w:tab/>
      </w:r>
      <w:r>
        <w:fldChar w:fldCharType="begin"/>
      </w:r>
      <w:r>
        <w:instrText xml:space="preserve"> PAGEREF _Toc32237046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 by corporation</w:t>
      </w:r>
      <w:r>
        <w:tab/>
      </w:r>
      <w:r>
        <w:fldChar w:fldCharType="begin"/>
      </w:r>
      <w:r>
        <w:instrText xml:space="preserve"> PAGEREF _Toc32237047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Evidentiary provision</w:t>
      </w:r>
      <w:r>
        <w:tab/>
      </w:r>
      <w:r>
        <w:fldChar w:fldCharType="begin"/>
      </w:r>
      <w:r>
        <w:instrText xml:space="preserve"> PAGEREF _Toc32237048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Saving of remedies</w:t>
      </w:r>
      <w:r>
        <w:tab/>
      </w:r>
      <w:r>
        <w:fldChar w:fldCharType="begin"/>
      </w:r>
      <w:r>
        <w:instrText xml:space="preserve"> PAGEREF _Toc32237049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26</w:t>
      </w:r>
      <w:r>
        <w:rPr>
          <w:snapToGrid w:val="0"/>
        </w:rPr>
        <w:t>.</w:t>
      </w:r>
      <w:r>
        <w:rPr>
          <w:snapToGrid w:val="0"/>
        </w:rPr>
        <w:tab/>
        <w:t>Regulations</w:t>
      </w:r>
      <w:r>
        <w:tab/>
      </w:r>
      <w:r>
        <w:fldChar w:fldCharType="begin"/>
      </w:r>
      <w:r>
        <w:instrText xml:space="preserve"> PAGEREF _Toc32237050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_Toc32237052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_Toc32237053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_Toc32237054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3" w:name="_Toc3223702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rPr>
        <w:t>.</w:t>
      </w:r>
    </w:p>
    <w:p>
      <w:pPr>
        <w:pStyle w:val="Heading5"/>
        <w:rPr>
          <w:snapToGrid w:val="0"/>
        </w:rPr>
      </w:pPr>
      <w:bookmarkStart w:id="4" w:name="_Toc3223702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rPr>
          <w:snapToGrid w:val="0"/>
        </w:rPr>
      </w:pPr>
      <w:bookmarkStart w:id="5" w:name="_Toc32237026"/>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6" w:name="_Toc32237027"/>
      <w:r>
        <w:rPr>
          <w:rStyle w:val="CharSectno"/>
        </w:rPr>
        <w:t>4</w:t>
      </w:r>
      <w:r>
        <w:rPr>
          <w:snapToGrid w:val="0"/>
        </w:rPr>
        <w:t>.</w:t>
      </w:r>
      <w:r>
        <w:rPr>
          <w:snapToGrid w:val="0"/>
        </w:rPr>
        <w:tab/>
        <w:t>Application of Act</w:t>
      </w:r>
      <w:bookmarkEnd w:id="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w:t>
      </w:r>
    </w:p>
    <w:p>
      <w:pPr>
        <w:pStyle w:val="Heading5"/>
        <w:rPr>
          <w:snapToGrid w:val="0"/>
        </w:rPr>
      </w:pPr>
      <w:bookmarkStart w:id="7" w:name="_Toc32237028"/>
      <w:r>
        <w:rPr>
          <w:rStyle w:val="CharSectno"/>
        </w:rPr>
        <w:t>5</w:t>
      </w:r>
      <w:r>
        <w:rPr>
          <w:snapToGrid w:val="0"/>
        </w:rPr>
        <w:t>.</w:t>
      </w:r>
      <w:r>
        <w:rPr>
          <w:snapToGrid w:val="0"/>
        </w:rPr>
        <w:tab/>
        <w:t>Licensing of debt collectors</w:t>
      </w:r>
      <w:bookmarkEnd w:id="7"/>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keepNext/>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this subsection: a fine of $50 000.</w:t>
      </w:r>
    </w:p>
    <w:p>
      <w:pPr>
        <w:pStyle w:val="Footnotesection"/>
      </w:pPr>
      <w:r>
        <w:tab/>
        <w:t xml:space="preserve">[Section 5 amended: No. 113 of 1965 s. 8; No. 50 of 2003 s. 55(2); No. 25 of 2019 s. 26.] </w:t>
      </w:r>
    </w:p>
    <w:p>
      <w:pPr>
        <w:pStyle w:val="Heading5"/>
        <w:spacing w:before="180"/>
        <w:rPr>
          <w:snapToGrid w:val="0"/>
        </w:rPr>
      </w:pPr>
      <w:bookmarkStart w:id="8" w:name="_Toc32237029"/>
      <w:r>
        <w:rPr>
          <w:rStyle w:val="CharSectno"/>
        </w:rPr>
        <w:t>6</w:t>
      </w:r>
      <w:r>
        <w:rPr>
          <w:snapToGrid w:val="0"/>
        </w:rPr>
        <w:t>.</w:t>
      </w:r>
      <w:r>
        <w:rPr>
          <w:snapToGrid w:val="0"/>
        </w:rPr>
        <w:tab/>
        <w:t>Licensees not to assume additional powers</w:t>
      </w:r>
      <w:bookmarkEnd w:id="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Penstart"/>
      </w:pPr>
      <w:r>
        <w:tab/>
      </w:r>
      <w:r>
        <w:rPr>
          <w:snapToGrid w:val="0"/>
        </w:rPr>
        <w:t>Penalty for this subsection: a fine of $25 000.</w:t>
      </w:r>
    </w:p>
    <w:p>
      <w:pPr>
        <w:pStyle w:val="Footnotesection"/>
      </w:pPr>
      <w:r>
        <w:tab/>
        <w:t>[Section 6 amended: No. 25 of 2019 s. 25.]</w:t>
      </w:r>
    </w:p>
    <w:p>
      <w:pPr>
        <w:pStyle w:val="Heading5"/>
        <w:spacing w:before="180"/>
        <w:rPr>
          <w:snapToGrid w:val="0"/>
        </w:rPr>
      </w:pPr>
      <w:bookmarkStart w:id="9" w:name="_Toc32237030"/>
      <w:r>
        <w:rPr>
          <w:rStyle w:val="CharSectno"/>
        </w:rPr>
        <w:t>7</w:t>
      </w:r>
      <w:r>
        <w:rPr>
          <w:snapToGrid w:val="0"/>
        </w:rPr>
        <w:t>.</w:t>
      </w:r>
      <w:r>
        <w:rPr>
          <w:snapToGrid w:val="0"/>
        </w:rPr>
        <w:tab/>
        <w:t>Licences</w:t>
      </w:r>
      <w:bookmarkEnd w:id="9"/>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10" w:name="_Toc32237031"/>
      <w:r>
        <w:rPr>
          <w:rStyle w:val="CharSectno"/>
        </w:rPr>
        <w:t>8</w:t>
      </w:r>
      <w:r>
        <w:rPr>
          <w:snapToGrid w:val="0"/>
        </w:rPr>
        <w:t>.</w:t>
      </w:r>
      <w:r>
        <w:rPr>
          <w:snapToGrid w:val="0"/>
        </w:rPr>
        <w:tab/>
        <w:t>Application for licences</w:t>
      </w:r>
      <w:bookmarkEnd w:id="10"/>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11" w:name="_Toc32237032"/>
      <w:r>
        <w:rPr>
          <w:rStyle w:val="CharSectno"/>
        </w:rPr>
        <w:t>9</w:t>
      </w:r>
      <w:r>
        <w:rPr>
          <w:snapToGrid w:val="0"/>
        </w:rPr>
        <w:t>.</w:t>
      </w:r>
      <w:r>
        <w:rPr>
          <w:snapToGrid w:val="0"/>
        </w:rPr>
        <w:tab/>
        <w:t>Grounds on which licence refused</w:t>
      </w:r>
      <w:bookmarkEnd w:id="11"/>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No. 55 of 2004 s. 222.]</w:t>
      </w:r>
    </w:p>
    <w:p>
      <w:pPr>
        <w:pStyle w:val="Heading5"/>
      </w:pPr>
      <w:bookmarkStart w:id="12" w:name="_Toc32237033"/>
      <w:r>
        <w:rPr>
          <w:rStyle w:val="CharSectno"/>
        </w:rPr>
        <w:t>10A</w:t>
      </w:r>
      <w:r>
        <w:t>.</w:t>
      </w:r>
      <w:r>
        <w:tab/>
        <w:t>Duration of licences</w:t>
      </w:r>
      <w:bookmarkEnd w:id="12"/>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13" w:name="_Toc32237034"/>
      <w:r>
        <w:rPr>
          <w:rStyle w:val="CharSectno"/>
        </w:rPr>
        <w:t>10</w:t>
      </w:r>
      <w:r>
        <w:rPr>
          <w:snapToGrid w:val="0"/>
        </w:rPr>
        <w:t>.</w:t>
      </w:r>
      <w:r>
        <w:rPr>
          <w:snapToGrid w:val="0"/>
        </w:rPr>
        <w:tab/>
        <w:t>Cancellation of licence</w:t>
      </w:r>
      <w:bookmarkEnd w:id="13"/>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keepNext/>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No. 55 of 2004 s. 223.]</w:t>
      </w:r>
    </w:p>
    <w:p>
      <w:pPr>
        <w:pStyle w:val="Heading5"/>
      </w:pPr>
      <w:bookmarkStart w:id="14" w:name="_Toc32237035"/>
      <w:r>
        <w:rPr>
          <w:rStyle w:val="CharSectno"/>
        </w:rPr>
        <w:t>11</w:t>
      </w:r>
      <w:r>
        <w:t>.</w:t>
      </w:r>
      <w:r>
        <w:tab/>
        <w:t>Review of Commissioner’s decision</w:t>
      </w:r>
      <w:bookmarkEnd w:id="14"/>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15" w:name="_Toc32237036"/>
      <w:r>
        <w:rPr>
          <w:rStyle w:val="CharSectno"/>
        </w:rPr>
        <w:t>12</w:t>
      </w:r>
      <w:r>
        <w:rPr>
          <w:snapToGrid w:val="0"/>
        </w:rPr>
        <w:t>.</w:t>
      </w:r>
      <w:r>
        <w:rPr>
          <w:snapToGrid w:val="0"/>
        </w:rPr>
        <w:tab/>
        <w:t>Register to be kept by Commissioner</w:t>
      </w:r>
      <w:bookmarkEnd w:id="15"/>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16" w:name="_Toc32237037"/>
      <w:r>
        <w:rPr>
          <w:rStyle w:val="CharSectno"/>
        </w:rPr>
        <w:t>12A</w:t>
      </w:r>
      <w:r>
        <w:t>.</w:t>
      </w:r>
      <w:r>
        <w:tab/>
        <w:t>Matters to be included in annual report</w:t>
      </w:r>
      <w:bookmarkEnd w:id="16"/>
    </w:p>
    <w:p>
      <w:pPr>
        <w:pStyle w:val="Subsection"/>
        <w:keepNext/>
      </w:pPr>
      <w:r>
        <w:tab/>
      </w:r>
      <w:r>
        <w:tab/>
        <w:t xml:space="preserve">The annual report of the department in which the Commissioner is employed is to include details of — </w:t>
      </w:r>
    </w:p>
    <w:p>
      <w:pPr>
        <w:pStyle w:val="Indenta"/>
        <w:keepNext/>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17" w:name="_Toc32237038"/>
      <w:r>
        <w:rPr>
          <w:rStyle w:val="CharSectno"/>
        </w:rPr>
        <w:t>13</w:t>
      </w:r>
      <w:r>
        <w:rPr>
          <w:snapToGrid w:val="0"/>
        </w:rPr>
        <w:t>.</w:t>
      </w:r>
      <w:r>
        <w:rPr>
          <w:snapToGrid w:val="0"/>
        </w:rPr>
        <w:tab/>
        <w:t>Unlicensed persons not to recover fees etc.</w:t>
      </w:r>
      <w:bookmarkEnd w:id="17"/>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18" w:name="_Toc32237039"/>
      <w:r>
        <w:rPr>
          <w:rStyle w:val="CharSectno"/>
        </w:rPr>
        <w:t>14</w:t>
      </w:r>
      <w:r>
        <w:rPr>
          <w:snapToGrid w:val="0"/>
        </w:rPr>
        <w:t>.</w:t>
      </w:r>
      <w:r>
        <w:rPr>
          <w:snapToGrid w:val="0"/>
        </w:rPr>
        <w:tab/>
        <w:t>Offence of furnishing incorrect information in applications etc.</w:t>
      </w:r>
      <w:bookmarkEnd w:id="18"/>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No. 113 of 1965 s. 8; No. 25 of 2019 s. 22.] </w:t>
      </w:r>
    </w:p>
    <w:p>
      <w:pPr>
        <w:pStyle w:val="Heading5"/>
        <w:rPr>
          <w:snapToGrid w:val="0"/>
        </w:rPr>
      </w:pPr>
      <w:bookmarkStart w:id="19" w:name="_Toc32237040"/>
      <w:r>
        <w:rPr>
          <w:rStyle w:val="CharSectno"/>
        </w:rPr>
        <w:t>15</w:t>
      </w:r>
      <w:r>
        <w:rPr>
          <w:snapToGrid w:val="0"/>
        </w:rPr>
        <w:t>.</w:t>
      </w:r>
      <w:r>
        <w:rPr>
          <w:snapToGrid w:val="0"/>
        </w:rPr>
        <w:tab/>
        <w:t>Duty of debt collectors in respect of trust money</w:t>
      </w:r>
      <w:bookmarkEnd w:id="19"/>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r>
      <w:r>
        <w:t>Penalty for this subsection: a fine of $25 000.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keepNext/>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 No. 25 of 2019 s. 26.]</w:t>
      </w:r>
    </w:p>
    <w:p>
      <w:pPr>
        <w:pStyle w:val="Heading5"/>
        <w:rPr>
          <w:snapToGrid w:val="0"/>
        </w:rPr>
      </w:pPr>
      <w:bookmarkStart w:id="20" w:name="_Toc32237041"/>
      <w:r>
        <w:rPr>
          <w:rStyle w:val="CharSectno"/>
        </w:rPr>
        <w:t>16</w:t>
      </w:r>
      <w:r>
        <w:rPr>
          <w:snapToGrid w:val="0"/>
        </w:rPr>
        <w:t>.</w:t>
      </w:r>
      <w:r>
        <w:rPr>
          <w:snapToGrid w:val="0"/>
        </w:rPr>
        <w:tab/>
        <w:t>Duty of bank Manager</w:t>
      </w:r>
      <w:bookmarkEnd w:id="20"/>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Footnotesection"/>
      </w:pPr>
      <w:r>
        <w:tab/>
        <w:t>[Section 16 amended: No. 25 of 2019 s. 25.]</w:t>
      </w:r>
    </w:p>
    <w:p>
      <w:pPr>
        <w:pStyle w:val="Heading5"/>
        <w:rPr>
          <w:snapToGrid w:val="0"/>
        </w:rPr>
      </w:pPr>
      <w:bookmarkStart w:id="21" w:name="_Toc32237042"/>
      <w:r>
        <w:rPr>
          <w:rStyle w:val="CharSectno"/>
        </w:rPr>
        <w:t>17</w:t>
      </w:r>
      <w:r>
        <w:rPr>
          <w:snapToGrid w:val="0"/>
        </w:rPr>
        <w:t>.</w:t>
      </w:r>
      <w:r>
        <w:rPr>
          <w:snapToGrid w:val="0"/>
        </w:rPr>
        <w:tab/>
        <w:t>Duty of debt collector as to accounts</w:t>
      </w:r>
      <w:bookmarkEnd w:id="21"/>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Ednotesubsection"/>
      </w:pPr>
      <w:r>
        <w:tab/>
        <w:t>[(3)</w:t>
      </w:r>
      <w:r>
        <w:tab/>
        <w:t>deleted]</w:t>
      </w:r>
    </w:p>
    <w:p>
      <w:pPr>
        <w:pStyle w:val="Footnotesection"/>
      </w:pPr>
      <w:r>
        <w:tab/>
        <w:t>[Section 17 amended: No. 25 of 2019 s. 23.]</w:t>
      </w:r>
    </w:p>
    <w:p>
      <w:pPr>
        <w:pStyle w:val="Heading5"/>
        <w:rPr>
          <w:snapToGrid w:val="0"/>
        </w:rPr>
      </w:pPr>
      <w:bookmarkStart w:id="22" w:name="_Toc32237043"/>
      <w:r>
        <w:rPr>
          <w:rStyle w:val="CharSectno"/>
        </w:rPr>
        <w:t>18</w:t>
      </w:r>
      <w:r>
        <w:rPr>
          <w:snapToGrid w:val="0"/>
        </w:rPr>
        <w:t>.</w:t>
      </w:r>
      <w:r>
        <w:rPr>
          <w:snapToGrid w:val="0"/>
        </w:rPr>
        <w:tab/>
        <w:t>Inspection of records</w:t>
      </w:r>
      <w:bookmarkEnd w:id="22"/>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keepNext/>
        <w:rPr>
          <w:snapToGrid w:val="0"/>
        </w:rPr>
      </w:pPr>
      <w:r>
        <w:rPr>
          <w:snapToGrid w:val="0"/>
        </w:rPr>
        <w:tab/>
        <w:t>(5)</w:t>
      </w:r>
      <w:r>
        <w:rPr>
          <w:snapToGrid w:val="0"/>
        </w:rPr>
        <w:tab/>
        <w:t>A person is not required under this section to answer any question or give any information that tends to incriminate him.</w:t>
      </w:r>
    </w:p>
    <w:p>
      <w:pPr>
        <w:pStyle w:val="Footnotesection"/>
      </w:pPr>
      <w:r>
        <w:tab/>
        <w:t>[Section 18 amended: No. 25 of 2019 s. 25.]</w:t>
      </w:r>
    </w:p>
    <w:p>
      <w:pPr>
        <w:pStyle w:val="Heading5"/>
        <w:rPr>
          <w:snapToGrid w:val="0"/>
        </w:rPr>
      </w:pPr>
      <w:bookmarkStart w:id="23" w:name="_Toc32237044"/>
      <w:r>
        <w:rPr>
          <w:rStyle w:val="CharSectno"/>
        </w:rPr>
        <w:t>19</w:t>
      </w:r>
      <w:r>
        <w:rPr>
          <w:snapToGrid w:val="0"/>
        </w:rPr>
        <w:t>.</w:t>
      </w:r>
      <w:r>
        <w:rPr>
          <w:snapToGrid w:val="0"/>
        </w:rPr>
        <w:tab/>
        <w:t>Minister may appoint auditor to audit trust accounts</w:t>
      </w:r>
      <w:bookmarkEnd w:id="23"/>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24" w:name="_Toc32237045"/>
      <w:r>
        <w:rPr>
          <w:rStyle w:val="CharSectno"/>
        </w:rPr>
        <w:t>20</w:t>
      </w:r>
      <w:r>
        <w:rPr>
          <w:snapToGrid w:val="0"/>
        </w:rPr>
        <w:t>.</w:t>
      </w:r>
      <w:r>
        <w:rPr>
          <w:snapToGrid w:val="0"/>
        </w:rPr>
        <w:tab/>
        <w:t>Fidelity bond</w:t>
      </w:r>
      <w:bookmarkEnd w:id="24"/>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No. 113 of 1965 s. 8; No. 55 of 2004 s. 228.] </w:t>
      </w:r>
    </w:p>
    <w:p>
      <w:pPr>
        <w:pStyle w:val="Heading5"/>
        <w:rPr>
          <w:snapToGrid w:val="0"/>
        </w:rPr>
      </w:pPr>
      <w:bookmarkStart w:id="25" w:name="_Toc32237046"/>
      <w:r>
        <w:rPr>
          <w:rStyle w:val="CharSectno"/>
        </w:rPr>
        <w:t>21</w:t>
      </w:r>
      <w:r>
        <w:rPr>
          <w:snapToGrid w:val="0"/>
        </w:rPr>
        <w:t>.</w:t>
      </w:r>
      <w:r>
        <w:rPr>
          <w:snapToGrid w:val="0"/>
        </w:rPr>
        <w:tab/>
        <w:t>Termination of fidelity bond</w:t>
      </w:r>
      <w:bookmarkEnd w:id="25"/>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Ednotesection"/>
        <w:ind w:left="890" w:hanging="890"/>
      </w:pPr>
      <w:r>
        <w:t>[</w:t>
      </w:r>
      <w:r>
        <w:rPr>
          <w:b/>
        </w:rPr>
        <w:t>22.</w:t>
      </w:r>
      <w:r>
        <w:tab/>
        <w:t>Deleted: No. 25 of 2019 s. 24.]</w:t>
      </w:r>
    </w:p>
    <w:p>
      <w:pPr>
        <w:pStyle w:val="Heading5"/>
        <w:rPr>
          <w:snapToGrid w:val="0"/>
        </w:rPr>
      </w:pPr>
      <w:bookmarkStart w:id="26" w:name="_Toc32237047"/>
      <w:r>
        <w:rPr>
          <w:rStyle w:val="CharSectno"/>
        </w:rPr>
        <w:t>23</w:t>
      </w:r>
      <w:r>
        <w:rPr>
          <w:snapToGrid w:val="0"/>
        </w:rPr>
        <w:t>.</w:t>
      </w:r>
      <w:r>
        <w:rPr>
          <w:snapToGrid w:val="0"/>
        </w:rPr>
        <w:tab/>
        <w:t>Offence by corporation</w:t>
      </w:r>
      <w:bookmarkEnd w:id="26"/>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27" w:name="_Toc32237048"/>
      <w:r>
        <w:rPr>
          <w:rStyle w:val="CharSectno"/>
        </w:rPr>
        <w:t>24</w:t>
      </w:r>
      <w:r>
        <w:rPr>
          <w:snapToGrid w:val="0"/>
        </w:rPr>
        <w:t>.</w:t>
      </w:r>
      <w:r>
        <w:rPr>
          <w:snapToGrid w:val="0"/>
        </w:rPr>
        <w:tab/>
        <w:t>Evidentiary provision</w:t>
      </w:r>
      <w:bookmarkEnd w:id="27"/>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28" w:name="_Toc32237049"/>
      <w:r>
        <w:rPr>
          <w:rStyle w:val="CharSectno"/>
        </w:rPr>
        <w:t>25</w:t>
      </w:r>
      <w:r>
        <w:rPr>
          <w:snapToGrid w:val="0"/>
        </w:rPr>
        <w:t>.</w:t>
      </w:r>
      <w:r>
        <w:rPr>
          <w:snapToGrid w:val="0"/>
        </w:rPr>
        <w:tab/>
        <w:t>Saving of remedies</w:t>
      </w:r>
      <w:bookmarkEnd w:id="28"/>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29" w:name="_Toc32237050"/>
      <w:r>
        <w:rPr>
          <w:rStyle w:val="CharSectno"/>
        </w:rPr>
        <w:t>26</w:t>
      </w:r>
      <w:r>
        <w:rPr>
          <w:snapToGrid w:val="0"/>
        </w:rPr>
        <w:t>.</w:t>
      </w:r>
      <w:r>
        <w:rPr>
          <w:snapToGrid w:val="0"/>
        </w:rPr>
        <w:tab/>
        <w:t>Regulations</w:t>
      </w:r>
      <w:bookmarkEnd w:id="29"/>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$5 000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Subsection"/>
        <w:rPr>
          <w:snapToGrid w:val="0"/>
        </w:rPr>
      </w:pPr>
      <w:r>
        <w:tab/>
        <w:t>(2)</w:t>
      </w:r>
      <w:r>
        <w:tab/>
        <w:t xml:space="preserve">The </w:t>
      </w:r>
      <w:r>
        <w:rPr>
          <w:i/>
        </w:rPr>
        <w:t>Interpretation Act 1984</w:t>
      </w:r>
      <w:r>
        <w:t xml:space="preserve"> section 45(1) and (2) applies in respect of fees prescribed under this Act despite sections 3(3) and 45(3) of that Act.</w:t>
      </w:r>
    </w:p>
    <w:p>
      <w:pPr>
        <w:pStyle w:val="Footnotesection"/>
      </w:pPr>
      <w:r>
        <w:tab/>
        <w:t xml:space="preserve">[Section 26 amended: No. 113 of 1965 s. 8; No. 44 of 2016 s. 14; No. 25 of 2019 s. 26.]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nHeading2"/>
      </w:pPr>
      <w:bookmarkStart w:id="30" w:name="_Toc32237019"/>
      <w:bookmarkStart w:id="31" w:name="_Toc32237051"/>
      <w:r>
        <w:t>Notes</w:t>
      </w:r>
      <w:bookmarkEnd w:id="30"/>
      <w:bookmarkEnd w:id="31"/>
    </w:p>
    <w:p>
      <w:pPr>
        <w:pStyle w:val="nStatement"/>
      </w:pPr>
      <w:r>
        <w:t xml:space="preserve">This is a compilation of the </w:t>
      </w:r>
      <w:r>
        <w:rPr>
          <w:i/>
          <w:noProof/>
        </w:rPr>
        <w:t>Debt Collectors Licensing Act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 w:name="_Toc32237052"/>
      <w:r>
        <w:t>Compilation table</w:t>
      </w:r>
      <w:bookmarkEnd w:id="32"/>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1</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68" w:type="dxa"/>
          </w:tcPr>
          <w:p>
            <w:pPr>
              <w:pStyle w:val="nTable"/>
              <w:spacing w:after="40"/>
              <w:rPr>
                <w:b/>
              </w:rPr>
            </w:pPr>
            <w:r>
              <w:rPr>
                <w:i/>
              </w:rPr>
              <w:t>Licensing Provisions Amendment Act 2016</w:t>
            </w:r>
            <w:r>
              <w:t xml:space="preserve"> Pt. 3</w:t>
            </w:r>
          </w:p>
        </w:tc>
        <w:tc>
          <w:tcPr>
            <w:tcW w:w="1134" w:type="dxa"/>
          </w:tcPr>
          <w:p>
            <w:pPr>
              <w:pStyle w:val="nTable"/>
              <w:spacing w:after="40"/>
              <w:rPr>
                <w:b/>
              </w:rPr>
            </w:pPr>
            <w:r>
              <w:t>44 of 2016</w:t>
            </w:r>
          </w:p>
        </w:tc>
        <w:tc>
          <w:tcPr>
            <w:tcW w:w="1134" w:type="dxa"/>
          </w:tcPr>
          <w:p>
            <w:pPr>
              <w:pStyle w:val="nTable"/>
              <w:spacing w:after="40"/>
              <w:rPr>
                <w:b/>
              </w:rPr>
            </w:pPr>
            <w:r>
              <w:t>1 Dec 2016</w:t>
            </w:r>
          </w:p>
        </w:tc>
        <w:tc>
          <w:tcPr>
            <w:tcW w:w="2533" w:type="dxa"/>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Borders>
              <w:bottom w:val="single" w:sz="4" w:space="0" w:color="auto"/>
            </w:tcBorders>
          </w:tcPr>
          <w:p>
            <w:pPr>
              <w:pStyle w:val="nTable"/>
              <w:spacing w:after="40"/>
            </w:pPr>
            <w:r>
              <w:rPr>
                <w:i/>
              </w:rPr>
              <w:t xml:space="preserve">Consumer Protection Legislation Amendment Act 2019 </w:t>
            </w:r>
            <w:r>
              <w:t>Pt. 4</w:t>
            </w:r>
          </w:p>
        </w:tc>
        <w:tc>
          <w:tcPr>
            <w:tcW w:w="1134" w:type="dxa"/>
            <w:tcBorders>
              <w:bottom w:val="single" w:sz="4" w:space="0" w:color="auto"/>
            </w:tcBorders>
          </w:tcPr>
          <w:p>
            <w:pPr>
              <w:pStyle w:val="nTable"/>
              <w:spacing w:after="40"/>
            </w:pPr>
            <w:r>
              <w:t>25 of 2019</w:t>
            </w:r>
          </w:p>
        </w:tc>
        <w:tc>
          <w:tcPr>
            <w:tcW w:w="1134" w:type="dxa"/>
            <w:tcBorders>
              <w:bottom w:val="single" w:sz="4" w:space="0" w:color="auto"/>
            </w:tcBorders>
          </w:tcPr>
          <w:p>
            <w:pPr>
              <w:pStyle w:val="nTable"/>
              <w:spacing w:after="40"/>
            </w:pPr>
            <w:r>
              <w:t>24 Oct 2019</w:t>
            </w:r>
          </w:p>
        </w:tc>
        <w:tc>
          <w:tcPr>
            <w:tcW w:w="2533" w:type="dxa"/>
            <w:tcBorders>
              <w:bottom w:val="single" w:sz="4" w:space="0" w:color="auto"/>
            </w:tcBorders>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bl>
    <w:p>
      <w:pPr>
        <w:pStyle w:val="nHeading3"/>
      </w:pPr>
      <w:bookmarkStart w:id="33" w:name="_Toc32237053"/>
      <w:r>
        <w:t>Uncommenced provisions table</w:t>
      </w:r>
      <w:bookmarkEnd w:id="3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2"/>
      </w:tblGrid>
      <w:tr>
        <w:trPr>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8"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4"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4</w:t>
            </w:r>
          </w:p>
        </w:tc>
        <w:tc>
          <w:tcPr>
            <w:tcW w:w="1139" w:type="dxa"/>
            <w:tcBorders>
              <w:top w:val="single" w:sz="8" w:space="0" w:color="auto"/>
              <w:bottom w:val="single" w:sz="4" w:space="0" w:color="auto"/>
            </w:tcBorders>
          </w:tcPr>
          <w:p>
            <w:pPr>
              <w:pStyle w:val="nTable"/>
              <w:keepNext/>
              <w:spacing w:after="40"/>
            </w:pPr>
            <w:r>
              <w:t>56 of 1995</w:t>
            </w:r>
          </w:p>
        </w:tc>
        <w:tc>
          <w:tcPr>
            <w:tcW w:w="1138" w:type="dxa"/>
            <w:tcBorders>
              <w:top w:val="single" w:sz="8" w:space="0" w:color="auto"/>
              <w:bottom w:val="single" w:sz="4" w:space="0" w:color="auto"/>
            </w:tcBorders>
          </w:tcPr>
          <w:p>
            <w:pPr>
              <w:pStyle w:val="nTable"/>
              <w:keepNext/>
              <w:spacing w:after="40"/>
            </w:pPr>
            <w:r>
              <w:t>20 Dec 1995</w:t>
            </w:r>
          </w:p>
        </w:tc>
        <w:tc>
          <w:tcPr>
            <w:tcW w:w="2552" w:type="dxa"/>
            <w:tcBorders>
              <w:top w:val="single" w:sz="8" w:space="0" w:color="auto"/>
              <w:bottom w:val="single" w:sz="4" w:space="0" w:color="auto"/>
            </w:tcBorders>
          </w:tcPr>
          <w:p>
            <w:pPr>
              <w:pStyle w:val="nTable"/>
              <w:keepNext/>
              <w:spacing w:after="40"/>
            </w:pPr>
            <w:r>
              <w:t>To be proclaimed (see s. 2(2))</w:t>
            </w:r>
          </w:p>
        </w:tc>
      </w:tr>
    </w:tbl>
    <w:p>
      <w:pPr>
        <w:pStyle w:val="nHeading3"/>
      </w:pPr>
      <w:bookmarkStart w:id="34" w:name="_Toc32237054"/>
      <w:r>
        <w:t>Other notes</w:t>
      </w:r>
      <w:bookmarkEnd w:id="34"/>
    </w:p>
    <w:p>
      <w:pPr>
        <w:pStyle w:val="nNote"/>
        <w:spacing w:before="160"/>
        <w:rPr>
          <w:snapToGrid w:val="0"/>
        </w:rPr>
      </w:pPr>
      <w:r>
        <w:rPr>
          <w:snapToGrid w:val="0"/>
          <w:vertAlign w:val="superscript"/>
        </w:rPr>
        <w:t>1</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Note"/>
        <w:keepNext/>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Note"/>
      </w:pPr>
      <w:r>
        <w:rPr>
          <w:snapToGrid w:val="0"/>
          <w:vertAlign w:val="superscript"/>
        </w:rPr>
        <w:t>4</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6" w:name="_Toc32237023"/>
      <w:bookmarkStart w:id="37" w:name="_Toc32237055"/>
      <w:r>
        <w:rPr>
          <w:sz w:val="28"/>
        </w:rPr>
        <w:t>Defined terms</w:t>
      </w:r>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w:t>
      </w:r>
      <w:r>
        <w:tab/>
        <w:t>3</w:t>
      </w:r>
    </w:p>
    <w:p>
      <w:pPr>
        <w:pStyle w:val="DefinedTerms"/>
      </w:pPr>
      <w:r>
        <w:t>Commissioner</w:t>
      </w:r>
      <w:r>
        <w:tab/>
        <w:t>3</w:t>
      </w:r>
    </w:p>
    <w:p>
      <w:pPr>
        <w:pStyle w:val="DefinedTerms"/>
      </w:pPr>
      <w:r>
        <w:t>debt collector</w:t>
      </w:r>
      <w:r>
        <w:tab/>
        <w:t>3</w:t>
      </w:r>
    </w:p>
    <w:p>
      <w:pPr>
        <w:pStyle w:val="DefinedTerms"/>
      </w:pPr>
      <w:r>
        <w:t>licence</w:t>
      </w:r>
      <w:r>
        <w:tab/>
        <w:t>3</w:t>
      </w:r>
    </w:p>
    <w:p>
      <w:pPr>
        <w:pStyle w:val="DefinedTerms"/>
      </w:pPr>
      <w:r>
        <w:t>licensee</w:t>
      </w:r>
      <w:r>
        <w:tab/>
        <w:t>3, 16(2)</w:t>
      </w:r>
    </w:p>
    <w:p>
      <w:pPr>
        <w:pStyle w:val="DefinedTerms"/>
      </w:pPr>
      <w:r>
        <w:t>money</w:t>
      </w:r>
      <w:r>
        <w:tab/>
        <w:t>3</w:t>
      </w:r>
    </w:p>
    <w:p>
      <w:pPr>
        <w:pStyle w:val="DefinedTerms"/>
      </w:pPr>
      <w:r>
        <w:t>money received for or on behalf of any person</w:t>
      </w:r>
      <w:r>
        <w:tab/>
        <w:t>3</w:t>
      </w:r>
    </w:p>
    <w:p>
      <w:pPr>
        <w:pStyle w:val="DefinedTerms"/>
      </w:pPr>
      <w:r>
        <w:t>to pay into a trust account</w:t>
      </w:r>
      <w:r>
        <w:tab/>
        <w:t>3</w:t>
      </w:r>
    </w:p>
    <w:p>
      <w:pPr>
        <w:pStyle w:val="DefinedTerms"/>
      </w:pPr>
      <w:r>
        <w:t>trust account</w:t>
      </w:r>
      <w:r>
        <w:tab/>
        <w:t>3</w:t>
      </w:r>
    </w:p>
    <w:p>
      <w:pPr>
        <w:pStyle w:val="DefinedTerms"/>
      </w:pPr>
      <w:r>
        <w:t>trust money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lvlText w:val="%1."/>
      <w:lvlJc w:val="left"/>
      <w:pPr>
        <w:tabs>
          <w:tab w:val="num" w:pos="1492"/>
        </w:tabs>
        <w:ind w:left="1492" w:hanging="360"/>
      </w:pPr>
    </w:lvl>
  </w:abstractNum>
  <w:abstractNum w:abstractNumId="1">
    <w:nsid w:val="FFFFFF7D"/>
    <w:multiLevelType w:val="singleLevel"/>
    <w:tmpl w:val="99BC7190"/>
    <w:lvl w:ilvl="0">
      <w:start w:val="1"/>
      <w:numFmt w:val="decimal"/>
      <w:lvlText w:val="%1."/>
      <w:lvlJc w:val="left"/>
      <w:pPr>
        <w:tabs>
          <w:tab w:val="num" w:pos="1209"/>
        </w:tabs>
        <w:ind w:left="1209" w:hanging="360"/>
      </w:pPr>
    </w:lvl>
  </w:abstractNum>
  <w:abstractNum w:abstractNumId="2">
    <w:nsid w:val="FFFFFF7E"/>
    <w:multiLevelType w:val="singleLevel"/>
    <w:tmpl w:val="B6D22916"/>
    <w:lvl w:ilvl="0">
      <w:start w:val="1"/>
      <w:numFmt w:val="decimal"/>
      <w:lvlText w:val="%1."/>
      <w:lvlJc w:val="left"/>
      <w:pPr>
        <w:tabs>
          <w:tab w:val="num" w:pos="926"/>
        </w:tabs>
        <w:ind w:left="926" w:hanging="360"/>
      </w:pPr>
    </w:lvl>
  </w:abstractNum>
  <w:abstractNum w:abstractNumId="3">
    <w:nsid w:val="FFFFFF7F"/>
    <w:multiLevelType w:val="singleLevel"/>
    <w:tmpl w:val="16400016"/>
    <w:lvl w:ilvl="0">
      <w:start w:val="1"/>
      <w:numFmt w:val="decimal"/>
      <w:lvlText w:val="%1."/>
      <w:lvlJc w:val="left"/>
      <w:pPr>
        <w:tabs>
          <w:tab w:val="num" w:pos="643"/>
        </w:tabs>
        <w:ind w:left="643" w:hanging="360"/>
      </w:pPr>
    </w:lvl>
  </w:abstractNum>
  <w:abstractNum w:abstractNumId="4">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lvlText w:val="%1."/>
      <w:lvlJc w:val="left"/>
      <w:pPr>
        <w:tabs>
          <w:tab w:val="num" w:pos="360"/>
        </w:tabs>
        <w:ind w:left="360" w:hanging="360"/>
      </w:pPr>
    </w:lvl>
  </w:abstractNum>
  <w:abstractNum w:abstractNumId="9">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35826"/>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 w:name="WAFER_20191219121819" w:val="RemoveTocBookmarks,RemoveUnusedBookmarks,RemoveLanguageTags,ResetPageSize,RunningHeaders,UpdateStyles,UsedStyles"/>
    <w:docVar w:name="WAFER_20191219121819_GUID" w:val="f9faa4c7-fc82-4f88-9c32-aa21433a5cfa"/>
    <w:docVar w:name="WAFER_20200210135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5826_GUID" w:val="74136b17-f1fd-45cb-aeb0-125f93ec9f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6855</Words>
  <Characters>31533</Characters>
  <Application>Microsoft Office Word</Application>
  <DocSecurity>0</DocSecurity>
  <Lines>900</Lines>
  <Paragraphs>485</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1964 - 04-e0-01</dc:title>
  <dc:subject/>
  <dc:creator/>
  <cp:keywords/>
  <dc:description/>
  <cp:lastModifiedBy>svcMRProcess</cp:lastModifiedBy>
  <cp:revision>4</cp:revision>
  <cp:lastPrinted>2011-10-04T01:08:00Z</cp:lastPrinted>
  <dcterms:created xsi:type="dcterms:W3CDTF">2020-02-11T06:48:00Z</dcterms:created>
  <dcterms:modified xsi:type="dcterms:W3CDTF">2020-02-11T06:48:00Z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04-e0-01</vt:lpwstr>
  </property>
</Properties>
</file>