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_Toc32246769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_Toc32246770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_Toc32246771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_Toc32246772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_Toc32246773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_Toc32246775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_Toc32246776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_Toc32246777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_Toc32246778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_Toc32246779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_Toc32246780 \h </w:instrText>
      </w:r>
      <w:r>
        <w:fldChar w:fldCharType="separate"/>
      </w:r>
      <w:r>
        <w:t>7</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_Toc32246781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_Toc32246784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_Toc32246785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_Toc32246786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_Toc32246788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_Toc32246789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_Toc32246790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_Toc32246792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_Toc32246793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_Toc32246794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_Toc32246795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_Toc32246796 \h </w:instrText>
      </w:r>
      <w:r>
        <w:fldChar w:fldCharType="separate"/>
      </w:r>
      <w:r>
        <w:t>15</w:t>
      </w:r>
      <w:r>
        <w:fldChar w:fldCharType="end"/>
      </w:r>
    </w:p>
    <w:p>
      <w:pPr>
        <w:pStyle w:val="TOC8"/>
        <w:rPr>
          <w:rFonts w:asciiTheme="minorHAnsi" w:eastAsiaTheme="minorEastAsia" w:hAnsiTheme="minorHAnsi" w:cstheme="minorBidi"/>
          <w:szCs w:val="22"/>
        </w:rPr>
      </w:pPr>
      <w:r>
        <w:t>33A.</w:t>
      </w:r>
      <w:r>
        <w:tab/>
        <w:t>Offence of giving false or misleading information</w:t>
      </w:r>
      <w:r>
        <w:tab/>
      </w:r>
      <w:r>
        <w:fldChar w:fldCharType="begin"/>
      </w:r>
      <w:r>
        <w:instrText xml:space="preserve"> PAGEREF _Toc32246797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_Toc32246798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_Toc32246799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_Toc32246800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_Toc32246802 \h </w:instrText>
      </w:r>
      <w:r>
        <w:fldChar w:fldCharType="separate"/>
      </w:r>
      <w:r>
        <w:t>18</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_Toc32246803 \h </w:instrText>
      </w:r>
      <w:r>
        <w:fldChar w:fldCharType="separate"/>
      </w:r>
      <w:r>
        <w:t>18</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_Toc32246804 \h </w:instrText>
      </w:r>
      <w:r>
        <w:fldChar w:fldCharType="separate"/>
      </w:r>
      <w:r>
        <w:t>18</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_Toc32246805 \h </w:instrText>
      </w:r>
      <w:r>
        <w:fldChar w:fldCharType="separate"/>
      </w:r>
      <w:r>
        <w:t>19</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_Toc32246806 \h </w:instrText>
      </w:r>
      <w:r>
        <w:fldChar w:fldCharType="separate"/>
      </w:r>
      <w:r>
        <w:t>19</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_Toc32246807 \h </w:instrText>
      </w:r>
      <w:r>
        <w:fldChar w:fldCharType="separate"/>
      </w:r>
      <w:r>
        <w:t>19</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_Toc32246808 \h </w:instrText>
      </w:r>
      <w:r>
        <w:fldChar w:fldCharType="separate"/>
      </w:r>
      <w:r>
        <w:t>19</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_Toc32246809 \h </w:instrText>
      </w:r>
      <w:r>
        <w:fldChar w:fldCharType="separate"/>
      </w:r>
      <w:r>
        <w:t>20</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_Toc32246810 \h </w:instrText>
      </w:r>
      <w:r>
        <w:fldChar w:fldCharType="separate"/>
      </w:r>
      <w:r>
        <w:t>20</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_Toc32246811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_Toc32246813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_Toc32246814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32243029"/>
      <w:bookmarkStart w:id="4" w:name="_Toc32243077"/>
      <w:bookmarkStart w:id="5" w:name="_Toc3224676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224676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7" w:name="_Toc3224677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8" w:name="_Toc32246771"/>
      <w:r>
        <w:rPr>
          <w:rStyle w:val="CharSectno"/>
        </w:rPr>
        <w:t>4</w:t>
      </w:r>
      <w:r>
        <w:rPr>
          <w:snapToGrid w:val="0"/>
        </w:rPr>
        <w:t>.</w:t>
      </w:r>
      <w:r>
        <w:rPr>
          <w:snapToGrid w:val="0"/>
        </w:rPr>
        <w:tab/>
        <w:t>Terms used</w:t>
      </w:r>
      <w:bookmarkEnd w:id="8"/>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9" w:name="_Toc32246772"/>
      <w:r>
        <w:rPr>
          <w:rStyle w:val="CharSectno"/>
        </w:rPr>
        <w:t>15</w:t>
      </w:r>
      <w:r>
        <w:t>.</w:t>
      </w:r>
      <w:r>
        <w:tab/>
        <w:t>Powers of investigation</w:t>
      </w:r>
      <w:bookmarkEnd w:id="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0" w:name="_Toc32246773"/>
      <w:r>
        <w:rPr>
          <w:rStyle w:val="CharSectno"/>
        </w:rPr>
        <w:t>16</w:t>
      </w:r>
      <w:r>
        <w:rPr>
          <w:snapToGrid w:val="0"/>
        </w:rPr>
        <w:t>.</w:t>
      </w:r>
      <w:r>
        <w:rPr>
          <w:snapToGrid w:val="0"/>
        </w:rPr>
        <w:tab/>
        <w:t>Application for review by SAT of certain decisions under Part III</w:t>
      </w:r>
      <w:bookmarkEnd w:id="10"/>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1" w:name="_Toc32243035"/>
      <w:bookmarkStart w:id="12" w:name="_Toc32243083"/>
      <w:bookmarkStart w:id="13" w:name="_Toc32246774"/>
      <w:r>
        <w:rPr>
          <w:rStyle w:val="CharPartNo"/>
        </w:rPr>
        <w:t>Part III</w:t>
      </w:r>
      <w:r>
        <w:rPr>
          <w:rStyle w:val="CharDivNo"/>
        </w:rPr>
        <w:t> </w:t>
      </w:r>
      <w:r>
        <w:t>—</w:t>
      </w:r>
      <w:r>
        <w:rPr>
          <w:rStyle w:val="CharDivText"/>
        </w:rPr>
        <w:t> </w:t>
      </w:r>
      <w:r>
        <w:rPr>
          <w:rStyle w:val="CharPartText"/>
        </w:rPr>
        <w:t>Licensing</w:t>
      </w:r>
      <w:bookmarkEnd w:id="11"/>
      <w:bookmarkEnd w:id="12"/>
      <w:bookmarkEnd w:id="13"/>
    </w:p>
    <w:p>
      <w:pPr>
        <w:pStyle w:val="Heading5"/>
        <w:rPr>
          <w:snapToGrid w:val="0"/>
        </w:rPr>
      </w:pPr>
      <w:bookmarkStart w:id="14" w:name="_Toc32246775"/>
      <w:r>
        <w:rPr>
          <w:rStyle w:val="CharSectno"/>
        </w:rPr>
        <w:t>17</w:t>
      </w:r>
      <w:r>
        <w:rPr>
          <w:snapToGrid w:val="0"/>
        </w:rPr>
        <w:t>.</w:t>
      </w:r>
      <w:r>
        <w:rPr>
          <w:snapToGrid w:val="0"/>
        </w:rPr>
        <w:tab/>
        <w:t>Applications for licences</w:t>
      </w:r>
      <w:bookmarkEnd w:id="14"/>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in Gazette 24 Aug 2012 p. 3959; No. 23 of 2014 s. 16; No. 44 of 2016 s. 16.]</w:t>
      </w:r>
    </w:p>
    <w:p>
      <w:pPr>
        <w:pStyle w:val="Ednotesection"/>
      </w:pPr>
      <w:r>
        <w:t>[</w:t>
      </w:r>
      <w:r>
        <w:rPr>
          <w:b/>
        </w:rPr>
        <w:t>18.</w:t>
      </w:r>
      <w:r>
        <w:tab/>
        <w:t>Deleted: No. 23 of 2014 s. 17.]</w:t>
      </w:r>
    </w:p>
    <w:p>
      <w:pPr>
        <w:pStyle w:val="Heading5"/>
        <w:rPr>
          <w:snapToGrid w:val="0"/>
        </w:rPr>
      </w:pPr>
      <w:bookmarkStart w:id="15" w:name="_Toc32246776"/>
      <w:r>
        <w:rPr>
          <w:rStyle w:val="CharSectno"/>
        </w:rPr>
        <w:t>19</w:t>
      </w:r>
      <w:r>
        <w:rPr>
          <w:snapToGrid w:val="0"/>
        </w:rPr>
        <w:t>.</w:t>
      </w:r>
      <w:r>
        <w:rPr>
          <w:snapToGrid w:val="0"/>
        </w:rPr>
        <w:tab/>
        <w:t>Grant of licence</w:t>
      </w:r>
      <w:bookmarkEnd w:id="15"/>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16" w:name="_Toc32246777"/>
      <w:r>
        <w:rPr>
          <w:rStyle w:val="CharSectno"/>
        </w:rPr>
        <w:t>19A</w:t>
      </w:r>
      <w:r>
        <w:t>.</w:t>
      </w:r>
      <w:r>
        <w:tab/>
        <w:t>Commissioner may grant licence without notice to applicant</w:t>
      </w:r>
      <w:bookmarkEnd w:id="16"/>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17" w:name="_Toc32246778"/>
      <w:r>
        <w:rPr>
          <w:rStyle w:val="CharSectno"/>
        </w:rPr>
        <w:t>20A</w:t>
      </w:r>
      <w:r>
        <w:t>.</w:t>
      </w:r>
      <w:r>
        <w:tab/>
        <w:t>SAT may suspend licence in some cases</w:t>
      </w:r>
      <w:bookmarkEnd w:id="17"/>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18" w:name="_Toc32246779"/>
      <w:r>
        <w:rPr>
          <w:rStyle w:val="CharSectno"/>
        </w:rPr>
        <w:t>21</w:t>
      </w:r>
      <w:r>
        <w:rPr>
          <w:snapToGrid w:val="0"/>
        </w:rPr>
        <w:t>.</w:t>
      </w:r>
      <w:r>
        <w:rPr>
          <w:snapToGrid w:val="0"/>
        </w:rPr>
        <w:tab/>
        <w:t>Expiry and surrender of licence</w:t>
      </w:r>
      <w:bookmarkEnd w:id="18"/>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19" w:name="_Toc32246780"/>
      <w:r>
        <w:rPr>
          <w:rStyle w:val="CharSectno"/>
        </w:rPr>
        <w:t>22</w:t>
      </w:r>
      <w:r>
        <w:rPr>
          <w:snapToGrid w:val="0"/>
        </w:rPr>
        <w:t>.</w:t>
      </w:r>
      <w:r>
        <w:rPr>
          <w:snapToGrid w:val="0"/>
        </w:rPr>
        <w:tab/>
        <w:t>Renewal of licence</w:t>
      </w:r>
      <w:bookmarkEnd w:id="19"/>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an application is made during the period that begins on the day on which the licence expired and ends on the 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20" w:name="_Toc32246781"/>
      <w:r>
        <w:rPr>
          <w:rStyle w:val="CharSectno"/>
        </w:rPr>
        <w:t>23A</w:t>
      </w:r>
      <w:r>
        <w:t>.</w:t>
      </w:r>
      <w:r>
        <w:tab/>
        <w:t>Duplicate licence</w:t>
      </w:r>
      <w:bookmarkEnd w:id="20"/>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21" w:name="_Toc32243043"/>
      <w:bookmarkStart w:id="22" w:name="_Toc32243091"/>
      <w:bookmarkStart w:id="23" w:name="_Toc32246782"/>
      <w:r>
        <w:rPr>
          <w:rStyle w:val="CharPartNo"/>
        </w:rPr>
        <w:t>Part IV</w:t>
      </w:r>
      <w:r>
        <w:t> — </w:t>
      </w:r>
      <w:r>
        <w:rPr>
          <w:rStyle w:val="CharPartText"/>
        </w:rPr>
        <w:t>Control of the practice of valuation</w:t>
      </w:r>
      <w:bookmarkEnd w:id="21"/>
      <w:bookmarkEnd w:id="22"/>
      <w:bookmarkEnd w:id="23"/>
    </w:p>
    <w:p>
      <w:pPr>
        <w:pStyle w:val="Heading3"/>
      </w:pPr>
      <w:bookmarkStart w:id="24" w:name="_Toc32243044"/>
      <w:bookmarkStart w:id="25" w:name="_Toc32243092"/>
      <w:bookmarkStart w:id="26" w:name="_Toc32246783"/>
      <w:r>
        <w:rPr>
          <w:rStyle w:val="CharDivNo"/>
        </w:rPr>
        <w:t>Division 1</w:t>
      </w:r>
      <w:r>
        <w:rPr>
          <w:snapToGrid w:val="0"/>
        </w:rPr>
        <w:t> — </w:t>
      </w:r>
      <w:r>
        <w:rPr>
          <w:rStyle w:val="CharDivText"/>
        </w:rPr>
        <w:t>General</w:t>
      </w:r>
      <w:bookmarkEnd w:id="24"/>
      <w:bookmarkEnd w:id="25"/>
      <w:bookmarkEnd w:id="26"/>
    </w:p>
    <w:p>
      <w:pPr>
        <w:pStyle w:val="Heading5"/>
        <w:spacing w:before="180"/>
        <w:rPr>
          <w:snapToGrid w:val="0"/>
        </w:rPr>
      </w:pPr>
      <w:bookmarkStart w:id="27" w:name="_Toc32246784"/>
      <w:r>
        <w:rPr>
          <w:rStyle w:val="CharSectno"/>
        </w:rPr>
        <w:t>23</w:t>
      </w:r>
      <w:r>
        <w:rPr>
          <w:snapToGrid w:val="0"/>
        </w:rPr>
        <w:t>.</w:t>
      </w:r>
      <w:r>
        <w:rPr>
          <w:snapToGrid w:val="0"/>
        </w:rPr>
        <w:tab/>
        <w:t>Valuers to be licensed</w:t>
      </w:r>
      <w:bookmarkEnd w:id="27"/>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28" w:name="_Toc32246785"/>
      <w:r>
        <w:rPr>
          <w:rStyle w:val="CharSectno"/>
        </w:rPr>
        <w:t>24</w:t>
      </w:r>
      <w:r>
        <w:rPr>
          <w:snapToGrid w:val="0"/>
        </w:rPr>
        <w:t>.</w:t>
      </w:r>
      <w:r>
        <w:rPr>
          <w:snapToGrid w:val="0"/>
        </w:rPr>
        <w:tab/>
        <w:t>False claim of being licensed</w:t>
      </w:r>
      <w:bookmarkEnd w:id="28"/>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29" w:name="_Toc32246786"/>
      <w:r>
        <w:rPr>
          <w:rStyle w:val="CharSectno"/>
        </w:rPr>
        <w:t>25</w:t>
      </w:r>
      <w:r>
        <w:rPr>
          <w:snapToGrid w:val="0"/>
        </w:rPr>
        <w:t>.</w:t>
      </w:r>
      <w:r>
        <w:rPr>
          <w:snapToGrid w:val="0"/>
        </w:rPr>
        <w:tab/>
        <w:t>Remuneration of licensed valuers</w:t>
      </w:r>
      <w:bookmarkEnd w:id="29"/>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30" w:name="_Toc32243048"/>
      <w:bookmarkStart w:id="31" w:name="_Toc32243096"/>
      <w:bookmarkStart w:id="32" w:name="_Toc32246787"/>
      <w:r>
        <w:rPr>
          <w:rStyle w:val="CharDivNo"/>
        </w:rPr>
        <w:t>Division 2</w:t>
      </w:r>
      <w:r>
        <w:rPr>
          <w:snapToGrid w:val="0"/>
        </w:rPr>
        <w:t> — </w:t>
      </w:r>
      <w:r>
        <w:rPr>
          <w:rStyle w:val="CharDivText"/>
        </w:rPr>
        <w:t>Discipline</w:t>
      </w:r>
      <w:bookmarkEnd w:id="30"/>
      <w:bookmarkEnd w:id="31"/>
      <w:bookmarkEnd w:id="32"/>
    </w:p>
    <w:p>
      <w:pPr>
        <w:pStyle w:val="Heading5"/>
        <w:spacing w:before="180"/>
        <w:rPr>
          <w:snapToGrid w:val="0"/>
        </w:rPr>
      </w:pPr>
      <w:bookmarkStart w:id="33" w:name="_Toc32246788"/>
      <w:r>
        <w:rPr>
          <w:rStyle w:val="CharSectno"/>
        </w:rPr>
        <w:t>26</w:t>
      </w:r>
      <w:r>
        <w:rPr>
          <w:snapToGrid w:val="0"/>
        </w:rPr>
        <w:t>.</w:t>
      </w:r>
      <w:r>
        <w:rPr>
          <w:snapToGrid w:val="0"/>
        </w:rPr>
        <w:tab/>
        <w:t>Licensed valuers’ code of conduct</w:t>
      </w:r>
      <w:bookmarkEnd w:id="33"/>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34" w:name="_Toc32246789"/>
      <w:r>
        <w:rPr>
          <w:rStyle w:val="CharSectno"/>
        </w:rPr>
        <w:t>27</w:t>
      </w:r>
      <w:r>
        <w:rPr>
          <w:snapToGrid w:val="0"/>
        </w:rPr>
        <w:t>.</w:t>
      </w:r>
      <w:r>
        <w:rPr>
          <w:snapToGrid w:val="0"/>
        </w:rPr>
        <w:tab/>
        <w:t>Disciplinary proceedings against licensed valuers</w:t>
      </w:r>
      <w:bookmarkEnd w:id="34"/>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35" w:name="_Toc32246790"/>
      <w:r>
        <w:rPr>
          <w:rStyle w:val="CharSectno"/>
        </w:rPr>
        <w:t>28</w:t>
      </w:r>
      <w:r>
        <w:rPr>
          <w:snapToGrid w:val="0"/>
        </w:rPr>
        <w:t>.</w:t>
      </w:r>
      <w:r>
        <w:rPr>
          <w:snapToGrid w:val="0"/>
        </w:rPr>
        <w:tab/>
        <w:t>SAT’s powers on disciplinary proceedings</w:t>
      </w:r>
      <w:bookmarkEnd w:id="35"/>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36" w:name="_Toc32243052"/>
      <w:bookmarkStart w:id="37" w:name="_Toc32243100"/>
      <w:bookmarkStart w:id="38" w:name="_Toc32246791"/>
      <w:r>
        <w:rPr>
          <w:rStyle w:val="CharPartNo"/>
        </w:rPr>
        <w:t>Part V</w:t>
      </w:r>
      <w:r>
        <w:rPr>
          <w:rStyle w:val="CharDivNo"/>
        </w:rPr>
        <w:t> </w:t>
      </w:r>
      <w:r>
        <w:t>—</w:t>
      </w:r>
      <w:r>
        <w:rPr>
          <w:rStyle w:val="CharDivText"/>
        </w:rPr>
        <w:t> </w:t>
      </w:r>
      <w:r>
        <w:rPr>
          <w:rStyle w:val="CharPartText"/>
        </w:rPr>
        <w:t>Miscellaneous</w:t>
      </w:r>
      <w:bookmarkEnd w:id="36"/>
      <w:bookmarkEnd w:id="37"/>
      <w:bookmarkEnd w:id="38"/>
    </w:p>
    <w:p>
      <w:pPr>
        <w:pStyle w:val="Heading5"/>
        <w:spacing w:before="120"/>
        <w:rPr>
          <w:snapToGrid w:val="0"/>
        </w:rPr>
      </w:pPr>
      <w:bookmarkStart w:id="39" w:name="_Toc32246792"/>
      <w:r>
        <w:rPr>
          <w:rStyle w:val="CharSectno"/>
        </w:rPr>
        <w:t>29</w:t>
      </w:r>
      <w:r>
        <w:rPr>
          <w:snapToGrid w:val="0"/>
        </w:rPr>
        <w:t>.</w:t>
      </w:r>
      <w:r>
        <w:rPr>
          <w:snapToGrid w:val="0"/>
        </w:rPr>
        <w:tab/>
        <w:t>Register of licensed valuers</w:t>
      </w:r>
      <w:bookmarkEnd w:id="39"/>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40" w:name="_Toc32246793"/>
      <w:r>
        <w:rPr>
          <w:rStyle w:val="CharSectno"/>
        </w:rPr>
        <w:t>29A</w:t>
      </w:r>
      <w:r>
        <w:rPr>
          <w:snapToGrid w:val="0"/>
        </w:rPr>
        <w:t>.</w:t>
      </w:r>
      <w:r>
        <w:rPr>
          <w:snapToGrid w:val="0"/>
        </w:rPr>
        <w:tab/>
        <w:t>Change of particulars, licensee to notify Commissioner</w:t>
      </w:r>
      <w:bookmarkEnd w:id="40"/>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41" w:name="_Toc32246794"/>
      <w:r>
        <w:rPr>
          <w:rStyle w:val="CharSectno"/>
        </w:rPr>
        <w:t>30</w:t>
      </w:r>
      <w:r>
        <w:rPr>
          <w:snapToGrid w:val="0"/>
        </w:rPr>
        <w:t>.</w:t>
      </w:r>
      <w:r>
        <w:rPr>
          <w:snapToGrid w:val="0"/>
        </w:rPr>
        <w:tab/>
        <w:t>Commissioner’s certificate</w:t>
      </w:r>
      <w:bookmarkEnd w:id="41"/>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42" w:name="_Toc32246795"/>
      <w:r>
        <w:rPr>
          <w:rStyle w:val="CharSectno"/>
        </w:rPr>
        <w:t>31</w:t>
      </w:r>
      <w:r>
        <w:rPr>
          <w:snapToGrid w:val="0"/>
        </w:rPr>
        <w:t>.</w:t>
      </w:r>
      <w:r>
        <w:rPr>
          <w:snapToGrid w:val="0"/>
        </w:rPr>
        <w:tab/>
        <w:t>Annual report by department</w:t>
      </w:r>
      <w:bookmarkEnd w:id="42"/>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43" w:name="_Toc32246796"/>
      <w:r>
        <w:rPr>
          <w:rStyle w:val="CharSectno"/>
        </w:rPr>
        <w:t>33</w:t>
      </w:r>
      <w:r>
        <w:t>.</w:t>
      </w:r>
      <w:r>
        <w:tab/>
        <w:t>Confidentiality of information officially obtained</w:t>
      </w:r>
      <w:bookmarkEnd w:id="4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44" w:name="_Toc32246797"/>
      <w:r>
        <w:rPr>
          <w:rStyle w:val="CharSectno"/>
        </w:rPr>
        <w:t>33A</w:t>
      </w:r>
      <w:r>
        <w:t>.</w:t>
      </w:r>
      <w:r>
        <w:tab/>
        <w:t>Offence of giving false or misleading information</w:t>
      </w:r>
      <w:bookmarkEnd w:id="44"/>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45" w:name="_Toc32246798"/>
      <w:r>
        <w:rPr>
          <w:rStyle w:val="CharSectno"/>
        </w:rPr>
        <w:t>34</w:t>
      </w:r>
      <w:r>
        <w:rPr>
          <w:snapToGrid w:val="0"/>
        </w:rPr>
        <w:t>.</w:t>
      </w:r>
      <w:r>
        <w:rPr>
          <w:snapToGrid w:val="0"/>
        </w:rPr>
        <w:tab/>
        <w:t>Offences by corporations</w:t>
      </w:r>
      <w:bookmarkEnd w:id="45"/>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46" w:name="_Toc32246799"/>
      <w:r>
        <w:rPr>
          <w:rStyle w:val="CharSectno"/>
        </w:rPr>
        <w:t>35</w:t>
      </w:r>
      <w:r>
        <w:rPr>
          <w:snapToGrid w:val="0"/>
        </w:rPr>
        <w:t>.</w:t>
      </w:r>
      <w:r>
        <w:rPr>
          <w:snapToGrid w:val="0"/>
        </w:rPr>
        <w:tab/>
        <w:t>Proceedings for offences</w:t>
      </w:r>
      <w:bookmarkEnd w:id="46"/>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47" w:name="_Toc32246800"/>
      <w:r>
        <w:rPr>
          <w:rStyle w:val="CharSectno"/>
        </w:rPr>
        <w:t>36</w:t>
      </w:r>
      <w:r>
        <w:rPr>
          <w:snapToGrid w:val="0"/>
        </w:rPr>
        <w:t>.</w:t>
      </w:r>
      <w:r>
        <w:rPr>
          <w:snapToGrid w:val="0"/>
        </w:rPr>
        <w:tab/>
        <w:t>Regulations</w:t>
      </w:r>
      <w:bookmarkEnd w:id="47"/>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No. 65 of 1987 s. 38; No. 56 of 1995 s. 31; No. 55 of 2004 s. 600; No. 69 of 2006 s. 23; No. 58 of 2010 s. 29.]</w:t>
      </w:r>
    </w:p>
    <w:p>
      <w:pPr>
        <w:pStyle w:val="Heading2"/>
      </w:pPr>
      <w:bookmarkStart w:id="48" w:name="_Toc32243062"/>
      <w:bookmarkStart w:id="49" w:name="_Toc32243110"/>
      <w:bookmarkStart w:id="50" w:name="_Toc32246801"/>
      <w:r>
        <w:rPr>
          <w:rStyle w:val="CharPartNo"/>
        </w:rPr>
        <w:t>Part VI</w:t>
      </w:r>
      <w:r>
        <w:rPr>
          <w:b w:val="0"/>
        </w:rPr>
        <w:t> </w:t>
      </w:r>
      <w:r>
        <w:t>—</w:t>
      </w:r>
      <w:r>
        <w:rPr>
          <w:b w:val="0"/>
        </w:rPr>
        <w:t> </w:t>
      </w:r>
      <w:r>
        <w:rPr>
          <w:rStyle w:val="CharPartText"/>
        </w:rPr>
        <w:t>Miscellaneous transitional matters</w:t>
      </w:r>
      <w:bookmarkEnd w:id="48"/>
      <w:bookmarkEnd w:id="49"/>
      <w:bookmarkEnd w:id="50"/>
    </w:p>
    <w:p>
      <w:pPr>
        <w:pStyle w:val="Footnotesection"/>
        <w:spacing w:before="100"/>
        <w:ind w:left="890" w:hanging="890"/>
      </w:pPr>
      <w:r>
        <w:tab/>
        <w:t>[Heading inserted: No. 58 of 2010 s. 30.]</w:t>
      </w:r>
    </w:p>
    <w:p>
      <w:pPr>
        <w:pStyle w:val="Heading5"/>
      </w:pPr>
      <w:bookmarkStart w:id="51" w:name="_Toc32246802"/>
      <w:r>
        <w:rPr>
          <w:rStyle w:val="CharSectno"/>
        </w:rPr>
        <w:t>37</w:t>
      </w:r>
      <w:r>
        <w:t>.</w:t>
      </w:r>
      <w:r>
        <w:tab/>
        <w:t>Terms used</w:t>
      </w:r>
      <w:bookmarkEnd w:id="51"/>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52" w:name="_Toc32246803"/>
      <w:r>
        <w:rPr>
          <w:rStyle w:val="CharSectno"/>
        </w:rPr>
        <w:t>38</w:t>
      </w:r>
      <w:r>
        <w:t>.</w:t>
      </w:r>
      <w:r>
        <w:tab/>
        <w:t>Former Board abolished</w:t>
      </w:r>
      <w:bookmarkEnd w:id="52"/>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53" w:name="_Toc32246804"/>
      <w:r>
        <w:rPr>
          <w:rStyle w:val="CharSectno"/>
        </w:rPr>
        <w:t>39</w:t>
      </w:r>
      <w:r>
        <w:t>.</w:t>
      </w:r>
      <w:r>
        <w:tab/>
        <w:t>References to former Board or Registrar</w:t>
      </w:r>
      <w:bookmarkEnd w:id="53"/>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54" w:name="_Toc32246805"/>
      <w:r>
        <w:rPr>
          <w:rStyle w:val="CharSectno"/>
        </w:rPr>
        <w:t>40</w:t>
      </w:r>
      <w:r>
        <w:t>.</w:t>
      </w:r>
      <w:r>
        <w:tab/>
        <w:t>Immunity continues</w:t>
      </w:r>
      <w:bookmarkEnd w:id="54"/>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55" w:name="_Toc32246806"/>
      <w:r>
        <w:rPr>
          <w:rStyle w:val="CharSectno"/>
        </w:rPr>
        <w:t>41</w:t>
      </w:r>
      <w:r>
        <w:t>.</w:t>
      </w:r>
      <w:r>
        <w:tab/>
        <w:t>Notices of maximum amounts of remuneration</w:t>
      </w:r>
      <w:bookmarkEnd w:id="55"/>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56" w:name="_Toc32246807"/>
      <w:r>
        <w:rPr>
          <w:rStyle w:val="CharSectno"/>
        </w:rPr>
        <w:t>42</w:t>
      </w:r>
      <w:r>
        <w:t>.</w:t>
      </w:r>
      <w:r>
        <w:tab/>
        <w:t>Unfinished proceedings by former Registrar</w:t>
      </w:r>
      <w:bookmarkEnd w:id="56"/>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57" w:name="_Toc32246808"/>
      <w:r>
        <w:rPr>
          <w:rStyle w:val="CharSectno"/>
        </w:rPr>
        <w:t>43</w:t>
      </w:r>
      <w:r>
        <w:t>.</w:t>
      </w:r>
      <w:r>
        <w:tab/>
        <w:t>Unfinished proceedings by former Board</w:t>
      </w:r>
      <w:bookmarkEnd w:id="57"/>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58" w:name="_Toc32246809"/>
      <w:r>
        <w:rPr>
          <w:rStyle w:val="CharSectno"/>
        </w:rPr>
        <w:t>44</w:t>
      </w:r>
      <w:r>
        <w:t>.</w:t>
      </w:r>
      <w:r>
        <w:tab/>
        <w:t>Winding</w:t>
      </w:r>
      <w:r>
        <w:noBreakHyphen/>
        <w:t>up by former Board</w:t>
      </w:r>
      <w:bookmarkEnd w:id="58"/>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59" w:name="_Toc32246810"/>
      <w:r>
        <w:rPr>
          <w:rStyle w:val="CharSectno"/>
        </w:rPr>
        <w:t>45</w:t>
      </w:r>
      <w:r>
        <w:t>.</w:t>
      </w:r>
      <w:r>
        <w:tab/>
        <w:t>Final report by former Board</w:t>
      </w:r>
      <w:bookmarkEnd w:id="59"/>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60" w:name="_Toc32246811"/>
      <w:r>
        <w:rPr>
          <w:rStyle w:val="CharSectno"/>
        </w:rPr>
        <w:t>46</w:t>
      </w:r>
      <w:r>
        <w:t>.</w:t>
      </w:r>
      <w:r>
        <w:tab/>
        <w:t>Transitional regulations</w:t>
      </w:r>
      <w:bookmarkEnd w:id="6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61" w:name="_Toc32243073"/>
      <w:bookmarkStart w:id="62" w:name="_Toc32243121"/>
      <w:bookmarkStart w:id="63" w:name="_Toc32246812"/>
      <w:r>
        <w:t>Notes</w:t>
      </w:r>
      <w:bookmarkEnd w:id="61"/>
      <w:bookmarkEnd w:id="62"/>
      <w:bookmarkEnd w:id="63"/>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w:t>
      </w:r>
    </w:p>
    <w:p>
      <w:pPr>
        <w:pStyle w:val="nHeading3"/>
      </w:pPr>
      <w:bookmarkStart w:id="64" w:name="_Toc32246813"/>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tcBorders>
              <w:bottom w:val="single" w:sz="4" w:space="0" w:color="auto"/>
            </w:tcBorders>
            <w:shd w:val="clear" w:color="auto" w:fill="auto"/>
          </w:tcPr>
          <w:p>
            <w:pPr>
              <w:pStyle w:val="nTable"/>
              <w:spacing w:after="40"/>
            </w:pPr>
            <w:r>
              <w:rPr>
                <w:i/>
              </w:rPr>
              <w:t xml:space="preserve">Consumer Protection Legislation Amendment Act 2019 </w:t>
            </w:r>
            <w:r>
              <w:t>Pt. 7</w:t>
            </w:r>
          </w:p>
        </w:tc>
        <w:tc>
          <w:tcPr>
            <w:tcW w:w="1134" w:type="dxa"/>
            <w:tcBorders>
              <w:bottom w:val="single" w:sz="4" w:space="0" w:color="auto"/>
            </w:tcBorders>
            <w:shd w:val="clear" w:color="auto" w:fill="auto"/>
          </w:tcPr>
          <w:p>
            <w:pPr>
              <w:pStyle w:val="nTable"/>
              <w:spacing w:after="40"/>
            </w:pPr>
            <w:r>
              <w:t>25 of 2019</w:t>
            </w:r>
          </w:p>
        </w:tc>
        <w:tc>
          <w:tcPr>
            <w:tcW w:w="1134" w:type="dxa"/>
            <w:tcBorders>
              <w:bottom w:val="single" w:sz="4" w:space="0" w:color="auto"/>
            </w:tcBorders>
            <w:shd w:val="clear" w:color="auto" w:fill="auto"/>
          </w:tcPr>
          <w:p>
            <w:pPr>
              <w:pStyle w:val="nTable"/>
              <w:spacing w:after="40"/>
            </w:pPr>
            <w:r>
              <w:t>24 Oct 2019</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bl>
    <w:p>
      <w:pPr>
        <w:pStyle w:val="nHeading3"/>
      </w:pPr>
      <w:bookmarkStart w:id="65" w:name="_Toc32246814"/>
      <w:r>
        <w:t>Other notes</w:t>
      </w:r>
      <w:bookmarkEnd w:id="65"/>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7" w:name="_Toc32243076"/>
      <w:bookmarkStart w:id="68" w:name="_Toc32243124"/>
      <w:bookmarkStart w:id="69" w:name="_Toc32246815"/>
      <w:r>
        <w:rPr>
          <w:sz w:val="28"/>
        </w:rPr>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60034"/>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5755</Words>
  <Characters>26936</Characters>
  <Application>Microsoft Office Word</Application>
  <DocSecurity>0</DocSecurity>
  <Lines>816</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1978 - 04-g0-02</dc:title>
  <dc:subject/>
  <dc:creator/>
  <cp:keywords/>
  <dc:description/>
  <cp:lastModifiedBy>svcMRProcess</cp:lastModifiedBy>
  <cp:revision>4</cp:revision>
  <cp:lastPrinted>2011-11-07T07:27:00Z</cp:lastPrinted>
  <dcterms:created xsi:type="dcterms:W3CDTF">2020-02-11T07:46:00Z</dcterms:created>
  <dcterms:modified xsi:type="dcterms:W3CDTF">2020-02-11T07:46:00Z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04-g0-02</vt:lpwstr>
  </property>
</Properties>
</file>