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Real Estate and Business Agents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_Toc38006623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_Toc38006624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_Toc38006625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Advisory Committee and review</w:t>
      </w:r>
    </w:p>
    <w:p>
      <w:pPr>
        <w:pStyle w:val="TOC8"/>
        <w:rPr>
          <w:rFonts w:asciiTheme="minorHAnsi" w:eastAsiaTheme="minorEastAsia" w:hAnsiTheme="minorHAnsi" w:cstheme="minorBidi"/>
          <w:szCs w:val="22"/>
        </w:rPr>
      </w:pPr>
      <w:r>
        <w:t>22.</w:t>
      </w:r>
      <w:r>
        <w:tab/>
        <w:t>Powers of investigation</w:t>
      </w:r>
      <w:r>
        <w:tab/>
      </w:r>
      <w:r>
        <w:fldChar w:fldCharType="begin"/>
      </w:r>
      <w:r>
        <w:instrText xml:space="preserve"> PAGEREF _Toc38006627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review by SAT</w:t>
      </w:r>
      <w:r>
        <w:tab/>
      </w:r>
      <w:r>
        <w:fldChar w:fldCharType="begin"/>
      </w:r>
      <w:r>
        <w:instrText xml:space="preserve"> PAGEREF _Toc38006628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Advisory committees</w:t>
      </w:r>
    </w:p>
    <w:p>
      <w:pPr>
        <w:pStyle w:val="TOC8"/>
        <w:rPr>
          <w:rFonts w:asciiTheme="minorHAnsi" w:eastAsiaTheme="minorEastAsia" w:hAnsiTheme="minorHAnsi" w:cstheme="minorBidi"/>
          <w:szCs w:val="22"/>
        </w:rPr>
      </w:pPr>
      <w:r>
        <w:t>23A.</w:t>
      </w:r>
      <w:r>
        <w:tab/>
        <w:t>Advisory committees, establishing etc.</w:t>
      </w:r>
      <w:r>
        <w:tab/>
      </w:r>
      <w:r>
        <w:fldChar w:fldCharType="begin"/>
      </w:r>
      <w:r>
        <w:instrText xml:space="preserve"> PAGEREF _Toc38006630 \h </w:instrText>
      </w:r>
      <w:r>
        <w:fldChar w:fldCharType="separate"/>
      </w:r>
      <w:r>
        <w:t>12</w:t>
      </w:r>
      <w:r>
        <w:fldChar w:fldCharType="end"/>
      </w:r>
    </w:p>
    <w:p>
      <w:pPr>
        <w:pStyle w:val="TOC8"/>
        <w:rPr>
          <w:rFonts w:asciiTheme="minorHAnsi" w:eastAsiaTheme="minorEastAsia" w:hAnsiTheme="minorHAnsi" w:cstheme="minorBidi"/>
          <w:szCs w:val="22"/>
        </w:rPr>
      </w:pPr>
      <w:r>
        <w:t>23B.</w:t>
      </w:r>
      <w:r>
        <w:tab/>
        <w:t>Minister may delegate s. 23A powers</w:t>
      </w:r>
      <w:r>
        <w:tab/>
      </w:r>
      <w:r>
        <w:fldChar w:fldCharType="begin"/>
      </w:r>
      <w:r>
        <w:instrText xml:space="preserve"> PAGEREF _Toc38006631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Conciliation</w:t>
      </w:r>
    </w:p>
    <w:p>
      <w:pPr>
        <w:pStyle w:val="TOC8"/>
        <w:rPr>
          <w:rFonts w:asciiTheme="minorHAnsi" w:eastAsiaTheme="minorEastAsia" w:hAnsiTheme="minorHAnsi" w:cstheme="minorBidi"/>
          <w:szCs w:val="22"/>
        </w:rPr>
      </w:pPr>
      <w:r>
        <w:t>23C.</w:t>
      </w:r>
      <w:r>
        <w:tab/>
        <w:t>Conciliation of disputes about transactions</w:t>
      </w:r>
      <w:r>
        <w:tab/>
      </w:r>
      <w:r>
        <w:fldChar w:fldCharType="begin"/>
      </w:r>
      <w:r>
        <w:instrText xml:space="preserve"> PAGEREF _Toc38006633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 of agents</w:t>
      </w:r>
    </w:p>
    <w:p>
      <w:pPr>
        <w:pStyle w:val="TOC8"/>
        <w:rPr>
          <w:rFonts w:asciiTheme="minorHAnsi" w:eastAsiaTheme="minorEastAsia" w:hAnsiTheme="minorHAnsi" w:cstheme="minorBidi"/>
          <w:szCs w:val="22"/>
        </w:rPr>
      </w:pPr>
      <w:r>
        <w:t>24</w:t>
      </w:r>
      <w:r>
        <w:rPr>
          <w:snapToGrid w:val="0"/>
        </w:rPr>
        <w:t>.</w:t>
      </w:r>
      <w:r>
        <w:rPr>
          <w:snapToGrid w:val="0"/>
        </w:rPr>
        <w:tab/>
        <w:t>Applications for licences</w:t>
      </w:r>
      <w:r>
        <w:tab/>
      </w:r>
      <w:r>
        <w:fldChar w:fldCharType="begin"/>
      </w:r>
      <w:r>
        <w:instrText xml:space="preserve"> PAGEREF _Toc38006635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Real estate agents and business agents must be licensed</w:t>
      </w:r>
      <w:r>
        <w:tab/>
      </w:r>
      <w:r>
        <w:fldChar w:fldCharType="begin"/>
      </w:r>
      <w:r>
        <w:instrText xml:space="preserve"> PAGEREF _Toc38006636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Licensing of individuals</w:t>
      </w:r>
      <w:r>
        <w:tab/>
      </w:r>
      <w:r>
        <w:fldChar w:fldCharType="begin"/>
      </w:r>
      <w:r>
        <w:instrText xml:space="preserve"> PAGEREF _Toc38006637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Firms, licensing of</w:t>
      </w:r>
      <w:r>
        <w:tab/>
      </w:r>
      <w:r>
        <w:fldChar w:fldCharType="begin"/>
      </w:r>
      <w:r>
        <w:instrText xml:space="preserve"> PAGEREF _Toc38006638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Bodies corporate, licensing of</w:t>
      </w:r>
      <w:r>
        <w:tab/>
      </w:r>
      <w:r>
        <w:fldChar w:fldCharType="begin"/>
      </w:r>
      <w:r>
        <w:instrText xml:space="preserve"> PAGEREF _Toc38006639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 effect of</w:t>
      </w:r>
      <w:r>
        <w:tab/>
      </w:r>
      <w:r>
        <w:fldChar w:fldCharType="begin"/>
      </w:r>
      <w:r>
        <w:instrText xml:space="preserve"> PAGEREF _Toc38006640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Licensee’s triennial certificate: grant and renewal</w:t>
      </w:r>
      <w:r>
        <w:tab/>
      </w:r>
      <w:r>
        <w:fldChar w:fldCharType="begin"/>
      </w:r>
      <w:r>
        <w:instrText xml:space="preserve"> PAGEREF _Toc38006641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Licensee’s triennial certificate: late renewal</w:t>
      </w:r>
      <w:r>
        <w:tab/>
      </w:r>
      <w:r>
        <w:fldChar w:fldCharType="begin"/>
      </w:r>
      <w:r>
        <w:instrText xml:space="preserve"> PAGEREF _Toc38006642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Licensee’s triennial certificate: late renewal after 12 months</w:t>
      </w:r>
      <w:r>
        <w:tab/>
      </w:r>
      <w:r>
        <w:fldChar w:fldCharType="begin"/>
      </w:r>
      <w:r>
        <w:instrText xml:space="preserve"> PAGEREF _Toc38006643 \h </w:instrText>
      </w:r>
      <w:r>
        <w:fldChar w:fldCharType="separate"/>
      </w:r>
      <w:r>
        <w:t>20</w:t>
      </w:r>
      <w:r>
        <w:fldChar w:fldCharType="end"/>
      </w:r>
    </w:p>
    <w:p>
      <w:pPr>
        <w:pStyle w:val="TOC8"/>
        <w:rPr>
          <w:rFonts w:asciiTheme="minorHAnsi" w:eastAsiaTheme="minorEastAsia" w:hAnsiTheme="minorHAnsi" w:cstheme="minorBidi"/>
          <w:szCs w:val="22"/>
        </w:rPr>
      </w:pPr>
      <w:r>
        <w:t>34.</w:t>
      </w:r>
      <w:r>
        <w:tab/>
        <w:t>Conditions on licences and triennial certificates</w:t>
      </w:r>
      <w:r>
        <w:tab/>
      </w:r>
      <w:r>
        <w:fldChar w:fldCharType="begin"/>
      </w:r>
      <w:r>
        <w:instrText xml:space="preserve"> PAGEREF _Toc38006644 \h </w:instrText>
      </w:r>
      <w:r>
        <w:fldChar w:fldCharType="separate"/>
      </w:r>
      <w:r>
        <w:t>21</w:t>
      </w:r>
      <w:r>
        <w:fldChar w:fldCharType="end"/>
      </w:r>
    </w:p>
    <w:p>
      <w:pPr>
        <w:pStyle w:val="TOC8"/>
        <w:rPr>
          <w:rFonts w:asciiTheme="minorHAnsi" w:eastAsiaTheme="minorEastAsia" w:hAnsiTheme="minorHAnsi" w:cstheme="minorBidi"/>
          <w:szCs w:val="22"/>
        </w:rPr>
      </w:pPr>
      <w:r>
        <w:t>34AA.</w:t>
      </w:r>
      <w:r>
        <w:tab/>
        <w:t>Imposing special conditions on licences or triennial certificates</w:t>
      </w:r>
      <w:r>
        <w:tab/>
      </w:r>
      <w:r>
        <w:fldChar w:fldCharType="begin"/>
      </w:r>
      <w:r>
        <w:instrText xml:space="preserve"> PAGEREF _Toc38006645 \h </w:instrText>
      </w:r>
      <w:r>
        <w:fldChar w:fldCharType="separate"/>
      </w:r>
      <w:r>
        <w:t>22</w:t>
      </w:r>
      <w:r>
        <w:fldChar w:fldCharType="end"/>
      </w:r>
    </w:p>
    <w:p>
      <w:pPr>
        <w:pStyle w:val="TOC8"/>
        <w:rPr>
          <w:rFonts w:asciiTheme="minorHAnsi" w:eastAsiaTheme="minorEastAsia" w:hAnsiTheme="minorHAnsi" w:cstheme="minorBidi"/>
          <w:szCs w:val="22"/>
        </w:rPr>
      </w:pPr>
      <w:r>
        <w:t>34AB.</w:t>
      </w:r>
      <w:r>
        <w:tab/>
        <w:t>Removing special conditions on licences or triennial certificates</w:t>
      </w:r>
      <w:r>
        <w:tab/>
      </w:r>
      <w:r>
        <w:fldChar w:fldCharType="begin"/>
      </w:r>
      <w:r>
        <w:instrText xml:space="preserve"> PAGEREF _Toc38006646 \h </w:instrText>
      </w:r>
      <w:r>
        <w:fldChar w:fldCharType="separate"/>
      </w:r>
      <w:r>
        <w:t>23</w:t>
      </w:r>
      <w:r>
        <w:fldChar w:fldCharType="end"/>
      </w:r>
    </w:p>
    <w:p>
      <w:pPr>
        <w:pStyle w:val="TOC8"/>
        <w:rPr>
          <w:rFonts w:asciiTheme="minorHAnsi" w:eastAsiaTheme="minorEastAsia" w:hAnsiTheme="minorHAnsi" w:cstheme="minorBidi"/>
          <w:szCs w:val="22"/>
        </w:rPr>
      </w:pPr>
      <w:r>
        <w:t>34A</w:t>
      </w:r>
      <w:r>
        <w:rPr>
          <w:snapToGrid w:val="0"/>
        </w:rPr>
        <w:t>.</w:t>
      </w:r>
      <w:r>
        <w:tab/>
        <w:t>Commissioner may grant licence or triennial certificate without notice to applicant</w:t>
      </w:r>
      <w:r>
        <w:tab/>
      </w:r>
      <w:r>
        <w:fldChar w:fldCharType="begin"/>
      </w:r>
      <w:r>
        <w:instrText xml:space="preserve"> PAGEREF _Toc38006647 \h </w:instrText>
      </w:r>
      <w:r>
        <w:fldChar w:fldCharType="separate"/>
      </w:r>
      <w:r>
        <w:t>24</w:t>
      </w:r>
      <w:r>
        <w:fldChar w:fldCharType="end"/>
      </w:r>
    </w:p>
    <w:p>
      <w:pPr>
        <w:pStyle w:val="TOC8"/>
        <w:rPr>
          <w:rFonts w:asciiTheme="minorHAnsi" w:eastAsiaTheme="minorEastAsia" w:hAnsiTheme="minorHAnsi" w:cstheme="minorBidi"/>
          <w:szCs w:val="22"/>
        </w:rPr>
      </w:pPr>
      <w:r>
        <w:t>34B.</w:t>
      </w:r>
      <w:r>
        <w:tab/>
        <w:t>SAT may suspend licence in some cases</w:t>
      </w:r>
      <w:r>
        <w:tab/>
      </w:r>
      <w:r>
        <w:fldChar w:fldCharType="begin"/>
      </w:r>
      <w:r>
        <w:instrText xml:space="preserve"> PAGEREF _Toc38006648 \h </w:instrText>
      </w:r>
      <w:r>
        <w:fldChar w:fldCharType="separate"/>
      </w:r>
      <w:r>
        <w:t>24</w:t>
      </w:r>
      <w:r>
        <w:fldChar w:fldCharType="end"/>
      </w:r>
    </w:p>
    <w:p>
      <w:pPr>
        <w:pStyle w:val="TOC8"/>
        <w:rPr>
          <w:rFonts w:asciiTheme="minorHAnsi" w:eastAsiaTheme="minorEastAsia" w:hAnsiTheme="minorHAnsi" w:cstheme="minorBidi"/>
          <w:szCs w:val="22"/>
        </w:rPr>
      </w:pPr>
      <w:r>
        <w:t>34C.</w:t>
      </w:r>
      <w:r>
        <w:tab/>
        <w:t>Licensee may surrender licence and triennial certificate</w:t>
      </w:r>
      <w:r>
        <w:tab/>
      </w:r>
      <w:r>
        <w:fldChar w:fldCharType="begin"/>
      </w:r>
      <w:r>
        <w:instrText xml:space="preserve"> PAGEREF _Toc38006649 \h </w:instrText>
      </w:r>
      <w:r>
        <w:fldChar w:fldCharType="separate"/>
      </w:r>
      <w:r>
        <w:t>24</w:t>
      </w:r>
      <w:r>
        <w:fldChar w:fldCharType="end"/>
      </w:r>
    </w:p>
    <w:p>
      <w:pPr>
        <w:pStyle w:val="TOC8"/>
        <w:rPr>
          <w:rFonts w:asciiTheme="minorHAnsi" w:eastAsiaTheme="minorEastAsia" w:hAnsiTheme="minorHAnsi" w:cstheme="minorBidi"/>
          <w:szCs w:val="22"/>
        </w:rPr>
      </w:pPr>
      <w:r>
        <w:t>34D.</w:t>
      </w:r>
      <w:r>
        <w:tab/>
        <w:t>Firm or body corporate must surrender licence and triennial certificate in certain circumstances</w:t>
      </w:r>
      <w:r>
        <w:tab/>
      </w:r>
      <w:r>
        <w:fldChar w:fldCharType="begin"/>
      </w:r>
      <w:r>
        <w:instrText xml:space="preserve"> PAGEREF _Toc38006650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Licensee to notify Commissioner when commencing or ceasing business</w:t>
      </w:r>
      <w:r>
        <w:tab/>
      </w:r>
      <w:r>
        <w:fldChar w:fldCharType="begin"/>
      </w:r>
      <w:r>
        <w:instrText xml:space="preserve"> PAGEREF _Toc38006651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Registered office of licensee</w:t>
      </w:r>
      <w:r>
        <w:tab/>
      </w:r>
      <w:r>
        <w:fldChar w:fldCharType="begin"/>
      </w:r>
      <w:r>
        <w:instrText xml:space="preserve"> PAGEREF _Toc38006652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Branch office of licensee</w:t>
      </w:r>
      <w:r>
        <w:tab/>
      </w:r>
      <w:r>
        <w:fldChar w:fldCharType="begin"/>
      </w:r>
      <w:r>
        <w:instrText xml:space="preserve"> PAGEREF _Toc38006653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Triennial certificates, contents of</w:t>
      </w:r>
      <w:r>
        <w:tab/>
      </w:r>
      <w:r>
        <w:fldChar w:fldCharType="begin"/>
      </w:r>
      <w:r>
        <w:instrText xml:space="preserve"> PAGEREF _Toc38006654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Licence and triennial certificate not transferable etc.</w:t>
      </w:r>
      <w:r>
        <w:tab/>
      </w:r>
      <w:r>
        <w:fldChar w:fldCharType="begin"/>
      </w:r>
      <w:r>
        <w:instrText xml:space="preserve"> PAGEREF _Toc38006655 \h </w:instrText>
      </w:r>
      <w:r>
        <w:fldChar w:fldCharType="separate"/>
      </w:r>
      <w:r>
        <w:t>27</w:t>
      </w:r>
      <w:r>
        <w:fldChar w:fldCharType="end"/>
      </w:r>
    </w:p>
    <w:p>
      <w:pPr>
        <w:pStyle w:val="TOC8"/>
        <w:rPr>
          <w:rFonts w:asciiTheme="minorHAnsi" w:eastAsiaTheme="minorEastAsia" w:hAnsiTheme="minorHAnsi" w:cstheme="minorBidi"/>
          <w:szCs w:val="22"/>
        </w:rPr>
      </w:pPr>
      <w:r>
        <w:t>40A.</w:t>
      </w:r>
      <w:r>
        <w:tab/>
        <w:t>Duplicate licence, certificate of registration or triennial certificate</w:t>
      </w:r>
      <w:r>
        <w:tab/>
      </w:r>
      <w:r>
        <w:fldChar w:fldCharType="begin"/>
      </w:r>
      <w:r>
        <w:instrText xml:space="preserve"> PAGEREF _Toc38006656 \h </w:instrText>
      </w:r>
      <w:r>
        <w:fldChar w:fldCharType="separate"/>
      </w:r>
      <w:r>
        <w:t>27</w:t>
      </w:r>
      <w:r>
        <w:fldChar w:fldCharType="end"/>
      </w:r>
    </w:p>
    <w:p>
      <w:pPr>
        <w:pStyle w:val="TOC8"/>
        <w:rPr>
          <w:rFonts w:asciiTheme="minorHAnsi" w:eastAsiaTheme="minorEastAsia" w:hAnsiTheme="minorHAnsi" w:cstheme="minorBidi"/>
          <w:szCs w:val="22"/>
        </w:rPr>
      </w:pPr>
      <w:r>
        <w:t>40B.</w:t>
      </w:r>
      <w:r>
        <w:tab/>
        <w:t>Licensee to comply with prescribed educational requirements</w:t>
      </w:r>
      <w:r>
        <w:tab/>
      </w:r>
      <w:r>
        <w:fldChar w:fldCharType="begin"/>
      </w:r>
      <w:r>
        <w:instrText xml:space="preserve"> PAGEREF _Toc38006657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Business names, use of by licensees</w:t>
      </w:r>
      <w:r>
        <w:tab/>
      </w:r>
      <w:r>
        <w:fldChar w:fldCharType="begin"/>
      </w:r>
      <w:r>
        <w:instrText xml:space="preserve"> PAGEREF _Toc38006658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Notices to be exhibited at offices; particulars to appear on documents</w:t>
      </w:r>
      <w:r>
        <w:tab/>
      </w:r>
      <w:r>
        <w:fldChar w:fldCharType="begin"/>
      </w:r>
      <w:r>
        <w:instrText xml:space="preserve"> PAGEREF _Toc38006659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IV — Registration of sales representatives</w:t>
      </w:r>
    </w:p>
    <w:p>
      <w:pPr>
        <w:pStyle w:val="TOC8"/>
        <w:rPr>
          <w:rFonts w:asciiTheme="minorHAnsi" w:eastAsiaTheme="minorEastAsia" w:hAnsiTheme="minorHAnsi" w:cstheme="minorBidi"/>
          <w:szCs w:val="22"/>
        </w:rPr>
      </w:pPr>
      <w:r>
        <w:t>42</w:t>
      </w:r>
      <w:r>
        <w:rPr>
          <w:snapToGrid w:val="0"/>
        </w:rPr>
        <w:t>.</w:t>
      </w:r>
      <w:r>
        <w:rPr>
          <w:snapToGrid w:val="0"/>
        </w:rPr>
        <w:tab/>
        <w:t>Natural persons only may be registered</w:t>
      </w:r>
      <w:r>
        <w:tab/>
      </w:r>
      <w:r>
        <w:fldChar w:fldCharType="begin"/>
      </w:r>
      <w:r>
        <w:instrText xml:space="preserve"> PAGEREF _Toc38006661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Applications for registration</w:t>
      </w:r>
      <w:r>
        <w:tab/>
      </w:r>
      <w:r>
        <w:fldChar w:fldCharType="begin"/>
      </w:r>
      <w:r>
        <w:instrText xml:space="preserve"> PAGEREF _Toc38006662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Real estate sales representatives must be registered etc.</w:t>
      </w:r>
      <w:r>
        <w:tab/>
      </w:r>
      <w:r>
        <w:fldChar w:fldCharType="begin"/>
      </w:r>
      <w:r>
        <w:instrText xml:space="preserve"> PAGEREF _Toc38006663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Business sales representatives must be registered etc.</w:t>
      </w:r>
      <w:r>
        <w:tab/>
      </w:r>
      <w:r>
        <w:fldChar w:fldCharType="begin"/>
      </w:r>
      <w:r>
        <w:instrText xml:space="preserve"> PAGEREF _Toc38006664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Partners and directors of licensees to be registered in certain cases</w:t>
      </w:r>
      <w:r>
        <w:tab/>
      </w:r>
      <w:r>
        <w:fldChar w:fldCharType="begin"/>
      </w:r>
      <w:r>
        <w:instrText xml:space="preserve"> PAGEREF _Toc38006665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Natural persons, grant of certificate of registration to</w:t>
      </w:r>
      <w:r>
        <w:tab/>
      </w:r>
      <w:r>
        <w:fldChar w:fldCharType="begin"/>
      </w:r>
      <w:r>
        <w:instrText xml:space="preserve"> PAGEREF _Toc38006666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Certificates of registration, duration and renewal of</w:t>
      </w:r>
      <w:r>
        <w:tab/>
      </w:r>
      <w:r>
        <w:fldChar w:fldCharType="begin"/>
      </w:r>
      <w:r>
        <w:instrText xml:space="preserve"> PAGEREF _Toc38006667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Certificates of registration, late renewal of</w:t>
      </w:r>
      <w:r>
        <w:tab/>
      </w:r>
      <w:r>
        <w:fldChar w:fldCharType="begin"/>
      </w:r>
      <w:r>
        <w:instrText xml:space="preserve"> PAGEREF _Toc38006668 \h </w:instrText>
      </w:r>
      <w:r>
        <w:fldChar w:fldCharType="separate"/>
      </w:r>
      <w:r>
        <w:t>34</w:t>
      </w:r>
      <w:r>
        <w:fldChar w:fldCharType="end"/>
      </w:r>
    </w:p>
    <w:p>
      <w:pPr>
        <w:pStyle w:val="TOC8"/>
        <w:rPr>
          <w:rFonts w:asciiTheme="minorHAnsi" w:eastAsiaTheme="minorEastAsia" w:hAnsiTheme="minorHAnsi" w:cstheme="minorBidi"/>
          <w:szCs w:val="22"/>
        </w:rPr>
      </w:pPr>
      <w:r>
        <w:t>50.</w:t>
      </w:r>
      <w:r>
        <w:tab/>
        <w:t>Conditions on certificates of registration</w:t>
      </w:r>
      <w:r>
        <w:tab/>
      </w:r>
      <w:r>
        <w:fldChar w:fldCharType="begin"/>
      </w:r>
      <w:r>
        <w:instrText xml:space="preserve"> PAGEREF _Toc38006669 \h </w:instrText>
      </w:r>
      <w:r>
        <w:fldChar w:fldCharType="separate"/>
      </w:r>
      <w:r>
        <w:t>35</w:t>
      </w:r>
      <w:r>
        <w:fldChar w:fldCharType="end"/>
      </w:r>
    </w:p>
    <w:p>
      <w:pPr>
        <w:pStyle w:val="TOC8"/>
        <w:rPr>
          <w:rFonts w:asciiTheme="minorHAnsi" w:eastAsiaTheme="minorEastAsia" w:hAnsiTheme="minorHAnsi" w:cstheme="minorBidi"/>
          <w:szCs w:val="22"/>
        </w:rPr>
      </w:pPr>
      <w:r>
        <w:t>50AA.</w:t>
      </w:r>
      <w:r>
        <w:tab/>
        <w:t>Imposing special conditions on certificates of registration</w:t>
      </w:r>
      <w:r>
        <w:tab/>
      </w:r>
      <w:r>
        <w:fldChar w:fldCharType="begin"/>
      </w:r>
      <w:r>
        <w:instrText xml:space="preserve"> PAGEREF _Toc38006670 \h </w:instrText>
      </w:r>
      <w:r>
        <w:fldChar w:fldCharType="separate"/>
      </w:r>
      <w:r>
        <w:t>35</w:t>
      </w:r>
      <w:r>
        <w:fldChar w:fldCharType="end"/>
      </w:r>
    </w:p>
    <w:p>
      <w:pPr>
        <w:pStyle w:val="TOC8"/>
        <w:rPr>
          <w:rFonts w:asciiTheme="minorHAnsi" w:eastAsiaTheme="minorEastAsia" w:hAnsiTheme="minorHAnsi" w:cstheme="minorBidi"/>
          <w:szCs w:val="22"/>
        </w:rPr>
      </w:pPr>
      <w:r>
        <w:t>50AB.</w:t>
      </w:r>
      <w:r>
        <w:tab/>
        <w:t>Removing special conditions on certificates of registration</w:t>
      </w:r>
      <w:r>
        <w:tab/>
      </w:r>
      <w:r>
        <w:fldChar w:fldCharType="begin"/>
      </w:r>
      <w:r>
        <w:instrText xml:space="preserve"> PAGEREF _Toc38006671 \h </w:instrText>
      </w:r>
      <w:r>
        <w:fldChar w:fldCharType="separate"/>
      </w:r>
      <w:r>
        <w:t>36</w:t>
      </w:r>
      <w:r>
        <w:fldChar w:fldCharType="end"/>
      </w:r>
    </w:p>
    <w:p>
      <w:pPr>
        <w:pStyle w:val="TOC8"/>
        <w:rPr>
          <w:rFonts w:asciiTheme="minorHAnsi" w:eastAsiaTheme="minorEastAsia" w:hAnsiTheme="minorHAnsi" w:cstheme="minorBidi"/>
          <w:szCs w:val="22"/>
        </w:rPr>
      </w:pPr>
      <w:r>
        <w:t>50A</w:t>
      </w:r>
      <w:r>
        <w:rPr>
          <w:snapToGrid w:val="0"/>
        </w:rPr>
        <w:t>.</w:t>
      </w:r>
      <w:r>
        <w:tab/>
        <w:t>Unopposed applications</w:t>
      </w:r>
      <w:r>
        <w:tab/>
      </w:r>
      <w:r>
        <w:fldChar w:fldCharType="begin"/>
      </w:r>
      <w:r>
        <w:instrText xml:space="preserve"> PAGEREF _Toc38006672 \h </w:instrText>
      </w:r>
      <w:r>
        <w:fldChar w:fldCharType="separate"/>
      </w:r>
      <w:r>
        <w:t>38</w:t>
      </w:r>
      <w:r>
        <w:fldChar w:fldCharType="end"/>
      </w:r>
    </w:p>
    <w:p>
      <w:pPr>
        <w:pStyle w:val="TOC8"/>
        <w:rPr>
          <w:rFonts w:asciiTheme="minorHAnsi" w:eastAsiaTheme="minorEastAsia" w:hAnsiTheme="minorHAnsi" w:cstheme="minorBidi"/>
          <w:szCs w:val="22"/>
        </w:rPr>
      </w:pPr>
      <w:r>
        <w:t>50B.</w:t>
      </w:r>
      <w:r>
        <w:tab/>
        <w:t>SAT may suspend registration in some cases</w:t>
      </w:r>
      <w:r>
        <w:tab/>
      </w:r>
      <w:r>
        <w:fldChar w:fldCharType="begin"/>
      </w:r>
      <w:r>
        <w:instrText xml:space="preserve"> PAGEREF _Toc38006673 \h </w:instrText>
      </w:r>
      <w:r>
        <w:fldChar w:fldCharType="separate"/>
      </w:r>
      <w:r>
        <w:t>38</w:t>
      </w:r>
      <w:r>
        <w:fldChar w:fldCharType="end"/>
      </w:r>
    </w:p>
    <w:p>
      <w:pPr>
        <w:pStyle w:val="TOC8"/>
        <w:rPr>
          <w:rFonts w:asciiTheme="minorHAnsi" w:eastAsiaTheme="minorEastAsia" w:hAnsiTheme="minorHAnsi" w:cstheme="minorBidi"/>
          <w:szCs w:val="22"/>
        </w:rPr>
      </w:pPr>
      <w:r>
        <w:t>50C.</w:t>
      </w:r>
      <w:r>
        <w:tab/>
        <w:t>Sales representative to comply with prescribed educational requirements</w:t>
      </w:r>
      <w:r>
        <w:tab/>
      </w:r>
      <w:r>
        <w:fldChar w:fldCharType="begin"/>
      </w:r>
      <w:r>
        <w:instrText xml:space="preserve"> PAGEREF _Toc38006674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r>
      <w:r>
        <w:t>Registered sales representatives to notify Commissioner of certain changes</w:t>
      </w:r>
      <w:r>
        <w:tab/>
      </w:r>
      <w:r>
        <w:fldChar w:fldCharType="begin"/>
      </w:r>
      <w:r>
        <w:instrText xml:space="preserve"> PAGEREF _Toc38006675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Certificate of registration not transferable</w:t>
      </w:r>
      <w:r>
        <w:tab/>
      </w:r>
      <w:r>
        <w:fldChar w:fldCharType="begin"/>
      </w:r>
      <w:r>
        <w:instrText xml:space="preserve"> PAGEREF _Toc38006676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 of registration, surrender of</w:t>
      </w:r>
      <w:r>
        <w:tab/>
      </w:r>
      <w:r>
        <w:fldChar w:fldCharType="begin"/>
      </w:r>
      <w:r>
        <w:instrText xml:space="preserve"> PAGEREF _Toc38006677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Sales representatives, employment of</w:t>
      </w:r>
      <w:r>
        <w:tab/>
      </w:r>
      <w:r>
        <w:fldChar w:fldCharType="begin"/>
      </w:r>
      <w:r>
        <w:instrText xml:space="preserve"> PAGEREF _Toc38006678 \h </w:instrText>
      </w:r>
      <w:r>
        <w:fldChar w:fldCharType="separate"/>
      </w:r>
      <w:r>
        <w:t>40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Sales representative to be in service of one person</w:t>
      </w:r>
      <w:r>
        <w:tab/>
      </w:r>
      <w:r>
        <w:fldChar w:fldCharType="begin"/>
      </w:r>
      <w:r>
        <w:instrText xml:space="preserve"> PAGEREF _Toc38006679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V — General controls</w:t>
      </w:r>
    </w:p>
    <w:p>
      <w:pPr>
        <w:pStyle w:val="TOC8"/>
        <w:rPr>
          <w:rFonts w:asciiTheme="minorHAnsi" w:eastAsiaTheme="minorEastAsia" w:hAnsiTheme="minorHAnsi" w:cstheme="minorBidi"/>
          <w:szCs w:val="22"/>
        </w:rPr>
      </w:pPr>
      <w:r>
        <w:t>56</w:t>
      </w:r>
      <w:r>
        <w:rPr>
          <w:snapToGrid w:val="0"/>
        </w:rPr>
        <w:t>.</w:t>
      </w:r>
      <w:r>
        <w:rPr>
          <w:snapToGrid w:val="0"/>
        </w:rPr>
        <w:tab/>
        <w:t>Franchising agreements, licensee not to carry on business under without Commissioner’s approval</w:t>
      </w:r>
      <w:r>
        <w:tab/>
      </w:r>
      <w:r>
        <w:fldChar w:fldCharType="begin"/>
      </w:r>
      <w:r>
        <w:instrText xml:space="preserve"> PAGEREF _Toc38006681 \h </w:instrText>
      </w:r>
      <w:r>
        <w:fldChar w:fldCharType="separate"/>
      </w:r>
      <w:r>
        <w:t>42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Developers, principal place of business to be registered and service on</w:t>
      </w:r>
      <w:r>
        <w:tab/>
      </w:r>
      <w:r>
        <w:fldChar w:fldCharType="begin"/>
      </w:r>
      <w:r>
        <w:instrText xml:space="preserve"> PAGEREF _Toc38006682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Developer to notify Commissioner of change in principal place of business</w:t>
      </w:r>
      <w:r>
        <w:tab/>
      </w:r>
      <w:r>
        <w:fldChar w:fldCharType="begin"/>
      </w:r>
      <w:r>
        <w:instrText xml:space="preserve"> PAGEREF _Toc38006683 \h </w:instrText>
      </w:r>
      <w:r>
        <w:fldChar w:fldCharType="separate"/>
      </w:r>
      <w:r>
        <w:t>43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Developer to keep records of real estate transactions</w:t>
      </w:r>
      <w:r>
        <w:tab/>
      </w:r>
      <w:r>
        <w:fldChar w:fldCharType="begin"/>
      </w:r>
      <w:r>
        <w:instrText xml:space="preserve"> PAGEREF _Toc38006684 \h </w:instrText>
      </w:r>
      <w:r>
        <w:fldChar w:fldCharType="separate"/>
      </w:r>
      <w:r>
        <w:t>43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Agent not entitled to commission etc. unless licensed and validly appointed</w:t>
      </w:r>
      <w:r>
        <w:tab/>
      </w:r>
      <w:r>
        <w:fldChar w:fldCharType="begin"/>
      </w:r>
      <w:r>
        <w:instrText xml:space="preserve"> PAGEREF _Toc38006685 \h </w:instrText>
      </w:r>
      <w:r>
        <w:fldChar w:fldCharType="separate"/>
      </w:r>
      <w:r>
        <w:t>43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Maximum remuneration of licensees, fixing of etc.</w:t>
      </w:r>
      <w:r>
        <w:tab/>
      </w:r>
      <w:r>
        <w:fldChar w:fldCharType="begin"/>
      </w:r>
      <w:r>
        <w:instrText xml:space="preserve"> PAGEREF _Toc38006686 \h </w:instrText>
      </w:r>
      <w:r>
        <w:fldChar w:fldCharType="separate"/>
      </w:r>
      <w:r>
        <w:t>45</w:t>
      </w:r>
      <w:r>
        <w:fldChar w:fldCharType="end"/>
      </w:r>
    </w:p>
    <w:p>
      <w:pPr>
        <w:pStyle w:val="TOC8"/>
        <w:rPr>
          <w:rFonts w:asciiTheme="minorHAnsi" w:eastAsiaTheme="minorEastAsia" w:hAnsiTheme="minorHAnsi" w:cstheme="minorBidi"/>
          <w:szCs w:val="22"/>
        </w:rPr>
      </w:pPr>
      <w:r>
        <w:t>61A.</w:t>
      </w:r>
      <w:r>
        <w:tab/>
        <w:t>Agents not to demand etc. money etc. for letting etc. from tenants</w:t>
      </w:r>
      <w:r>
        <w:tab/>
      </w:r>
      <w:r>
        <w:fldChar w:fldCharType="begin"/>
      </w:r>
      <w:r>
        <w:instrText xml:space="preserve"> PAGEREF _Toc38006687 \h </w:instrText>
      </w:r>
      <w:r>
        <w:fldChar w:fldCharType="separate"/>
      </w:r>
      <w:r>
        <w:t>47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Advertising by agents and developers</w:t>
      </w:r>
      <w:r>
        <w:tab/>
      </w:r>
      <w:r>
        <w:fldChar w:fldCharType="begin"/>
      </w:r>
      <w:r>
        <w:instrText xml:space="preserve"> PAGEREF _Toc38006688 \h </w:instrText>
      </w:r>
      <w:r>
        <w:fldChar w:fldCharType="separate"/>
      </w:r>
      <w:r>
        <w:t>48</w:t>
      </w:r>
      <w:r>
        <w:fldChar w:fldCharType="end"/>
      </w:r>
    </w:p>
    <w:p>
      <w:pPr>
        <w:pStyle w:val="TOC8"/>
        <w:rPr>
          <w:rFonts w:asciiTheme="minorHAnsi" w:eastAsiaTheme="minorEastAsia" w:hAnsiTheme="minorHAnsi" w:cstheme="minorBidi"/>
          <w:szCs w:val="22"/>
        </w:rPr>
      </w:pPr>
      <w:r>
        <w:t>63.</w:t>
      </w:r>
      <w:r>
        <w:tab/>
        <w:t>Agents etc. to supply signatories of documents with copies</w:t>
      </w:r>
      <w:r>
        <w:tab/>
      </w:r>
      <w:r>
        <w:fldChar w:fldCharType="begin"/>
      </w:r>
      <w:r>
        <w:instrText xml:space="preserve"> PAGEREF _Toc38006689 \h </w:instrText>
      </w:r>
      <w:r>
        <w:fldChar w:fldCharType="separate"/>
      </w:r>
      <w:r>
        <w:t>49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Conflicts of interest of agents etc.</w:t>
      </w:r>
      <w:r>
        <w:tab/>
      </w:r>
      <w:r>
        <w:fldChar w:fldCharType="begin"/>
      </w:r>
      <w:r>
        <w:instrText xml:space="preserve"> PAGEREF _Toc38006690 \h </w:instrText>
      </w:r>
      <w:r>
        <w:fldChar w:fldCharType="separate"/>
      </w:r>
      <w:r>
        <w:t>49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Rates etc., agents to ensure payment and apportionment of</w:t>
      </w:r>
      <w:r>
        <w:tab/>
      </w:r>
      <w:r>
        <w:fldChar w:fldCharType="begin"/>
      </w:r>
      <w:r>
        <w:instrText xml:space="preserve"> PAGEREF _Toc38006691 \h </w:instrText>
      </w:r>
      <w:r>
        <w:fldChar w:fldCharType="separate"/>
      </w:r>
      <w:r>
        <w:t>50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Keys to houses etc. and information about tenancies etc., payment for is an offence</w:t>
      </w:r>
      <w:r>
        <w:tab/>
      </w:r>
      <w:r>
        <w:fldChar w:fldCharType="begin"/>
      </w:r>
      <w:r>
        <w:instrText xml:space="preserve"> PAGEREF _Toc38006692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 — Agents’ trust accounts</w:t>
      </w:r>
    </w:p>
    <w:p>
      <w:pPr>
        <w:pStyle w:val="TOC8"/>
        <w:rPr>
          <w:rFonts w:asciiTheme="minorHAnsi" w:eastAsiaTheme="minorEastAsia" w:hAnsiTheme="minorHAnsi" w:cstheme="minorBidi"/>
          <w:szCs w:val="22"/>
        </w:rPr>
      </w:pPr>
      <w:r>
        <w:t>67</w:t>
      </w:r>
      <w:r>
        <w:rPr>
          <w:snapToGrid w:val="0"/>
        </w:rPr>
        <w:t>.</w:t>
      </w:r>
      <w:r>
        <w:rPr>
          <w:snapToGrid w:val="0"/>
        </w:rPr>
        <w:tab/>
        <w:t>Terms used</w:t>
      </w:r>
      <w:r>
        <w:tab/>
      </w:r>
      <w:r>
        <w:fldChar w:fldCharType="begin"/>
      </w:r>
      <w:r>
        <w:instrText xml:space="preserve"> PAGEREF _Toc38006694 \h </w:instrText>
      </w:r>
      <w:r>
        <w:fldChar w:fldCharType="separate"/>
      </w:r>
      <w:r>
        <w:t>52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Trust accounts, use of etc.</w:t>
      </w:r>
      <w:r>
        <w:tab/>
      </w:r>
      <w:r>
        <w:fldChar w:fldCharType="begin"/>
      </w:r>
      <w:r>
        <w:instrText xml:space="preserve"> PAGEREF _Toc38006695 \h </w:instrText>
      </w:r>
      <w:r>
        <w:fldChar w:fldCharType="separate"/>
      </w:r>
      <w:r>
        <w:t>52</w:t>
      </w:r>
      <w:r>
        <w:fldChar w:fldCharType="end"/>
      </w:r>
    </w:p>
    <w:p>
      <w:pPr>
        <w:pStyle w:val="TOC8"/>
        <w:rPr>
          <w:rFonts w:asciiTheme="minorHAnsi" w:eastAsiaTheme="minorEastAsia" w:hAnsiTheme="minorHAnsi" w:cstheme="minorBidi"/>
          <w:szCs w:val="22"/>
        </w:rPr>
      </w:pPr>
      <w:r>
        <w:t>68A</w:t>
      </w:r>
      <w:r>
        <w:rPr>
          <w:snapToGrid w:val="0"/>
        </w:rPr>
        <w:t>.</w:t>
      </w:r>
      <w:r>
        <w:rPr>
          <w:snapToGrid w:val="0"/>
        </w:rPr>
        <w:tab/>
        <w:t>Client may ask agent for separate trust account</w:t>
      </w:r>
      <w:r>
        <w:tab/>
      </w:r>
      <w:r>
        <w:fldChar w:fldCharType="begin"/>
      </w:r>
      <w:r>
        <w:instrText xml:space="preserve"> PAGEREF _Toc38006696 \h </w:instrText>
      </w:r>
      <w:r>
        <w:fldChar w:fldCharType="separate"/>
      </w:r>
      <w:r>
        <w:t>53</w:t>
      </w:r>
      <w:r>
        <w:fldChar w:fldCharType="end"/>
      </w:r>
    </w:p>
    <w:p>
      <w:pPr>
        <w:pStyle w:val="TOC8"/>
        <w:rPr>
          <w:rFonts w:asciiTheme="minorHAnsi" w:eastAsiaTheme="minorEastAsia" w:hAnsiTheme="minorHAnsi" w:cstheme="minorBidi"/>
          <w:szCs w:val="22"/>
        </w:rPr>
      </w:pPr>
      <w:r>
        <w:t>68B</w:t>
      </w:r>
      <w:r>
        <w:rPr>
          <w:snapToGrid w:val="0"/>
        </w:rPr>
        <w:t>.</w:t>
      </w:r>
      <w:r>
        <w:rPr>
          <w:snapToGrid w:val="0"/>
        </w:rPr>
        <w:tab/>
        <w:t>Interest on trust accounts to be paid by financial institutions</w:t>
      </w:r>
      <w:r>
        <w:tab/>
      </w:r>
      <w:r>
        <w:fldChar w:fldCharType="begin"/>
      </w:r>
      <w:r>
        <w:instrText xml:space="preserve"> PAGEREF _Toc38006697 \h </w:instrText>
      </w:r>
      <w:r>
        <w:fldChar w:fldCharType="separate"/>
      </w:r>
      <w:r>
        <w:t>54</w:t>
      </w:r>
      <w:r>
        <w:fldChar w:fldCharType="end"/>
      </w:r>
    </w:p>
    <w:p>
      <w:pPr>
        <w:pStyle w:val="TOC8"/>
        <w:rPr>
          <w:rFonts w:asciiTheme="minorHAnsi" w:eastAsiaTheme="minorEastAsia" w:hAnsiTheme="minorHAnsi" w:cstheme="minorBidi"/>
          <w:szCs w:val="22"/>
        </w:rPr>
      </w:pPr>
      <w:r>
        <w:t>68C</w:t>
      </w:r>
      <w:r>
        <w:rPr>
          <w:snapToGrid w:val="0"/>
        </w:rPr>
        <w:t>.</w:t>
      </w:r>
      <w:r>
        <w:rPr>
          <w:snapToGrid w:val="0"/>
        </w:rPr>
        <w:tab/>
      </w:r>
      <w:r>
        <w:t>Agents to give Commissioner information about trust accounts</w:t>
      </w:r>
      <w:r>
        <w:tab/>
      </w:r>
      <w:r>
        <w:fldChar w:fldCharType="begin"/>
      </w:r>
      <w:r>
        <w:instrText xml:space="preserve"> PAGEREF _Toc38006698 \h </w:instrText>
      </w:r>
      <w:r>
        <w:fldChar w:fldCharType="separate"/>
      </w:r>
      <w:r>
        <w:t>55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Money received by agents, duties as to</w:t>
      </w:r>
      <w:r>
        <w:tab/>
      </w:r>
      <w:r>
        <w:fldChar w:fldCharType="begin"/>
      </w:r>
      <w:r>
        <w:instrText xml:space="preserve"> PAGEREF _Toc38006699 \h </w:instrText>
      </w:r>
      <w:r>
        <w:fldChar w:fldCharType="separate"/>
      </w:r>
      <w:r>
        <w:t>56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Audits of trust accounts</w:t>
      </w:r>
      <w:r>
        <w:tab/>
      </w:r>
      <w:r>
        <w:fldChar w:fldCharType="begin"/>
      </w:r>
      <w:r>
        <w:instrText xml:space="preserve"> PAGEREF _Toc38006700 \h </w:instrText>
      </w:r>
      <w:r>
        <w:fldChar w:fldCharType="separate"/>
      </w:r>
      <w:r>
        <w:t>56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r>
      <w:r>
        <w:t>Date of audit, Commissioner may change</w:t>
      </w:r>
      <w:r>
        <w:tab/>
      </w:r>
      <w:r>
        <w:fldChar w:fldCharType="begin"/>
      </w:r>
      <w:r>
        <w:instrText xml:space="preserve"> PAGEREF _Toc38006701 \h </w:instrText>
      </w:r>
      <w:r>
        <w:fldChar w:fldCharType="separate"/>
      </w:r>
      <w:r>
        <w:t>58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Auditors, qualification and approval of</w:t>
      </w:r>
      <w:r>
        <w:tab/>
      </w:r>
      <w:r>
        <w:fldChar w:fldCharType="begin"/>
      </w:r>
      <w:r>
        <w:instrText xml:space="preserve"> PAGEREF _Toc38006702 \h </w:instrText>
      </w:r>
      <w:r>
        <w:fldChar w:fldCharType="separate"/>
      </w:r>
      <w:r>
        <w:t>59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Auditors, appointment of</w:t>
      </w:r>
      <w:r>
        <w:tab/>
      </w:r>
      <w:r>
        <w:fldChar w:fldCharType="begin"/>
      </w:r>
      <w:r>
        <w:instrText xml:space="preserve"> PAGEREF _Toc38006703 \h </w:instrText>
      </w:r>
      <w:r>
        <w:fldChar w:fldCharType="separate"/>
      </w:r>
      <w:r>
        <w:t>59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Audits of business carried on at more than one place, directions as to</w:t>
      </w:r>
      <w:r>
        <w:tab/>
      </w:r>
      <w:r>
        <w:fldChar w:fldCharType="begin"/>
      </w:r>
      <w:r>
        <w:instrText xml:space="preserve"> PAGEREF _Toc38006704 \h </w:instrText>
      </w:r>
      <w:r>
        <w:fldChar w:fldCharType="separate"/>
      </w:r>
      <w:r>
        <w:t>60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r>
      <w:r>
        <w:t>Approvals etc. under this Part, Commissioner’s power to cancel etc.</w:t>
      </w:r>
      <w:r>
        <w:tab/>
      </w:r>
      <w:r>
        <w:fldChar w:fldCharType="begin"/>
      </w:r>
      <w:r>
        <w:instrText xml:space="preserve"> PAGEREF _Toc38006705 \h </w:instrText>
      </w:r>
      <w:r>
        <w:fldChar w:fldCharType="separate"/>
      </w:r>
      <w:r>
        <w:t>60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Audits, agents’ duties and auditors’ powers as to</w:t>
      </w:r>
      <w:r>
        <w:tab/>
      </w:r>
      <w:r>
        <w:fldChar w:fldCharType="begin"/>
      </w:r>
      <w:r>
        <w:instrText xml:space="preserve"> PAGEREF _Toc38006706 \h </w:instrText>
      </w:r>
      <w:r>
        <w:fldChar w:fldCharType="separate"/>
      </w:r>
      <w:r>
        <w:t>60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Audits, bankers’ duties as to</w:t>
      </w:r>
      <w:r>
        <w:tab/>
      </w:r>
      <w:r>
        <w:fldChar w:fldCharType="begin"/>
      </w:r>
      <w:r>
        <w:instrText xml:space="preserve"> PAGEREF _Toc38006707 \h </w:instrText>
      </w:r>
      <w:r>
        <w:fldChar w:fldCharType="separate"/>
      </w:r>
      <w:r>
        <w:t>61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Auditors’ reports, content of</w:t>
      </w:r>
      <w:r>
        <w:tab/>
      </w:r>
      <w:r>
        <w:fldChar w:fldCharType="begin"/>
      </w:r>
      <w:r>
        <w:instrText xml:space="preserve"> PAGEREF _Toc38006708 \h </w:instrText>
      </w:r>
      <w:r>
        <w:fldChar w:fldCharType="separate"/>
      </w:r>
      <w:r>
        <w:t>61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Moneys etc. held on trust, statement of by agents</w:t>
      </w:r>
      <w:r>
        <w:tab/>
      </w:r>
      <w:r>
        <w:fldChar w:fldCharType="begin"/>
      </w:r>
      <w:r>
        <w:instrText xml:space="preserve"> PAGEREF _Toc38006709 \h </w:instrText>
      </w:r>
      <w:r>
        <w:fldChar w:fldCharType="separate"/>
      </w:r>
      <w:r>
        <w:t>62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Auditor’s report to report breaches of law etc.</w:t>
      </w:r>
      <w:r>
        <w:tab/>
      </w:r>
      <w:r>
        <w:fldChar w:fldCharType="begin"/>
      </w:r>
      <w:r>
        <w:instrText xml:space="preserve"> PAGEREF _Toc38006710 \h </w:instrText>
      </w:r>
      <w:r>
        <w:fldChar w:fldCharType="separate"/>
      </w:r>
      <w:r>
        <w:t>63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Auditors’ duty of confidentiality</w:t>
      </w:r>
      <w:r>
        <w:tab/>
      </w:r>
      <w:r>
        <w:fldChar w:fldCharType="begin"/>
      </w:r>
      <w:r>
        <w:instrText xml:space="preserve"> PAGEREF _Toc38006711 \h </w:instrText>
      </w:r>
      <w:r>
        <w:fldChar w:fldCharType="separate"/>
      </w:r>
      <w:r>
        <w:t>63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Right of some persons to information in auditors’ reports</w:t>
      </w:r>
      <w:r>
        <w:tab/>
      </w:r>
      <w:r>
        <w:fldChar w:fldCharType="begin"/>
      </w:r>
      <w:r>
        <w:instrText xml:space="preserve"> PAGEREF _Toc38006712 \h </w:instrText>
      </w:r>
      <w:r>
        <w:fldChar w:fldCharType="separate"/>
      </w:r>
      <w:r>
        <w:t>63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under this Part</w:t>
      </w:r>
      <w:r>
        <w:tab/>
      </w:r>
      <w:r>
        <w:fldChar w:fldCharType="begin"/>
      </w:r>
      <w:r>
        <w:instrText xml:space="preserve"> PAGEREF _Toc38006713 \h </w:instrText>
      </w:r>
      <w:r>
        <w:fldChar w:fldCharType="separate"/>
      </w:r>
      <w:r>
        <w:t>64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Auditors’ remuneration</w:t>
      </w:r>
      <w:r>
        <w:tab/>
      </w:r>
      <w:r>
        <w:fldChar w:fldCharType="begin"/>
      </w:r>
      <w:r>
        <w:instrText xml:space="preserve"> PAGEREF _Toc38006714 \h </w:instrText>
      </w:r>
      <w:r>
        <w:fldChar w:fldCharType="separate"/>
      </w:r>
      <w:r>
        <w:t>64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Agents with no accounts to audit</w:t>
      </w:r>
      <w:r>
        <w:tab/>
      </w:r>
      <w:r>
        <w:fldChar w:fldCharType="begin"/>
      </w:r>
      <w:r>
        <w:instrText xml:space="preserve"> PAGEREF _Toc38006715 \h </w:instrText>
      </w:r>
      <w:r>
        <w:fldChar w:fldCharType="separate"/>
      </w:r>
      <w:r>
        <w:t>65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Accounts of firm or body corporate or agent with branch office, effect of audits as to</w:t>
      </w:r>
      <w:r>
        <w:tab/>
      </w:r>
      <w:r>
        <w:fldChar w:fldCharType="begin"/>
      </w:r>
      <w:r>
        <w:instrText xml:space="preserve"> PAGEREF _Toc38006716 \h </w:instrText>
      </w:r>
      <w:r>
        <w:fldChar w:fldCharType="separate"/>
      </w:r>
      <w:r>
        <w:t>65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r>
      <w:r>
        <w:t>Audit of trust account, Commissioner may do</w:t>
      </w:r>
      <w:r>
        <w:tab/>
      </w:r>
      <w:r>
        <w:fldChar w:fldCharType="begin"/>
      </w:r>
      <w:r>
        <w:instrText xml:space="preserve"> PAGEREF _Toc38006717 \h </w:instrText>
      </w:r>
      <w:r>
        <w:fldChar w:fldCharType="separate"/>
      </w:r>
      <w:r>
        <w:t>65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Cost of audit done under s. 88</w:t>
      </w:r>
      <w:r>
        <w:tab/>
      </w:r>
      <w:r>
        <w:fldChar w:fldCharType="begin"/>
      </w:r>
      <w:r>
        <w:instrText xml:space="preserve"> PAGEREF _Toc38006718 \h </w:instrText>
      </w:r>
      <w:r>
        <w:fldChar w:fldCharType="separate"/>
      </w:r>
      <w:r>
        <w:t>66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Confidentiality of audit done under s. 88</w:t>
      </w:r>
      <w:r>
        <w:tab/>
      </w:r>
      <w:r>
        <w:fldChar w:fldCharType="begin"/>
      </w:r>
      <w:r>
        <w:instrText xml:space="preserve"> PAGEREF _Toc38006719 \h </w:instrText>
      </w:r>
      <w:r>
        <w:fldChar w:fldCharType="separate"/>
      </w:r>
      <w:r>
        <w:t>66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Restraining bank etc. from dealing with agent’s account, SAT’s powers as to</w:t>
      </w:r>
      <w:r>
        <w:tab/>
      </w:r>
      <w:r>
        <w:fldChar w:fldCharType="begin"/>
      </w:r>
      <w:r>
        <w:instrText xml:space="preserve"> PAGEREF _Toc38006720 \h </w:instrText>
      </w:r>
      <w:r>
        <w:fldChar w:fldCharType="separate"/>
      </w:r>
      <w:r>
        <w:t>66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Suspension of agents, appointment of supervisors etc., SAT’s powers as to</w:t>
      </w:r>
      <w:r>
        <w:tab/>
      </w:r>
      <w:r>
        <w:fldChar w:fldCharType="begin"/>
      </w:r>
      <w:r>
        <w:instrText xml:space="preserve"> PAGEREF _Toc38006721 \h </w:instrText>
      </w:r>
      <w:r>
        <w:fldChar w:fldCharType="separate"/>
      </w:r>
      <w:r>
        <w:t>68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Order under s. 93 for supervisor, effect of</w:t>
      </w:r>
      <w:r>
        <w:tab/>
      </w:r>
      <w:r>
        <w:fldChar w:fldCharType="begin"/>
      </w:r>
      <w:r>
        <w:instrText xml:space="preserve"> PAGEREF _Toc38006722 \h </w:instrText>
      </w:r>
      <w:r>
        <w:fldChar w:fldCharType="separate"/>
      </w:r>
      <w:r>
        <w:t>70</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Supervisors’ duties</w:t>
      </w:r>
      <w:r>
        <w:tab/>
      </w:r>
      <w:r>
        <w:fldChar w:fldCharType="begin"/>
      </w:r>
      <w:r>
        <w:instrText xml:space="preserve"> PAGEREF _Toc38006723 \h </w:instrText>
      </w:r>
      <w:r>
        <w:fldChar w:fldCharType="separate"/>
      </w:r>
      <w:r>
        <w:t>71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Hindering etc. supervisors, offence</w:t>
      </w:r>
      <w:r>
        <w:tab/>
      </w:r>
      <w:r>
        <w:fldChar w:fldCharType="begin"/>
      </w:r>
      <w:r>
        <w:instrText xml:space="preserve"> PAGEREF _Toc38006724 \h </w:instrText>
      </w:r>
      <w:r>
        <w:fldChar w:fldCharType="separate"/>
      </w:r>
      <w:r>
        <w:t>72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Discharge or variation of s. 92 or 93 order</w:t>
      </w:r>
      <w:r>
        <w:tab/>
      </w:r>
      <w:r>
        <w:fldChar w:fldCharType="begin"/>
      </w:r>
      <w:r>
        <w:instrText xml:space="preserve"> PAGEREF _Toc38006725 \h </w:instrText>
      </w:r>
      <w:r>
        <w:fldChar w:fldCharType="separate"/>
      </w:r>
      <w:r>
        <w:t>72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SAT’s additional powers as to s. 92, 93 and 97 orders; schemes for distributing funds</w:t>
      </w:r>
      <w:r>
        <w:tab/>
      </w:r>
      <w:r>
        <w:fldChar w:fldCharType="begin"/>
      </w:r>
      <w:r>
        <w:instrText xml:space="preserve"> PAGEREF _Toc38006726 \h </w:instrText>
      </w:r>
      <w:r>
        <w:fldChar w:fldCharType="separate"/>
      </w:r>
      <w:r>
        <w:t>72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Service of s. 92, 93, 97 or 98 orders; penalty for breach of</w:t>
      </w:r>
      <w:r>
        <w:tab/>
      </w:r>
      <w:r>
        <w:fldChar w:fldCharType="begin"/>
      </w:r>
      <w:r>
        <w:instrText xml:space="preserve"> PAGEREF _Toc38006727 \h </w:instrText>
      </w:r>
      <w:r>
        <w:fldChar w:fldCharType="separate"/>
      </w:r>
      <w:r>
        <w:t>74</w:t>
      </w:r>
      <w:r>
        <w:fldChar w:fldCharType="end"/>
      </w:r>
    </w:p>
    <w:p>
      <w:pPr>
        <w:pStyle w:val="TOC8"/>
        <w:rPr>
          <w:rFonts w:asciiTheme="minorHAnsi" w:eastAsiaTheme="minorEastAsia" w:hAnsiTheme="minorHAnsi" w:cstheme="minorBidi"/>
          <w:szCs w:val="22"/>
        </w:rPr>
      </w:pPr>
      <w:r>
        <w:t>100.</w:t>
      </w:r>
      <w:r>
        <w:tab/>
        <w:t>Banks etc., duty to disclose certain accounts etc. if required to by authorised person</w:t>
      </w:r>
      <w:r>
        <w:tab/>
      </w:r>
      <w:r>
        <w:fldChar w:fldCharType="begin"/>
      </w:r>
      <w:r>
        <w:instrText xml:space="preserve"> PAGEREF _Toc38006728 \h </w:instrText>
      </w:r>
      <w:r>
        <w:fldChar w:fldCharType="separate"/>
      </w:r>
      <w:r>
        <w:t>75</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r>
      <w:r>
        <w:t>Information about trust accounts, Commissioner’s power to obtain</w:t>
      </w:r>
      <w:r>
        <w:tab/>
      </w:r>
      <w:r>
        <w:fldChar w:fldCharType="begin"/>
      </w:r>
      <w:r>
        <w:instrText xml:space="preserve"> PAGEREF _Toc38006729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VII — Discipline of agents and sales representatives</w:t>
      </w:r>
    </w:p>
    <w:p>
      <w:pPr>
        <w:pStyle w:val="TOC8"/>
        <w:rPr>
          <w:rFonts w:asciiTheme="minorHAnsi" w:eastAsiaTheme="minorEastAsia" w:hAnsiTheme="minorHAnsi" w:cstheme="minorBidi"/>
          <w:szCs w:val="22"/>
        </w:rPr>
      </w:pPr>
      <w:r>
        <w:t>101</w:t>
      </w:r>
      <w:r>
        <w:rPr>
          <w:snapToGrid w:val="0"/>
        </w:rPr>
        <w:t>.</w:t>
      </w:r>
      <w:r>
        <w:rPr>
          <w:snapToGrid w:val="0"/>
        </w:rPr>
        <w:tab/>
      </w:r>
      <w:r>
        <w:t>Codes of conduct</w:t>
      </w:r>
      <w:r>
        <w:tab/>
      </w:r>
      <w:r>
        <w:fldChar w:fldCharType="begin"/>
      </w:r>
      <w:r>
        <w:instrText xml:space="preserve"> PAGEREF _Toc38006731 \h </w:instrText>
      </w:r>
      <w:r>
        <w:fldChar w:fldCharType="separate"/>
      </w:r>
      <w:r>
        <w:t>78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Disciplinary action by SAT, alleging cause for</w:t>
      </w:r>
      <w:r>
        <w:tab/>
      </w:r>
      <w:r>
        <w:fldChar w:fldCharType="begin"/>
      </w:r>
      <w:r>
        <w:instrText xml:space="preserve"> PAGEREF _Toc38006732 \h </w:instrText>
      </w:r>
      <w:r>
        <w:fldChar w:fldCharType="separate"/>
      </w:r>
      <w:r>
        <w:t>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Disciplinary action, SAT’s powers as to</w:t>
      </w:r>
      <w:r>
        <w:tab/>
      </w:r>
      <w:r>
        <w:fldChar w:fldCharType="begin"/>
      </w:r>
      <w:r>
        <w:instrText xml:space="preserve"> PAGEREF _Toc38006733 \h </w:instrText>
      </w:r>
      <w:r>
        <w:fldChar w:fldCharType="separate"/>
      </w:r>
      <w:r>
        <w:t>79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Offences that cause licence and triennial certificate to be cancelled</w:t>
      </w:r>
      <w:r>
        <w:tab/>
      </w:r>
      <w:r>
        <w:fldChar w:fldCharType="begin"/>
      </w:r>
      <w:r>
        <w:instrText xml:space="preserve"> PAGEREF _Toc38006734 \h </w:instrText>
      </w:r>
      <w:r>
        <w:fldChar w:fldCharType="separate"/>
      </w:r>
      <w:r>
        <w:t>82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Certain offences by licensees, additional sentencing powers for</w:t>
      </w:r>
      <w:r>
        <w:tab/>
      </w:r>
      <w:r>
        <w:fldChar w:fldCharType="begin"/>
      </w:r>
      <w:r>
        <w:instrText xml:space="preserve"> PAGEREF _Toc38006735 \h </w:instrText>
      </w:r>
      <w:r>
        <w:fldChar w:fldCharType="separate"/>
      </w:r>
      <w:r>
        <w:t>83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Persons with cancelled licences etc., offences by and in respect of</w:t>
      </w:r>
      <w:r>
        <w:tab/>
      </w:r>
      <w:r>
        <w:fldChar w:fldCharType="begin"/>
      </w:r>
      <w:r>
        <w:instrText xml:space="preserve"> PAGEREF _Toc38006736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VIII — Fidelity Guarantee Account</w:t>
      </w:r>
    </w:p>
    <w:p>
      <w:pPr>
        <w:pStyle w:val="TOC8"/>
        <w:rPr>
          <w:rFonts w:asciiTheme="minorHAnsi" w:eastAsiaTheme="minorEastAsia" w:hAnsiTheme="minorHAnsi" w:cstheme="minorBidi"/>
          <w:szCs w:val="22"/>
        </w:rPr>
      </w:pPr>
      <w:r>
        <w:t>107.</w:t>
      </w:r>
      <w:r>
        <w:tab/>
        <w:t>Account established</w:t>
      </w:r>
      <w:r>
        <w:tab/>
      </w:r>
      <w:r>
        <w:fldChar w:fldCharType="begin"/>
      </w:r>
      <w:r>
        <w:instrText xml:space="preserve"> PAGEREF _Toc38006738 \h </w:instrText>
      </w:r>
      <w:r>
        <w:fldChar w:fldCharType="separate"/>
      </w:r>
      <w:r>
        <w:t>86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Investment of moneys in account</w:t>
      </w:r>
      <w:r>
        <w:tab/>
      </w:r>
      <w:r>
        <w:fldChar w:fldCharType="begin"/>
      </w:r>
      <w:r>
        <w:instrText xml:space="preserve"> PAGEREF _Toc38006739 \h </w:instrText>
      </w:r>
      <w:r>
        <w:fldChar w:fldCharType="separate"/>
      </w:r>
      <w:r>
        <w:t>86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Moneys to be credited to account</w:t>
      </w:r>
      <w:r>
        <w:tab/>
      </w:r>
      <w:r>
        <w:fldChar w:fldCharType="begin"/>
      </w:r>
      <w:r>
        <w:instrText xml:space="preserve"> PAGEREF _Toc38006740 \h </w:instrText>
      </w:r>
      <w:r>
        <w:fldChar w:fldCharType="separate"/>
      </w:r>
      <w:r>
        <w:t>86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Expenditure from account</w:t>
      </w:r>
      <w:r>
        <w:tab/>
      </w:r>
      <w:r>
        <w:fldChar w:fldCharType="begin"/>
      </w:r>
      <w:r>
        <w:instrText xml:space="preserve"> PAGEREF _Toc38006741 \h </w:instrText>
      </w:r>
      <w:r>
        <w:fldChar w:fldCharType="separate"/>
      </w:r>
      <w:r>
        <w:t>87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r>
      <w:r>
        <w:t>Administration of account</w:t>
      </w:r>
      <w:r>
        <w:tab/>
      </w:r>
      <w:r>
        <w:fldChar w:fldCharType="begin"/>
      </w:r>
      <w:r>
        <w:instrText xml:space="preserve"> PAGEREF _Toc38006742 \h </w:instrText>
      </w:r>
      <w:r>
        <w:fldChar w:fldCharType="separate"/>
      </w:r>
      <w:r>
        <w:t>88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Payments to account by applicants for licences etc.</w:t>
      </w:r>
      <w:r>
        <w:tab/>
      </w:r>
      <w:r>
        <w:fldChar w:fldCharType="begin"/>
      </w:r>
      <w:r>
        <w:instrText xml:space="preserve"> PAGEREF _Toc38006743 \h </w:instrText>
      </w:r>
      <w:r>
        <w:fldChar w:fldCharType="separate"/>
      </w:r>
      <w:r>
        <w:t>88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Cap on payments under s. 113</w:t>
      </w:r>
      <w:r>
        <w:tab/>
      </w:r>
      <w:r>
        <w:fldChar w:fldCharType="begin"/>
      </w:r>
      <w:r>
        <w:instrText xml:space="preserve"> PAGEREF _Toc38006744 \h </w:instrText>
      </w:r>
      <w:r>
        <w:fldChar w:fldCharType="separate"/>
      </w:r>
      <w:r>
        <w:t>88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Levies for account against certificate holders</w:t>
      </w:r>
      <w:r>
        <w:tab/>
      </w:r>
      <w:r>
        <w:fldChar w:fldCharType="begin"/>
      </w:r>
      <w:r>
        <w:instrText xml:space="preserve"> PAGEREF _Toc38006745 \h </w:instrText>
      </w:r>
      <w:r>
        <w:fldChar w:fldCharType="separate"/>
      </w:r>
      <w:r>
        <w:t>89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Purpose of account; making claims against account</w:t>
      </w:r>
      <w:r>
        <w:tab/>
      </w:r>
      <w:r>
        <w:fldChar w:fldCharType="begin"/>
      </w:r>
      <w:r>
        <w:instrText xml:space="preserve"> PAGEREF _Toc38006746 \h </w:instrText>
      </w:r>
      <w:r>
        <w:fldChar w:fldCharType="separate"/>
      </w:r>
      <w:r>
        <w:t>90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Claims against account; recovery from account</w:t>
      </w:r>
      <w:r>
        <w:tab/>
      </w:r>
      <w:r>
        <w:fldChar w:fldCharType="begin"/>
      </w:r>
      <w:r>
        <w:instrText xml:space="preserve"> PAGEREF _Toc38006747 \h </w:instrText>
      </w:r>
      <w:r>
        <w:fldChar w:fldCharType="separate"/>
      </w:r>
      <w:r>
        <w:t>91</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Defences to claims against account</w:t>
      </w:r>
      <w:r>
        <w:tab/>
      </w:r>
      <w:r>
        <w:fldChar w:fldCharType="begin"/>
      </w:r>
      <w:r>
        <w:instrText xml:space="preserve"> PAGEREF _Toc38006748 \h </w:instrText>
      </w:r>
      <w:r>
        <w:fldChar w:fldCharType="separate"/>
      </w:r>
      <w:r>
        <w:t>92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r>
      <w:r>
        <w:t>Subrogation of rights of claimant against account</w:t>
      </w:r>
      <w:r>
        <w:tab/>
      </w:r>
      <w:r>
        <w:fldChar w:fldCharType="begin"/>
      </w:r>
      <w:r>
        <w:instrText xml:space="preserve"> PAGEREF _Toc38006749 \h </w:instrText>
      </w:r>
      <w:r>
        <w:fldChar w:fldCharType="separate"/>
      </w:r>
      <w:r>
        <w:t>92</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Insufficiency in a</w:t>
      </w:r>
      <w:r>
        <w:t>ccount</w:t>
      </w:r>
      <w:r>
        <w:tab/>
      </w:r>
      <w:r>
        <w:fldChar w:fldCharType="begin"/>
      </w:r>
      <w:r>
        <w:instrText xml:space="preserve"> PAGEREF _Toc38006750 \h </w:instrText>
      </w:r>
      <w:r>
        <w:fldChar w:fldCharType="separate"/>
      </w:r>
      <w:r>
        <w:t>92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r>
      <w:r>
        <w:t>State may insure against claims</w:t>
      </w:r>
      <w:r>
        <w:tab/>
      </w:r>
      <w:r>
        <w:fldChar w:fldCharType="begin"/>
      </w:r>
      <w:r>
        <w:instrText xml:space="preserve"> PAGEREF _Toc38006751 \h </w:instrText>
      </w:r>
      <w:r>
        <w:fldChar w:fldCharType="separate"/>
      </w:r>
      <w:r>
        <w:t>94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of insurance payouts</w:t>
      </w:r>
      <w:r>
        <w:tab/>
      </w:r>
      <w:r>
        <w:fldChar w:fldCharType="begin"/>
      </w:r>
      <w:r>
        <w:instrText xml:space="preserve"> PAGEREF _Toc38006752 \h </w:instrText>
      </w:r>
      <w:r>
        <w:fldChar w:fldCharType="separate"/>
      </w:r>
      <w:r>
        <w:t>94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Advertising for claims in relation to defaulting licensee</w:t>
      </w:r>
      <w:r>
        <w:tab/>
      </w:r>
      <w:r>
        <w:fldChar w:fldCharType="begin"/>
      </w:r>
      <w:r>
        <w:instrText xml:space="preserve"> PAGEREF _Toc38006753 \h </w:instrText>
      </w:r>
      <w:r>
        <w:fldChar w:fldCharType="separate"/>
      </w:r>
      <w:r>
        <w:t>94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t>Documents etc. to support claims, CEO may require</w:t>
      </w:r>
      <w:r>
        <w:tab/>
      </w:r>
      <w:r>
        <w:fldChar w:fldCharType="begin"/>
      </w:r>
      <w:r>
        <w:instrText xml:space="preserve"> PAGEREF _Toc38006754 \h </w:instrText>
      </w:r>
      <w:r>
        <w:fldChar w:fldCharType="separate"/>
      </w:r>
      <w:r>
        <w:t>95</w:t>
      </w:r>
      <w:r>
        <w:fldChar w:fldCharType="end"/>
      </w:r>
    </w:p>
    <w:p>
      <w:pPr>
        <w:pStyle w:val="TOC8"/>
        <w:rPr>
          <w:rFonts w:asciiTheme="minorHAnsi" w:eastAsiaTheme="minorEastAsia" w:hAnsiTheme="minorHAnsi" w:cstheme="minorBidi"/>
          <w:szCs w:val="22"/>
        </w:rPr>
      </w:pPr>
      <w:r>
        <w:t>124AA.</w:t>
      </w:r>
      <w:r>
        <w:tab/>
        <w:t>Commissioner may investigate claims against Fidelity Account</w:t>
      </w:r>
      <w:r>
        <w:tab/>
      </w:r>
      <w:r>
        <w:fldChar w:fldCharType="begin"/>
      </w:r>
      <w:r>
        <w:instrText xml:space="preserve"> PAGEREF _Toc38006755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VIIIA — Education and General Purpose Account</w:t>
      </w:r>
    </w:p>
    <w:p>
      <w:pPr>
        <w:pStyle w:val="TOC8"/>
        <w:rPr>
          <w:rFonts w:asciiTheme="minorHAnsi" w:eastAsiaTheme="minorEastAsia" w:hAnsiTheme="minorHAnsi" w:cstheme="minorBidi"/>
          <w:szCs w:val="22"/>
        </w:rPr>
      </w:pPr>
      <w:r>
        <w:t>124A</w:t>
      </w:r>
      <w:r>
        <w:rPr>
          <w:snapToGrid w:val="0"/>
        </w:rPr>
        <w:t>.</w:t>
      </w:r>
      <w:r>
        <w:rPr>
          <w:snapToGrid w:val="0"/>
        </w:rPr>
        <w:tab/>
        <w:t>Account established; administration of account</w:t>
      </w:r>
      <w:r>
        <w:tab/>
      </w:r>
      <w:r>
        <w:fldChar w:fldCharType="begin"/>
      </w:r>
      <w:r>
        <w:instrText xml:space="preserve"> PAGEREF _Toc38006757 \h </w:instrText>
      </w:r>
      <w:r>
        <w:fldChar w:fldCharType="separate"/>
      </w:r>
      <w:r>
        <w:t>97</w:t>
      </w:r>
      <w:r>
        <w:fldChar w:fldCharType="end"/>
      </w:r>
    </w:p>
    <w:p>
      <w:pPr>
        <w:pStyle w:val="TOC8"/>
        <w:rPr>
          <w:rFonts w:asciiTheme="minorHAnsi" w:eastAsiaTheme="minorEastAsia" w:hAnsiTheme="minorHAnsi" w:cstheme="minorBidi"/>
          <w:szCs w:val="22"/>
        </w:rPr>
      </w:pPr>
      <w:r>
        <w:t>124B</w:t>
      </w:r>
      <w:r>
        <w:rPr>
          <w:snapToGrid w:val="0"/>
        </w:rPr>
        <w:t>.</w:t>
      </w:r>
      <w:r>
        <w:rPr>
          <w:snapToGrid w:val="0"/>
        </w:rPr>
        <w:tab/>
        <w:t>Moneys to be credited to account</w:t>
      </w:r>
      <w:r>
        <w:tab/>
      </w:r>
      <w:r>
        <w:fldChar w:fldCharType="begin"/>
      </w:r>
      <w:r>
        <w:instrText xml:space="preserve"> PAGEREF _Toc38006758 \h </w:instrText>
      </w:r>
      <w:r>
        <w:fldChar w:fldCharType="separate"/>
      </w:r>
      <w:r>
        <w:t>97</w:t>
      </w:r>
      <w:r>
        <w:fldChar w:fldCharType="end"/>
      </w:r>
    </w:p>
    <w:p>
      <w:pPr>
        <w:pStyle w:val="TOC8"/>
        <w:rPr>
          <w:rFonts w:asciiTheme="minorHAnsi" w:eastAsiaTheme="minorEastAsia" w:hAnsiTheme="minorHAnsi" w:cstheme="minorBidi"/>
          <w:szCs w:val="22"/>
        </w:rPr>
      </w:pPr>
      <w:r>
        <w:t>124C</w:t>
      </w:r>
      <w:r>
        <w:rPr>
          <w:snapToGrid w:val="0"/>
        </w:rPr>
        <w:t>.</w:t>
      </w:r>
      <w:r>
        <w:rPr>
          <w:snapToGrid w:val="0"/>
        </w:rPr>
        <w:tab/>
        <w:t>Expenditure from account</w:t>
      </w:r>
      <w:r>
        <w:tab/>
      </w:r>
      <w:r>
        <w:fldChar w:fldCharType="begin"/>
      </w:r>
      <w:r>
        <w:instrText xml:space="preserve"> PAGEREF _Toc38006759 \h </w:instrText>
      </w:r>
      <w:r>
        <w:fldChar w:fldCharType="separate"/>
      </w:r>
      <w:r>
        <w:t>98</w:t>
      </w:r>
      <w:r>
        <w:fldChar w:fldCharType="end"/>
      </w:r>
    </w:p>
    <w:p>
      <w:pPr>
        <w:pStyle w:val="TOC8"/>
        <w:rPr>
          <w:rFonts w:asciiTheme="minorHAnsi" w:eastAsiaTheme="minorEastAsia" w:hAnsiTheme="minorHAnsi" w:cstheme="minorBidi"/>
          <w:szCs w:val="22"/>
        </w:rPr>
      </w:pPr>
      <w:r>
        <w:t>124D</w:t>
      </w:r>
      <w:r>
        <w:rPr>
          <w:snapToGrid w:val="0"/>
        </w:rPr>
        <w:t>.</w:t>
      </w:r>
      <w:r>
        <w:rPr>
          <w:snapToGrid w:val="0"/>
        </w:rPr>
        <w:tab/>
        <w:t>Investment of moneys in account</w:t>
      </w:r>
      <w:r>
        <w:tab/>
      </w:r>
      <w:r>
        <w:fldChar w:fldCharType="begin"/>
      </w:r>
      <w:r>
        <w:instrText xml:space="preserve"> PAGEREF _Toc38006760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IX — Real Estate and Business Agents Interest Account</w:t>
      </w:r>
    </w:p>
    <w:p>
      <w:pPr>
        <w:pStyle w:val="TOC8"/>
        <w:rPr>
          <w:rFonts w:asciiTheme="minorHAnsi" w:eastAsiaTheme="minorEastAsia" w:hAnsiTheme="minorHAnsi" w:cstheme="minorBidi"/>
          <w:szCs w:val="22"/>
        </w:rPr>
      </w:pPr>
      <w:r>
        <w:t>125</w:t>
      </w:r>
      <w:r>
        <w:rPr>
          <w:snapToGrid w:val="0"/>
        </w:rPr>
        <w:t>.</w:t>
      </w:r>
      <w:r>
        <w:rPr>
          <w:snapToGrid w:val="0"/>
        </w:rPr>
        <w:tab/>
      </w:r>
      <w:r>
        <w:t>Account established; administration of account</w:t>
      </w:r>
      <w:r>
        <w:tab/>
      </w:r>
      <w:r>
        <w:fldChar w:fldCharType="begin"/>
      </w:r>
      <w:r>
        <w:instrText xml:space="preserve"> PAGEREF _Toc38006762 \h </w:instrText>
      </w:r>
      <w:r>
        <w:fldChar w:fldCharType="separate"/>
      </w:r>
      <w:r>
        <w:t>100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Moneys to be credited to account</w:t>
      </w:r>
      <w:r>
        <w:tab/>
      </w:r>
      <w:r>
        <w:fldChar w:fldCharType="begin"/>
      </w:r>
      <w:r>
        <w:instrText xml:space="preserve"> PAGEREF _Toc38006763 \h </w:instrText>
      </w:r>
      <w:r>
        <w:fldChar w:fldCharType="separate"/>
      </w:r>
      <w:r>
        <w:t>100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E</w:t>
      </w:r>
      <w:r>
        <w:t>xpenditure from account</w:t>
      </w:r>
      <w:r>
        <w:tab/>
      </w:r>
      <w:r>
        <w:fldChar w:fldCharType="begin"/>
      </w:r>
      <w:r>
        <w:instrText xml:space="preserve"> PAGEREF _Toc38006764 \h </w:instrText>
      </w:r>
      <w:r>
        <w:fldChar w:fldCharType="separate"/>
      </w:r>
      <w:r>
        <w:t>101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I</w:t>
      </w:r>
      <w:r>
        <w:t>nvestment of moneys in account</w:t>
      </w:r>
      <w:r>
        <w:tab/>
      </w:r>
      <w:r>
        <w:fldChar w:fldCharType="begin"/>
      </w:r>
      <w:r>
        <w:instrText xml:space="preserve"> PAGEREF _Toc38006765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IXA — Assistance to home buyers</w:t>
      </w:r>
    </w:p>
    <w:p>
      <w:pPr>
        <w:pStyle w:val="TOC8"/>
        <w:rPr>
          <w:rFonts w:asciiTheme="minorHAnsi" w:eastAsiaTheme="minorEastAsia" w:hAnsiTheme="minorHAnsi" w:cstheme="minorBidi"/>
          <w:szCs w:val="22"/>
        </w:rPr>
      </w:pPr>
      <w:r>
        <w:t>131A</w:t>
      </w:r>
      <w:r>
        <w:rPr>
          <w:snapToGrid w:val="0"/>
        </w:rPr>
        <w:t>.</w:t>
      </w:r>
      <w:r>
        <w:rPr>
          <w:snapToGrid w:val="0"/>
        </w:rPr>
        <w:tab/>
        <w:t>Terms used</w:t>
      </w:r>
      <w:r>
        <w:tab/>
      </w:r>
      <w:r>
        <w:fldChar w:fldCharType="begin"/>
      </w:r>
      <w:r>
        <w:instrText xml:space="preserve"> PAGEREF _Toc38006767 \h </w:instrText>
      </w:r>
      <w:r>
        <w:fldChar w:fldCharType="separate"/>
      </w:r>
      <w:r>
        <w:t>102</w:t>
      </w:r>
      <w:r>
        <w:fldChar w:fldCharType="end"/>
      </w:r>
    </w:p>
    <w:p>
      <w:pPr>
        <w:pStyle w:val="TOC8"/>
        <w:rPr>
          <w:rFonts w:asciiTheme="minorHAnsi" w:eastAsiaTheme="minorEastAsia" w:hAnsiTheme="minorHAnsi" w:cstheme="minorBidi"/>
          <w:szCs w:val="22"/>
        </w:rPr>
      </w:pPr>
      <w:r>
        <w:t>131B.</w:t>
      </w:r>
      <w:r>
        <w:tab/>
        <w:t>Home Buyers Assistance Account established</w:t>
      </w:r>
      <w:r>
        <w:tab/>
      </w:r>
      <w:r>
        <w:fldChar w:fldCharType="begin"/>
      </w:r>
      <w:r>
        <w:instrText xml:space="preserve"> PAGEREF _Toc38006768 \h </w:instrText>
      </w:r>
      <w:r>
        <w:fldChar w:fldCharType="separate"/>
      </w:r>
      <w:r>
        <w:t>103</w:t>
      </w:r>
      <w:r>
        <w:fldChar w:fldCharType="end"/>
      </w:r>
    </w:p>
    <w:p>
      <w:pPr>
        <w:pStyle w:val="TOC8"/>
        <w:rPr>
          <w:rFonts w:asciiTheme="minorHAnsi" w:eastAsiaTheme="minorEastAsia" w:hAnsiTheme="minorHAnsi" w:cstheme="minorBidi"/>
          <w:szCs w:val="22"/>
        </w:rPr>
      </w:pPr>
      <w:r>
        <w:t>131C</w:t>
      </w:r>
      <w:r>
        <w:rPr>
          <w:snapToGrid w:val="0"/>
        </w:rPr>
        <w:t>.</w:t>
      </w:r>
      <w:r>
        <w:rPr>
          <w:snapToGrid w:val="0"/>
        </w:rPr>
        <w:tab/>
        <w:t>Investment of moneys in account</w:t>
      </w:r>
      <w:r>
        <w:tab/>
      </w:r>
      <w:r>
        <w:fldChar w:fldCharType="begin"/>
      </w:r>
      <w:r>
        <w:instrText xml:space="preserve"> PAGEREF _Toc38006769 \h </w:instrText>
      </w:r>
      <w:r>
        <w:fldChar w:fldCharType="separate"/>
      </w:r>
      <w:r>
        <w:t>103</w:t>
      </w:r>
      <w:r>
        <w:fldChar w:fldCharType="end"/>
      </w:r>
    </w:p>
    <w:p>
      <w:pPr>
        <w:pStyle w:val="TOC8"/>
        <w:rPr>
          <w:rFonts w:asciiTheme="minorHAnsi" w:eastAsiaTheme="minorEastAsia" w:hAnsiTheme="minorHAnsi" w:cstheme="minorBidi"/>
          <w:szCs w:val="22"/>
        </w:rPr>
      </w:pPr>
      <w:r>
        <w:t>131D</w:t>
      </w:r>
      <w:r>
        <w:rPr>
          <w:snapToGrid w:val="0"/>
        </w:rPr>
        <w:t>.</w:t>
      </w:r>
      <w:r>
        <w:rPr>
          <w:snapToGrid w:val="0"/>
        </w:rPr>
        <w:tab/>
        <w:t>Moneys to be credited to account</w:t>
      </w:r>
      <w:r>
        <w:tab/>
      </w:r>
      <w:r>
        <w:fldChar w:fldCharType="begin"/>
      </w:r>
      <w:r>
        <w:instrText xml:space="preserve"> PAGEREF _Toc38006770 \h </w:instrText>
      </w:r>
      <w:r>
        <w:fldChar w:fldCharType="separate"/>
      </w:r>
      <w:r>
        <w:t>103</w:t>
      </w:r>
      <w:r>
        <w:fldChar w:fldCharType="end"/>
      </w:r>
    </w:p>
    <w:p>
      <w:pPr>
        <w:pStyle w:val="TOC8"/>
        <w:rPr>
          <w:rFonts w:asciiTheme="minorHAnsi" w:eastAsiaTheme="minorEastAsia" w:hAnsiTheme="minorHAnsi" w:cstheme="minorBidi"/>
          <w:szCs w:val="22"/>
        </w:rPr>
      </w:pPr>
      <w:r>
        <w:t>131E</w:t>
      </w:r>
      <w:r>
        <w:rPr>
          <w:snapToGrid w:val="0"/>
        </w:rPr>
        <w:t>.</w:t>
      </w:r>
      <w:r>
        <w:rPr>
          <w:snapToGrid w:val="0"/>
        </w:rPr>
        <w:tab/>
        <w:t>Expenditure from account</w:t>
      </w:r>
      <w:r>
        <w:tab/>
      </w:r>
      <w:r>
        <w:fldChar w:fldCharType="begin"/>
      </w:r>
      <w:r>
        <w:instrText xml:space="preserve"> PAGEREF _Toc38006771 \h </w:instrText>
      </w:r>
      <w:r>
        <w:fldChar w:fldCharType="separate"/>
      </w:r>
      <w:r>
        <w:t>104</w:t>
      </w:r>
      <w:r>
        <w:fldChar w:fldCharType="end"/>
      </w:r>
    </w:p>
    <w:p>
      <w:pPr>
        <w:pStyle w:val="TOC8"/>
        <w:rPr>
          <w:rFonts w:asciiTheme="minorHAnsi" w:eastAsiaTheme="minorEastAsia" w:hAnsiTheme="minorHAnsi" w:cstheme="minorBidi"/>
          <w:szCs w:val="22"/>
        </w:rPr>
      </w:pPr>
      <w:r>
        <w:t>131G</w:t>
      </w:r>
      <w:r>
        <w:rPr>
          <w:snapToGrid w:val="0"/>
        </w:rPr>
        <w:t>.</w:t>
      </w:r>
      <w:r>
        <w:rPr>
          <w:snapToGrid w:val="0"/>
        </w:rPr>
        <w:tab/>
      </w:r>
      <w:r>
        <w:t>Administration of account</w:t>
      </w:r>
      <w:r>
        <w:tab/>
      </w:r>
      <w:r>
        <w:fldChar w:fldCharType="begin"/>
      </w:r>
      <w:r>
        <w:instrText xml:space="preserve"> PAGEREF _Toc38006772 \h </w:instrText>
      </w:r>
      <w:r>
        <w:fldChar w:fldCharType="separate"/>
      </w:r>
      <w:r>
        <w:t>105</w:t>
      </w:r>
      <w:r>
        <w:fldChar w:fldCharType="end"/>
      </w:r>
    </w:p>
    <w:p>
      <w:pPr>
        <w:pStyle w:val="TOC8"/>
        <w:rPr>
          <w:rFonts w:asciiTheme="minorHAnsi" w:eastAsiaTheme="minorEastAsia" w:hAnsiTheme="minorHAnsi" w:cstheme="minorBidi"/>
          <w:szCs w:val="22"/>
        </w:rPr>
      </w:pPr>
      <w:r>
        <w:t>131L</w:t>
      </w:r>
      <w:r>
        <w:rPr>
          <w:snapToGrid w:val="0"/>
        </w:rPr>
        <w:t>.</w:t>
      </w:r>
      <w:r>
        <w:rPr>
          <w:snapToGrid w:val="0"/>
        </w:rPr>
        <w:tab/>
        <w:t>Applying for assistance for buyers of first homes</w:t>
      </w:r>
      <w:r>
        <w:tab/>
      </w:r>
      <w:r>
        <w:fldChar w:fldCharType="begin"/>
      </w:r>
      <w:r>
        <w:instrText xml:space="preserve"> PAGEREF _Toc38006773 \h </w:instrText>
      </w:r>
      <w:r>
        <w:fldChar w:fldCharType="separate"/>
      </w:r>
      <w:r>
        <w:t>105</w:t>
      </w:r>
      <w:r>
        <w:fldChar w:fldCharType="end"/>
      </w:r>
    </w:p>
    <w:p>
      <w:pPr>
        <w:pStyle w:val="TOC8"/>
        <w:rPr>
          <w:rFonts w:asciiTheme="minorHAnsi" w:eastAsiaTheme="minorEastAsia" w:hAnsiTheme="minorHAnsi" w:cstheme="minorBidi"/>
          <w:szCs w:val="22"/>
        </w:rPr>
      </w:pPr>
      <w:r>
        <w:t>131M</w:t>
      </w:r>
      <w:r>
        <w:rPr>
          <w:snapToGrid w:val="0"/>
        </w:rPr>
        <w:t>.</w:t>
      </w:r>
      <w:r>
        <w:rPr>
          <w:snapToGrid w:val="0"/>
        </w:rPr>
        <w:tab/>
      </w:r>
      <w:r>
        <w:t>Deciding applications for assistance</w:t>
      </w:r>
      <w:r>
        <w:tab/>
      </w:r>
      <w:r>
        <w:fldChar w:fldCharType="begin"/>
      </w:r>
      <w:r>
        <w:instrText xml:space="preserve"> PAGEREF _Toc38006774 \h </w:instrText>
      </w:r>
      <w:r>
        <w:fldChar w:fldCharType="separate"/>
      </w:r>
      <w:r>
        <w:t>106</w:t>
      </w:r>
      <w:r>
        <w:fldChar w:fldCharType="end"/>
      </w:r>
    </w:p>
    <w:p>
      <w:pPr>
        <w:pStyle w:val="TOC8"/>
        <w:rPr>
          <w:rFonts w:asciiTheme="minorHAnsi" w:eastAsiaTheme="minorEastAsia" w:hAnsiTheme="minorHAnsi" w:cstheme="minorBidi"/>
          <w:szCs w:val="22"/>
        </w:rPr>
      </w:pPr>
      <w:r>
        <w:t>131N</w:t>
      </w:r>
      <w:r>
        <w:rPr>
          <w:snapToGrid w:val="0"/>
        </w:rPr>
        <w:t>.</w:t>
      </w:r>
      <w:r>
        <w:rPr>
          <w:snapToGrid w:val="0"/>
        </w:rPr>
        <w:tab/>
        <w:t>Assistance, payment and application of</w:t>
      </w:r>
      <w:r>
        <w:tab/>
      </w:r>
      <w:r>
        <w:fldChar w:fldCharType="begin"/>
      </w:r>
      <w:r>
        <w:instrText xml:space="preserve"> PAGEREF _Toc38006775 \h </w:instrText>
      </w:r>
      <w:r>
        <w:fldChar w:fldCharType="separate"/>
      </w:r>
      <w:r>
        <w:t>107</w:t>
      </w:r>
      <w:r>
        <w:fldChar w:fldCharType="end"/>
      </w:r>
    </w:p>
    <w:p>
      <w:pPr>
        <w:pStyle w:val="TOC8"/>
        <w:rPr>
          <w:rFonts w:asciiTheme="minorHAnsi" w:eastAsiaTheme="minorEastAsia" w:hAnsiTheme="minorHAnsi" w:cstheme="minorBidi"/>
          <w:szCs w:val="22"/>
        </w:rPr>
      </w:pPr>
      <w:r>
        <w:t>131O</w:t>
      </w:r>
      <w:r>
        <w:rPr>
          <w:snapToGrid w:val="0"/>
        </w:rPr>
        <w:t>.</w:t>
      </w:r>
      <w:r>
        <w:rPr>
          <w:snapToGrid w:val="0"/>
        </w:rPr>
        <w:tab/>
      </w:r>
      <w:r>
        <w:t>Criteria for granting assistance, formulating</w:t>
      </w:r>
      <w:r>
        <w:tab/>
      </w:r>
      <w:r>
        <w:fldChar w:fldCharType="begin"/>
      </w:r>
      <w:r>
        <w:instrText xml:space="preserve"> PAGEREF _Toc38006776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132</w:t>
      </w:r>
      <w:r>
        <w:rPr>
          <w:snapToGrid w:val="0"/>
        </w:rPr>
        <w:t>.</w:t>
      </w:r>
      <w:r>
        <w:rPr>
          <w:snapToGrid w:val="0"/>
        </w:rPr>
        <w:tab/>
        <w:t>Unlicensed assistants to be supervised etc.</w:t>
      </w:r>
      <w:r>
        <w:tab/>
      </w:r>
      <w:r>
        <w:fldChar w:fldCharType="begin"/>
      </w:r>
      <w:r>
        <w:instrText xml:space="preserve"> PAGEREF _Toc38006778 \h </w:instrText>
      </w:r>
      <w:r>
        <w:fldChar w:fldCharType="separate"/>
      </w:r>
      <w:r>
        <w:t>110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r>
      <w:r>
        <w:t>Registers of licensees etc., Commissioner to keep etc.</w:t>
      </w:r>
      <w:r>
        <w:tab/>
      </w:r>
      <w:r>
        <w:fldChar w:fldCharType="begin"/>
      </w:r>
      <w:r>
        <w:instrText xml:space="preserve"> PAGEREF _Toc38006779 \h </w:instrText>
      </w:r>
      <w:r>
        <w:fldChar w:fldCharType="separate"/>
      </w:r>
      <w:r>
        <w:t>111</w:t>
      </w:r>
      <w:r>
        <w:fldChar w:fldCharType="end"/>
      </w:r>
    </w:p>
    <w:p>
      <w:pPr>
        <w:pStyle w:val="TOC8"/>
        <w:rPr>
          <w:rFonts w:asciiTheme="minorHAnsi" w:eastAsiaTheme="minorEastAsia" w:hAnsiTheme="minorHAnsi" w:cstheme="minorBidi"/>
          <w:szCs w:val="22"/>
        </w:rPr>
      </w:pPr>
      <w:r>
        <w:t>134A.</w:t>
      </w:r>
      <w:r>
        <w:tab/>
        <w:t>Offence to give false or misleading information</w:t>
      </w:r>
      <w:r>
        <w:tab/>
      </w:r>
      <w:r>
        <w:fldChar w:fldCharType="begin"/>
      </w:r>
      <w:r>
        <w:instrText xml:space="preserve"> PAGEREF _Toc38006780 \h </w:instrText>
      </w:r>
      <w:r>
        <w:fldChar w:fldCharType="separate"/>
      </w:r>
      <w:r>
        <w:t>111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Commissioner’s certificate</w:t>
      </w:r>
      <w:r>
        <w:tab/>
      </w:r>
      <w:r>
        <w:fldChar w:fldCharType="begin"/>
      </w:r>
      <w:r>
        <w:instrText xml:space="preserve"> PAGEREF _Toc38006781 \h </w:instrText>
      </w:r>
      <w:r>
        <w:fldChar w:fldCharType="separate"/>
      </w:r>
      <w:r>
        <w:t>112</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r>
      <w:r>
        <w:t>Annual report by department</w:t>
      </w:r>
      <w:r>
        <w:tab/>
      </w:r>
      <w:r>
        <w:fldChar w:fldCharType="begin"/>
      </w:r>
      <w:r>
        <w:instrText xml:space="preserve"> PAGEREF _Toc38006782 \h </w:instrText>
      </w:r>
      <w:r>
        <w:fldChar w:fldCharType="separate"/>
      </w:r>
      <w:r>
        <w:t>113</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r>
      <w:r>
        <w:t>Commissioner to report to Minister on Act’s effectiveness as to protecting against defalcations</w:t>
      </w:r>
      <w:r>
        <w:tab/>
      </w:r>
      <w:r>
        <w:fldChar w:fldCharType="begin"/>
      </w:r>
      <w:r>
        <w:instrText xml:space="preserve"> PAGEREF _Toc38006783 \h </w:instrText>
      </w:r>
      <w:r>
        <w:fldChar w:fldCharType="separate"/>
      </w:r>
      <w:r>
        <w:t>113</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Refunds of fees, Commissioner’s powers as to</w:t>
      </w:r>
      <w:r>
        <w:tab/>
      </w:r>
      <w:r>
        <w:fldChar w:fldCharType="begin"/>
      </w:r>
      <w:r>
        <w:instrText xml:space="preserve"> PAGEREF _Toc38006784 \h </w:instrText>
      </w:r>
      <w:r>
        <w:fldChar w:fldCharType="separate"/>
      </w:r>
      <w:r>
        <w:t>114</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_Toc38006785 \h </w:instrText>
      </w:r>
      <w:r>
        <w:fldChar w:fldCharType="separate"/>
      </w:r>
      <w:r>
        <w:t>114</w:t>
      </w:r>
      <w:r>
        <w:fldChar w:fldCharType="end"/>
      </w:r>
    </w:p>
    <w:p>
      <w:pPr>
        <w:pStyle w:val="TOC8"/>
        <w:rPr>
          <w:rFonts w:asciiTheme="minorHAnsi" w:eastAsiaTheme="minorEastAsia" w:hAnsiTheme="minorHAnsi" w:cstheme="minorBidi"/>
          <w:szCs w:val="22"/>
        </w:rPr>
      </w:pPr>
      <w:r>
        <w:t>138.</w:t>
      </w:r>
      <w:r>
        <w:tab/>
        <w:t>Confidentiality of information officially obtained</w:t>
      </w:r>
      <w:r>
        <w:tab/>
      </w:r>
      <w:r>
        <w:fldChar w:fldCharType="begin"/>
      </w:r>
      <w:r>
        <w:instrText xml:space="preserve"> PAGEREF _Toc38006786 \h </w:instrText>
      </w:r>
      <w:r>
        <w:fldChar w:fldCharType="separate"/>
      </w:r>
      <w:r>
        <w:t>114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Directors of body corporate, liability of</w:t>
      </w:r>
      <w:r>
        <w:tab/>
      </w:r>
      <w:r>
        <w:fldChar w:fldCharType="begin"/>
      </w:r>
      <w:r>
        <w:instrText xml:space="preserve"> PAGEREF _Toc38006787 \h </w:instrText>
      </w:r>
      <w:r>
        <w:fldChar w:fldCharType="separate"/>
      </w:r>
      <w:r>
        <w:t>114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Other rights and remedies not affected by this Act</w:t>
      </w:r>
      <w:r>
        <w:tab/>
      </w:r>
      <w:r>
        <w:fldChar w:fldCharType="begin"/>
      </w:r>
      <w:r>
        <w:instrText xml:space="preserve"> PAGEREF _Toc38006788 \h </w:instrText>
      </w:r>
      <w:r>
        <w:fldChar w:fldCharType="separate"/>
      </w:r>
      <w:r>
        <w:t>115</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Rights conferred by Act cannot be waived</w:t>
      </w:r>
      <w:r>
        <w:tab/>
      </w:r>
      <w:r>
        <w:fldChar w:fldCharType="begin"/>
      </w:r>
      <w:r>
        <w:instrText xml:space="preserve"> PAGEREF _Toc38006789 \h </w:instrText>
      </w:r>
      <w:r>
        <w:fldChar w:fldCharType="separate"/>
      </w:r>
      <w:r>
        <w:t>115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General penalty for offences</w:t>
      </w:r>
      <w:r>
        <w:tab/>
      </w:r>
      <w:r>
        <w:fldChar w:fldCharType="begin"/>
      </w:r>
      <w:r>
        <w:instrText xml:space="preserve"> PAGEREF _Toc38006790 \h </w:instrText>
      </w:r>
      <w:r>
        <w:fldChar w:fldCharType="separate"/>
      </w:r>
      <w:r>
        <w:t>115</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Proceedings for offences</w:t>
      </w:r>
      <w:r>
        <w:tab/>
      </w:r>
      <w:r>
        <w:fldChar w:fldCharType="begin"/>
      </w:r>
      <w:r>
        <w:instrText xml:space="preserve"> PAGEREF _Toc38006791 \h </w:instrText>
      </w:r>
      <w:r>
        <w:fldChar w:fldCharType="separate"/>
      </w:r>
      <w:r>
        <w:t>116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r>
      <w:r>
        <w:t>Forms</w:t>
      </w:r>
      <w:r>
        <w:tab/>
      </w:r>
      <w:r>
        <w:fldChar w:fldCharType="begin"/>
      </w:r>
      <w:r>
        <w:instrText xml:space="preserve"> PAGEREF _Toc38006792 \h </w:instrText>
      </w:r>
      <w:r>
        <w:fldChar w:fldCharType="separate"/>
      </w:r>
      <w:r>
        <w:t>116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Regulations</w:t>
      </w:r>
      <w:r>
        <w:tab/>
      </w:r>
      <w:r>
        <w:fldChar w:fldCharType="begin"/>
      </w:r>
      <w:r>
        <w:instrText xml:space="preserve"> PAGEREF _Toc38006793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XI — Savings and transitional</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_Toc38006795 \h </w:instrText>
      </w:r>
      <w:r>
        <w:fldChar w:fldCharType="separate"/>
      </w:r>
      <w:r>
        <w:t>119</w:t>
      </w:r>
      <w:r>
        <w:fldChar w:fldCharType="end"/>
      </w:r>
    </w:p>
    <w:p>
      <w:pPr>
        <w:pStyle w:val="TOC8"/>
        <w:rPr>
          <w:rFonts w:asciiTheme="minorHAnsi" w:eastAsiaTheme="minorEastAsia" w:hAnsiTheme="minorHAnsi" w:cstheme="minorBidi"/>
          <w:szCs w:val="22"/>
        </w:rPr>
      </w:pPr>
      <w:r>
        <w:t>149.</w:t>
      </w:r>
      <w:r>
        <w:tab/>
        <w:t>Former Board abolished</w:t>
      </w:r>
      <w:r>
        <w:tab/>
      </w:r>
      <w:r>
        <w:fldChar w:fldCharType="begin"/>
      </w:r>
      <w:r>
        <w:instrText xml:space="preserve"> PAGEREF _Toc38006796 \h </w:instrText>
      </w:r>
      <w:r>
        <w:fldChar w:fldCharType="separate"/>
      </w:r>
      <w:r>
        <w:t>119</w:t>
      </w:r>
      <w:r>
        <w:fldChar w:fldCharType="end"/>
      </w:r>
    </w:p>
    <w:p>
      <w:pPr>
        <w:pStyle w:val="TOC8"/>
        <w:rPr>
          <w:rFonts w:asciiTheme="minorHAnsi" w:eastAsiaTheme="minorEastAsia" w:hAnsiTheme="minorHAnsi" w:cstheme="minorBidi"/>
          <w:szCs w:val="22"/>
        </w:rPr>
      </w:pPr>
      <w:r>
        <w:t>150.</w:t>
      </w:r>
      <w:r>
        <w:tab/>
        <w:t>References to former Board</w:t>
      </w:r>
      <w:r>
        <w:tab/>
      </w:r>
      <w:r>
        <w:fldChar w:fldCharType="begin"/>
      </w:r>
      <w:r>
        <w:instrText xml:space="preserve"> PAGEREF _Toc38006797 \h </w:instrText>
      </w:r>
      <w:r>
        <w:fldChar w:fldCharType="separate"/>
      </w:r>
      <w:r>
        <w:t>120</w:t>
      </w:r>
      <w:r>
        <w:fldChar w:fldCharType="end"/>
      </w:r>
    </w:p>
    <w:p>
      <w:pPr>
        <w:pStyle w:val="TOC8"/>
        <w:rPr>
          <w:rFonts w:asciiTheme="minorHAnsi" w:eastAsiaTheme="minorEastAsia" w:hAnsiTheme="minorHAnsi" w:cstheme="minorBidi"/>
          <w:szCs w:val="22"/>
        </w:rPr>
      </w:pPr>
      <w:r>
        <w:t>151.</w:t>
      </w:r>
      <w:r>
        <w:tab/>
        <w:t>Immunity continues</w:t>
      </w:r>
      <w:r>
        <w:tab/>
      </w:r>
      <w:r>
        <w:fldChar w:fldCharType="begin"/>
      </w:r>
      <w:r>
        <w:instrText xml:space="preserve"> PAGEREF _Toc38006798 \h </w:instrText>
      </w:r>
      <w:r>
        <w:fldChar w:fldCharType="separate"/>
      </w:r>
      <w:r>
        <w:t>120</w:t>
      </w:r>
      <w:r>
        <w:fldChar w:fldCharType="end"/>
      </w:r>
    </w:p>
    <w:p>
      <w:pPr>
        <w:pStyle w:val="TOC8"/>
        <w:rPr>
          <w:rFonts w:asciiTheme="minorHAnsi" w:eastAsiaTheme="minorEastAsia" w:hAnsiTheme="minorHAnsi" w:cstheme="minorBidi"/>
          <w:szCs w:val="22"/>
        </w:rPr>
      </w:pPr>
      <w:r>
        <w:t>152.</w:t>
      </w:r>
      <w:r>
        <w:tab/>
        <w:t>Notices by former Board</w:t>
      </w:r>
      <w:r>
        <w:tab/>
      </w:r>
      <w:r>
        <w:fldChar w:fldCharType="begin"/>
      </w:r>
      <w:r>
        <w:instrText xml:space="preserve"> PAGEREF _Toc38006799 \h </w:instrText>
      </w:r>
      <w:r>
        <w:fldChar w:fldCharType="separate"/>
      </w:r>
      <w:r>
        <w:t>120</w:t>
      </w:r>
      <w:r>
        <w:fldChar w:fldCharType="end"/>
      </w:r>
    </w:p>
    <w:p>
      <w:pPr>
        <w:pStyle w:val="TOC8"/>
        <w:rPr>
          <w:rFonts w:asciiTheme="minorHAnsi" w:eastAsiaTheme="minorEastAsia" w:hAnsiTheme="minorHAnsi" w:cstheme="minorBidi"/>
          <w:szCs w:val="22"/>
        </w:rPr>
      </w:pPr>
      <w:r>
        <w:t>153.</w:t>
      </w:r>
      <w:r>
        <w:tab/>
        <w:t>References to former Registrar</w:t>
      </w:r>
      <w:r>
        <w:tab/>
      </w:r>
      <w:r>
        <w:fldChar w:fldCharType="begin"/>
      </w:r>
      <w:r>
        <w:instrText xml:space="preserve"> PAGEREF _Toc38006800 \h </w:instrText>
      </w:r>
      <w:r>
        <w:fldChar w:fldCharType="separate"/>
      </w:r>
      <w:r>
        <w:t>120</w:t>
      </w:r>
      <w:r>
        <w:fldChar w:fldCharType="end"/>
      </w:r>
    </w:p>
    <w:p>
      <w:pPr>
        <w:pStyle w:val="TOC8"/>
        <w:rPr>
          <w:rFonts w:asciiTheme="minorHAnsi" w:eastAsiaTheme="minorEastAsia" w:hAnsiTheme="minorHAnsi" w:cstheme="minorBidi"/>
          <w:szCs w:val="22"/>
        </w:rPr>
      </w:pPr>
      <w:r>
        <w:t>154.</w:t>
      </w:r>
      <w:r>
        <w:tab/>
        <w:t>Unfinished investigations by former Board</w:t>
      </w:r>
      <w:r>
        <w:tab/>
      </w:r>
      <w:r>
        <w:fldChar w:fldCharType="begin"/>
      </w:r>
      <w:r>
        <w:instrText xml:space="preserve"> PAGEREF _Toc38006801 \h </w:instrText>
      </w:r>
      <w:r>
        <w:fldChar w:fldCharType="separate"/>
      </w:r>
      <w:r>
        <w:t>121</w:t>
      </w:r>
      <w:r>
        <w:fldChar w:fldCharType="end"/>
      </w:r>
    </w:p>
    <w:p>
      <w:pPr>
        <w:pStyle w:val="TOC8"/>
        <w:rPr>
          <w:rFonts w:asciiTheme="minorHAnsi" w:eastAsiaTheme="minorEastAsia" w:hAnsiTheme="minorHAnsi" w:cstheme="minorBidi"/>
          <w:szCs w:val="22"/>
        </w:rPr>
      </w:pPr>
      <w:r>
        <w:t>155.</w:t>
      </w:r>
      <w:r>
        <w:tab/>
        <w:t>Unfinished proceedings by former Board</w:t>
      </w:r>
      <w:r>
        <w:tab/>
      </w:r>
      <w:r>
        <w:fldChar w:fldCharType="begin"/>
      </w:r>
      <w:r>
        <w:instrText xml:space="preserve"> PAGEREF _Toc38006802 \h </w:instrText>
      </w:r>
      <w:r>
        <w:fldChar w:fldCharType="separate"/>
      </w:r>
      <w:r>
        <w:t>121</w:t>
      </w:r>
      <w:r>
        <w:fldChar w:fldCharType="end"/>
      </w:r>
    </w:p>
    <w:p>
      <w:pPr>
        <w:pStyle w:val="TOC8"/>
        <w:rPr>
          <w:rFonts w:asciiTheme="minorHAnsi" w:eastAsiaTheme="minorEastAsia" w:hAnsiTheme="minorHAnsi" w:cstheme="minorBidi"/>
          <w:szCs w:val="22"/>
        </w:rPr>
      </w:pPr>
      <w:r>
        <w:t>156.</w:t>
      </w:r>
      <w:r>
        <w:tab/>
        <w:t>Winding</w:t>
      </w:r>
      <w:r>
        <w:noBreakHyphen/>
        <w:t>up former Board</w:t>
      </w:r>
      <w:r>
        <w:tab/>
      </w:r>
      <w:r>
        <w:fldChar w:fldCharType="begin"/>
      </w:r>
      <w:r>
        <w:instrText xml:space="preserve"> PAGEREF _Toc38006803 \h </w:instrText>
      </w:r>
      <w:r>
        <w:fldChar w:fldCharType="separate"/>
      </w:r>
      <w:r>
        <w:t>122</w:t>
      </w:r>
      <w:r>
        <w:fldChar w:fldCharType="end"/>
      </w:r>
    </w:p>
    <w:p>
      <w:pPr>
        <w:pStyle w:val="TOC8"/>
        <w:rPr>
          <w:rFonts w:asciiTheme="minorHAnsi" w:eastAsiaTheme="minorEastAsia" w:hAnsiTheme="minorHAnsi" w:cstheme="minorBidi"/>
          <w:szCs w:val="22"/>
        </w:rPr>
      </w:pPr>
      <w:r>
        <w:t>157.</w:t>
      </w:r>
      <w:r>
        <w:tab/>
        <w:t>Final report by former Board</w:t>
      </w:r>
      <w:r>
        <w:tab/>
      </w:r>
      <w:r>
        <w:fldChar w:fldCharType="begin"/>
      </w:r>
      <w:r>
        <w:instrText xml:space="preserve"> PAGEREF _Toc38006804 \h </w:instrText>
      </w:r>
      <w:r>
        <w:fldChar w:fldCharType="separate"/>
      </w:r>
      <w:r>
        <w:t>123</w:t>
      </w:r>
      <w:r>
        <w:fldChar w:fldCharType="end"/>
      </w:r>
    </w:p>
    <w:p>
      <w:pPr>
        <w:pStyle w:val="TOC8"/>
        <w:rPr>
          <w:rFonts w:asciiTheme="minorHAnsi" w:eastAsiaTheme="minorEastAsia" w:hAnsiTheme="minorHAnsi" w:cstheme="minorBidi"/>
          <w:szCs w:val="22"/>
        </w:rPr>
      </w:pPr>
      <w:r>
        <w:t>158.</w:t>
      </w:r>
      <w:r>
        <w:tab/>
        <w:t>Staff of former Board</w:t>
      </w:r>
      <w:r>
        <w:tab/>
      </w:r>
      <w:r>
        <w:fldChar w:fldCharType="begin"/>
      </w:r>
      <w:r>
        <w:instrText xml:space="preserve"> PAGEREF _Toc38006805 \h </w:instrText>
      </w:r>
      <w:r>
        <w:fldChar w:fldCharType="separate"/>
      </w:r>
      <w:r>
        <w:t>123</w:t>
      </w:r>
      <w:r>
        <w:fldChar w:fldCharType="end"/>
      </w:r>
    </w:p>
    <w:p>
      <w:pPr>
        <w:pStyle w:val="TOC8"/>
        <w:rPr>
          <w:rFonts w:asciiTheme="minorHAnsi" w:eastAsiaTheme="minorEastAsia" w:hAnsiTheme="minorHAnsi" w:cstheme="minorBidi"/>
          <w:szCs w:val="22"/>
        </w:rPr>
      </w:pPr>
      <w:r>
        <w:t>159.</w:t>
      </w:r>
      <w:r>
        <w:tab/>
        <w:t>Transitional regulations</w:t>
      </w:r>
      <w:r>
        <w:tab/>
      </w:r>
      <w:r>
        <w:fldChar w:fldCharType="begin"/>
      </w:r>
      <w:r>
        <w:instrText xml:space="preserve"> PAGEREF _Toc38006806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w:t>
      </w:r>
      <w:r>
        <w:t> — </w:t>
      </w:r>
      <w:r>
        <w:rPr>
          <w:rFonts w:eastAsia="MS Mincho"/>
        </w:rPr>
        <w:t>Qualifications for grant of licence and related matters</w:t>
      </w:r>
    </w:p>
    <w:p>
      <w:pPr>
        <w:pStyle w:val="TOC8"/>
        <w:rPr>
          <w:rFonts w:asciiTheme="minorHAnsi" w:eastAsiaTheme="minorEastAsia" w:hAnsiTheme="minorHAnsi" w:cstheme="minorBidi"/>
          <w:szCs w:val="22"/>
        </w:rPr>
      </w:pPr>
      <w:r>
        <w:t>1</w:t>
      </w:r>
      <w:r>
        <w:rPr>
          <w:snapToGrid w:val="0"/>
        </w:rPr>
        <w:t>.</w:t>
      </w:r>
      <w:r>
        <w:rPr>
          <w:snapToGrid w:val="0"/>
        </w:rPr>
        <w:tab/>
        <w:t>Qualifications</w:t>
      </w:r>
      <w:r>
        <w:tab/>
      </w:r>
      <w:r>
        <w:fldChar w:fldCharType="begin"/>
      </w:r>
      <w:r>
        <w:instrText xml:space="preserve"> PAGEREF _Toc38006808 \h </w:instrText>
      </w:r>
      <w:r>
        <w:fldChar w:fldCharType="separate"/>
      </w:r>
      <w:r>
        <w:t>125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Sufficient practical experience defined</w:t>
      </w:r>
      <w:r>
        <w:tab/>
      </w:r>
      <w:r>
        <w:fldChar w:fldCharType="begin"/>
      </w:r>
      <w:r>
        <w:instrText xml:space="preserve"> PAGEREF _Toc38006809 \h </w:instrText>
      </w:r>
      <w:r>
        <w:fldChar w:fldCharType="separate"/>
      </w:r>
      <w:r>
        <w:t>126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Licence by reason of qualification under cl. 1(c)</w:t>
      </w:r>
      <w:r>
        <w:tab/>
      </w:r>
      <w:r>
        <w:fldChar w:fldCharType="begin"/>
      </w:r>
      <w:r>
        <w:instrText xml:space="preserve"> PAGEREF _Toc38006810 \h </w:instrText>
      </w:r>
      <w:r>
        <w:fldChar w:fldCharType="separate"/>
      </w:r>
      <w:r>
        <w:t>127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by reason of qualification under cl. 1(d)</w:t>
      </w:r>
      <w:r>
        <w:tab/>
      </w:r>
      <w:r>
        <w:fldChar w:fldCharType="begin"/>
      </w:r>
      <w:r>
        <w:instrText xml:space="preserve"> PAGEREF _Toc38006811 \h </w:instrText>
      </w:r>
      <w:r>
        <w:fldChar w:fldCharType="separate"/>
      </w:r>
      <w:r>
        <w:t>127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Dead or incapacitated licensee, conduct of business of</w:t>
      </w:r>
      <w:r>
        <w:tab/>
      </w:r>
      <w:r>
        <w:fldChar w:fldCharType="begin"/>
      </w:r>
      <w:r>
        <w:instrText xml:space="preserve"> PAGEREF _Toc38006812 \h </w:instrText>
      </w:r>
      <w:r>
        <w:fldChar w:fldCharType="separate"/>
      </w:r>
      <w:r>
        <w:t>127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Death or withdrawal of partner in firm or director of body corporate, Commissioner to be notified</w:t>
      </w:r>
      <w:r>
        <w:tab/>
      </w:r>
      <w:r>
        <w:fldChar w:fldCharType="begin"/>
      </w:r>
      <w:r>
        <w:instrText xml:space="preserve"> PAGEREF _Toc38006813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_Toc38006815 \h </w:instrText>
      </w:r>
      <w:r>
        <w:fldChar w:fldCharType="separate"/>
      </w:r>
      <w:r>
        <w:t>129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_Toc38006816 \h </w:instrText>
      </w:r>
      <w:r>
        <w:fldChar w:fldCharType="separate"/>
      </w:r>
      <w:r>
        <w:t>133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_Toc38006817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200" w:after="960"/>
      </w:pPr>
      <w:r>
        <w:t>Real Estate and Business Agents Act 1978</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1</w:t>
      </w:r>
      <w:r>
        <w:rPr>
          <w:snapToGrid w:val="0"/>
        </w:rPr>
        <w:t>, and for related purposes.</w:t>
      </w:r>
    </w:p>
    <w:p>
      <w:pPr>
        <w:pStyle w:val="Heading2"/>
      </w:pPr>
      <w:bookmarkStart w:id="3" w:name="_Toc38006425"/>
      <w:bookmarkStart w:id="4" w:name="_Toc38006622"/>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8006623"/>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w:t>
      </w:r>
    </w:p>
    <w:p>
      <w:pPr>
        <w:pStyle w:val="Heading5"/>
        <w:rPr>
          <w:snapToGrid w:val="0"/>
        </w:rPr>
      </w:pPr>
      <w:bookmarkStart w:id="6" w:name="_Toc38006624"/>
      <w:r>
        <w:rPr>
          <w:rStyle w:val="CharSectno"/>
        </w:rPr>
        <w:t>2</w:t>
      </w:r>
      <w:r>
        <w:rPr>
          <w:snapToGrid w:val="0"/>
        </w:rPr>
        <w:t>.</w:t>
      </w:r>
      <w:r>
        <w:rPr>
          <w:snapToGrid w:val="0"/>
        </w:rPr>
        <w:tab/>
        <w:t>Commencement</w:t>
      </w:r>
      <w:bookmarkEnd w:id="6"/>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2</w:t>
      </w:r>
      <w:r>
        <w:rPr>
          <w:snapToGrid w:val="0"/>
        </w:rPr>
        <w:t>.</w:t>
      </w:r>
    </w:p>
    <w:p>
      <w:pPr>
        <w:pStyle w:val="Ednotesection"/>
      </w:pPr>
      <w:r>
        <w:t>[</w:t>
      </w:r>
      <w:r>
        <w:rPr>
          <w:b/>
        </w:rPr>
        <w:t>3.</w:t>
      </w:r>
      <w:r>
        <w:tab/>
        <w:t>Deleted: No. 29 of 1982 s. 3.]</w:t>
      </w:r>
    </w:p>
    <w:p>
      <w:pPr>
        <w:pStyle w:val="Heading5"/>
        <w:rPr>
          <w:snapToGrid w:val="0"/>
        </w:rPr>
      </w:pPr>
      <w:bookmarkStart w:id="7" w:name="_Toc38006625"/>
      <w:r>
        <w:rPr>
          <w:rStyle w:val="CharSectno"/>
        </w:rPr>
        <w:t>4</w:t>
      </w:r>
      <w:r>
        <w:rPr>
          <w:snapToGrid w:val="0"/>
        </w:rPr>
        <w:t>.</w:t>
      </w:r>
      <w:r>
        <w:rPr>
          <w:snapToGrid w:val="0"/>
        </w:rPr>
        <w:tab/>
        <w:t>Terms used</w:t>
      </w:r>
      <w:bookmarkEnd w:id="7"/>
    </w:p>
    <w:p>
      <w:pPr>
        <w:pStyle w:val="Subsection"/>
        <w:keepNext/>
        <w:rPr>
          <w:snapToGrid w:val="0"/>
        </w:rPr>
      </w:pPr>
      <w:r>
        <w:rPr>
          <w:snapToGrid w:val="0"/>
        </w:rPr>
        <w:tab/>
        <w:t>(1)</w:t>
      </w:r>
      <w:r>
        <w:rPr>
          <w:snapToGrid w:val="0"/>
        </w:rPr>
        <w:tab/>
        <w:t>In this Act unless the context otherwise requires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appointed day</w:t>
      </w:r>
      <w:r>
        <w:t xml:space="preserve"> means the day fixed by the Minister pursuant to subsection (2)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tab/>
      </w:r>
      <w:r>
        <w:rPr>
          <w:rStyle w:val="CharDefText"/>
        </w:rPr>
        <w:t>code of conduct for agents</w:t>
      </w:r>
      <w:r>
        <w:t xml:space="preserve"> means the code of conduct for agents prescribed and published under section 101(a);</w:t>
      </w:r>
    </w:p>
    <w:p>
      <w:pPr>
        <w:pStyle w:val="Defstart"/>
      </w:pPr>
      <w:r>
        <w:rPr>
          <w:b/>
        </w:rPr>
        <w:tab/>
      </w:r>
      <w:r>
        <w:rPr>
          <w:rStyle w:val="CharDefText"/>
        </w:rPr>
        <w:t>code of conduct for sales representatives</w:t>
      </w:r>
      <w:r>
        <w:t xml:space="preserve"> means the code of conduct for sales representatives prescribed and published under section 101(b);</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w:t>
      </w:r>
    </w:p>
    <w:p>
      <w:pPr>
        <w:pStyle w:val="Defpara"/>
        <w:spacing w:before="100"/>
      </w:pPr>
      <w:r>
        <w:tab/>
        <w:t>(a)</w:t>
      </w:r>
      <w:r>
        <w:tab/>
        <w:t>he is appointed by a court as a receiver or receiver and manager of the business of another person; or</w:t>
      </w:r>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r>
        <w:rPr>
          <w:vertAlign w:val="superscript"/>
        </w:rPr>
        <w:t>3</w:t>
      </w:r>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2</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p>
    <w:p>
      <w:pPr>
        <w:pStyle w:val="Indenta"/>
        <w:rPr>
          <w:snapToGrid w:val="0"/>
        </w:rPr>
      </w:pPr>
      <w:r>
        <w:rPr>
          <w:snapToGrid w:val="0"/>
        </w:rPr>
        <w:tab/>
        <w:t>(a)</w:t>
      </w:r>
      <w:r>
        <w:rPr>
          <w:snapToGrid w:val="0"/>
        </w:rPr>
        <w:tab/>
        <w:t>the consideration; or</w:t>
      </w:r>
    </w:p>
    <w:p>
      <w:pPr>
        <w:pStyle w:val="Indenta"/>
        <w:keepNext/>
        <w:rPr>
          <w:snapToGrid w:val="0"/>
        </w:rPr>
      </w:pPr>
      <w:r>
        <w:rPr>
          <w:snapToGrid w:val="0"/>
        </w:rPr>
        <w:tab/>
        <w:t>(b)</w:t>
      </w:r>
      <w:r>
        <w:rPr>
          <w:snapToGrid w:val="0"/>
        </w:rPr>
        <w:tab/>
        <w:t>any terms payments; or</w:t>
      </w:r>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p>
    <w:p>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 No. 25 of 2019 s. 39.]</w:t>
      </w:r>
    </w:p>
    <w:p>
      <w:pPr>
        <w:pStyle w:val="Ednotesection"/>
      </w:pPr>
      <w:r>
        <w:t>[</w:t>
      </w:r>
      <w:r>
        <w:rPr>
          <w:b/>
        </w:rPr>
        <w:t>5.</w:t>
      </w:r>
      <w:r>
        <w:tab/>
        <w:t>Deleted: No. 58 of 2010 s. 82.]</w:t>
      </w:r>
    </w:p>
    <w:p>
      <w:pPr>
        <w:pStyle w:val="Heading2"/>
      </w:pPr>
      <w:bookmarkStart w:id="8" w:name="_Toc38006429"/>
      <w:bookmarkStart w:id="9" w:name="_Toc38006626"/>
      <w:r>
        <w:rPr>
          <w:rStyle w:val="CharPartNo"/>
        </w:rPr>
        <w:t>Part II</w:t>
      </w:r>
      <w:r>
        <w:t> — </w:t>
      </w:r>
      <w:r>
        <w:rPr>
          <w:rStyle w:val="CharPartText"/>
        </w:rPr>
        <w:t>Advisory Committee and review</w:t>
      </w:r>
      <w:bookmarkEnd w:id="8"/>
      <w:bookmarkEnd w:id="9"/>
    </w:p>
    <w:p>
      <w:pPr>
        <w:pStyle w:val="Footnoteheading"/>
        <w:tabs>
          <w:tab w:val="clear" w:pos="879"/>
          <w:tab w:val="left" w:pos="890"/>
        </w:tabs>
        <w:rPr>
          <w:snapToGrid w:val="0"/>
        </w:rPr>
      </w:pPr>
      <w:r>
        <w:rPr>
          <w:snapToGrid w:val="0"/>
        </w:rPr>
        <w:tab/>
        <w:t>[Heading inserted: No. 58 of 2010 s. 83.]</w:t>
      </w:r>
    </w:p>
    <w:p>
      <w:pPr>
        <w:pStyle w:val="Ednotedivision"/>
      </w:pPr>
      <w:r>
        <w:t>[Divisions 1, 1A and 2 (s. 6-18) deleted: No. 58 of 2010 s. 84.]</w:t>
      </w:r>
    </w:p>
    <w:p>
      <w:pPr>
        <w:pStyle w:val="Footnoteheading"/>
        <w:tabs>
          <w:tab w:val="clear" w:pos="879"/>
          <w:tab w:val="left" w:pos="890"/>
        </w:tabs>
      </w:pPr>
      <w:r>
        <w:tab/>
        <w:t>[Heading deleted: No. 58 of 2010 s. 85.]</w:t>
      </w:r>
    </w:p>
    <w:p>
      <w:pPr>
        <w:pStyle w:val="Ednotesection"/>
        <w:ind w:left="0" w:firstLine="0"/>
      </w:pPr>
      <w:r>
        <w:t>[</w:t>
      </w:r>
      <w:r>
        <w:rPr>
          <w:b/>
        </w:rPr>
        <w:t>19-21.</w:t>
      </w:r>
      <w:r>
        <w:tab/>
        <w:t>Deleted: No. 58 of 2010 s. 86.]</w:t>
      </w:r>
    </w:p>
    <w:p>
      <w:pPr>
        <w:pStyle w:val="Heading5"/>
      </w:pPr>
      <w:bookmarkStart w:id="10" w:name="_Toc38006627"/>
      <w:r>
        <w:rPr>
          <w:rStyle w:val="CharSectno"/>
        </w:rPr>
        <w:t>22</w:t>
      </w:r>
      <w:r>
        <w:t>.</w:t>
      </w:r>
      <w:r>
        <w:tab/>
        <w:t>Powers of investigation</w:t>
      </w:r>
      <w:bookmarkEnd w:id="10"/>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No. 58 of 2010 s. 87.]</w:t>
      </w:r>
    </w:p>
    <w:p>
      <w:pPr>
        <w:pStyle w:val="Heading5"/>
        <w:rPr>
          <w:snapToGrid w:val="0"/>
        </w:rPr>
      </w:pPr>
      <w:bookmarkStart w:id="11" w:name="_Toc38006628"/>
      <w:r>
        <w:rPr>
          <w:rStyle w:val="CharSectno"/>
        </w:rPr>
        <w:t>23</w:t>
      </w:r>
      <w:r>
        <w:rPr>
          <w:snapToGrid w:val="0"/>
        </w:rPr>
        <w:t>.</w:t>
      </w:r>
      <w:r>
        <w:rPr>
          <w:snapToGrid w:val="0"/>
        </w:rPr>
        <w:tab/>
        <w:t>Application for review by SAT</w:t>
      </w:r>
      <w:bookmarkEnd w:id="11"/>
    </w:p>
    <w:p>
      <w:pPr>
        <w:pStyle w:val="Subsection"/>
        <w:rPr>
          <w:snapToGrid w:val="0"/>
        </w:rPr>
      </w:pPr>
      <w:r>
        <w:rPr>
          <w:snapToGrid w:val="0"/>
        </w:rPr>
        <w:tab/>
        <w:t>(1)</w:t>
      </w:r>
      <w:r>
        <w:rPr>
          <w:snapToGrid w:val="0"/>
        </w:rPr>
        <w:tab/>
        <w:t xml:space="preserve">Any person aggrieved by a reviewable decision 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p>
    <w:p>
      <w:pPr>
        <w:pStyle w:val="Defstart"/>
        <w:keepNext/>
        <w:keepLines/>
      </w:pPr>
      <w:r>
        <w:tab/>
      </w:r>
      <w:r>
        <w:rPr>
          <w:rStyle w:val="CharDefText"/>
        </w:rPr>
        <w:t>person aggrieved</w:t>
      </w:r>
      <w:r>
        <w:t xml:space="preserve"> means —</w:t>
      </w:r>
    </w:p>
    <w:p>
      <w:pPr>
        <w:pStyle w:val="Defpara"/>
      </w:pPr>
      <w:r>
        <w:tab/>
        <w:t>(a)</w:t>
      </w:r>
      <w:r>
        <w:tab/>
        <w:t>a person whose licence or triennial certificate is affected by a reviewable decision or who, under Part III, applies for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keepNext/>
      </w:pPr>
      <w:r>
        <w:tab/>
        <w:t>(d)</w:t>
      </w:r>
      <w:r>
        <w:tab/>
        <w:t>a person affected by a decision of the Commissioner under Part VI;</w:t>
      </w:r>
    </w:p>
    <w:p>
      <w:pPr>
        <w:pStyle w:val="Indenta"/>
      </w:pPr>
      <w:r>
        <w:tab/>
        <w:t>(e)</w:t>
      </w:r>
      <w:r>
        <w:tab/>
        <w:t>a person claiming against, or seeking the leave of the chief executive officer to commence an action in relation to, the Fidelity Account;</w:t>
      </w:r>
    </w:p>
    <w:p>
      <w:pPr>
        <w:pStyle w:val="Defstart"/>
        <w:keepNext/>
      </w:pPr>
      <w:r>
        <w:rPr>
          <w:b/>
        </w:rPr>
        <w:tab/>
      </w:r>
      <w:r>
        <w:rPr>
          <w:rStyle w:val="CharDefText"/>
        </w:rPr>
        <w:t>reviewable decision</w:t>
      </w:r>
      <w:r>
        <w:t xml:space="preserve"> means —</w:t>
      </w:r>
    </w:p>
    <w:p>
      <w:pPr>
        <w:pStyle w:val="Defpara"/>
        <w:spacing w:before="70"/>
      </w:pPr>
      <w:r>
        <w:tab/>
        <w:t>(a)</w:t>
      </w:r>
      <w:r>
        <w:tab/>
        <w:t>a decision of the Commissioner under Part III other than a determination of the form in which an application is to be made;</w:t>
      </w:r>
    </w:p>
    <w:p>
      <w:pPr>
        <w:pStyle w:val="Defpara"/>
        <w:spacing w:before="70"/>
      </w:pPr>
      <w:r>
        <w:tab/>
        <w:t>(b)</w:t>
      </w:r>
      <w:r>
        <w:tab/>
        <w:t>a decision of the Commissioner under Part IV other than a determination of the form in which an application is to be made;</w:t>
      </w:r>
    </w:p>
    <w:p>
      <w:pPr>
        <w:pStyle w:val="Defpara"/>
        <w:spacing w:before="70"/>
      </w:pPr>
      <w:r>
        <w:tab/>
        <w:t>(c)</w:t>
      </w:r>
      <w:r>
        <w:tab/>
        <w:t>a decision of the Commissioner under section 56;</w:t>
      </w:r>
    </w:p>
    <w:p>
      <w:pPr>
        <w:pStyle w:val="Defpara"/>
        <w:spacing w:before="70"/>
      </w:pPr>
      <w:r>
        <w:tab/>
        <w:t>(d)</w:t>
      </w:r>
      <w:r>
        <w:tab/>
        <w:t>a decision of the Commissioner under Part VI;</w:t>
      </w:r>
    </w:p>
    <w:p>
      <w:pPr>
        <w:pStyle w:val="Defpara"/>
        <w:spacing w:before="70"/>
      </w:pPr>
      <w:r>
        <w:tab/>
        <w:t>(e)</w:t>
      </w:r>
      <w:r>
        <w:tab/>
        <w:t>a decision of the chief executive officer under section 116 or 117.</w:t>
      </w:r>
    </w:p>
    <w:p>
      <w:pPr>
        <w:pStyle w:val="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pPr>
        <w:pStyle w:val="Defpara"/>
      </w:pPr>
      <w:r>
        <w:tab/>
        <w:t>(a)</w:t>
      </w:r>
      <w:r>
        <w:tab/>
        <w:t>may be made on or after that commencement by the Commissioner; and</w:t>
      </w:r>
    </w:p>
    <w:p>
      <w:pPr>
        <w:pStyle w:val="Defpara"/>
      </w:pPr>
      <w:r>
        <w:tab/>
        <w:t>(b)</w:t>
      </w:r>
      <w:r>
        <w:tab/>
        <w:t>is taken to be a reviewable decision for the purposes of this section.</w:t>
      </w:r>
    </w:p>
    <w:p>
      <w:pPr>
        <w:pStyle w:val="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pPr>
        <w:pStyle w:val="Subsection"/>
        <w:keepNext/>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Administrative Tribunal that began, but was not completed, before the commencement of that section.</w:t>
      </w:r>
    </w:p>
    <w:p>
      <w:pPr>
        <w:pStyle w:val="Footnotesection"/>
      </w:pPr>
      <w:r>
        <w:tab/>
        <w:t>[Section 23 inserted: No. 55 of 2004 s. 1005; amended: No. 77 of 2006 Sch. 1 cl. 147(2); No. 58 of 2010 s. 88 and 134; No. 23 of 2014 s. 69.]</w:t>
      </w:r>
    </w:p>
    <w:p>
      <w:pPr>
        <w:pStyle w:val="Heading3"/>
        <w:rPr>
          <w:snapToGrid w:val="0"/>
        </w:rPr>
      </w:pPr>
      <w:bookmarkStart w:id="12" w:name="_Toc38006432"/>
      <w:bookmarkStart w:id="13" w:name="_Toc38006629"/>
      <w:r>
        <w:rPr>
          <w:rStyle w:val="CharDivNo"/>
        </w:rPr>
        <w:t>Division 4</w:t>
      </w:r>
      <w:r>
        <w:rPr>
          <w:snapToGrid w:val="0"/>
        </w:rPr>
        <w:t> — </w:t>
      </w:r>
      <w:r>
        <w:rPr>
          <w:rStyle w:val="CharDivText"/>
        </w:rPr>
        <w:t>Advisory committees</w:t>
      </w:r>
      <w:bookmarkEnd w:id="12"/>
      <w:bookmarkEnd w:id="13"/>
    </w:p>
    <w:p>
      <w:pPr>
        <w:pStyle w:val="Footnoteheading"/>
        <w:keepNext/>
        <w:tabs>
          <w:tab w:val="clear" w:pos="879"/>
          <w:tab w:val="left" w:pos="890"/>
        </w:tabs>
      </w:pPr>
      <w:r>
        <w:tab/>
        <w:t>[Heading inserted: No. 34 of 1998 s. 9.]</w:t>
      </w:r>
    </w:p>
    <w:p>
      <w:pPr>
        <w:pStyle w:val="Heading5"/>
      </w:pPr>
      <w:bookmarkStart w:id="14" w:name="_Toc38006630"/>
      <w:r>
        <w:rPr>
          <w:rStyle w:val="CharSectno"/>
        </w:rPr>
        <w:t>23A</w:t>
      </w:r>
      <w:r>
        <w:t>.</w:t>
      </w:r>
      <w:r>
        <w:tab/>
        <w:t>Advisory committees, establishing etc.</w:t>
      </w:r>
      <w:bookmarkEnd w:id="14"/>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keepNext/>
      </w:pPr>
      <w:r>
        <w:tab/>
        <w:t>(8)</w:t>
      </w:r>
      <w:r>
        <w:tab/>
        <w:t>A member of a committee —</w:t>
      </w:r>
    </w:p>
    <w:p>
      <w:pPr>
        <w:pStyle w:val="Indenta"/>
      </w:pPr>
      <w:r>
        <w:tab/>
        <w:t>(a)</w:t>
      </w:r>
      <w:r>
        <w:tab/>
        <w:t>is to hold office for such term not exceeding 2 years as is specified in the instrument appointing the member; and</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No. 34 of 1998 s. 9; amended: No. 77 of 2006 Sch. 1 cl. 147(2); No. 39 of 2010 s. 89; No. 58 of 2010 s. 89 and 134.]</w:t>
      </w:r>
    </w:p>
    <w:p>
      <w:pPr>
        <w:pStyle w:val="Heading5"/>
      </w:pPr>
      <w:bookmarkStart w:id="15" w:name="_Toc38006631"/>
      <w:r>
        <w:rPr>
          <w:rStyle w:val="CharSectno"/>
        </w:rPr>
        <w:t>23B</w:t>
      </w:r>
      <w:r>
        <w:t>.</w:t>
      </w:r>
      <w:r>
        <w:tab/>
        <w:t>Minister may delegate s. 23A powers</w:t>
      </w:r>
      <w:bookmarkEnd w:id="15"/>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No. 34 of 1998 s. 9; amended: No. 58 of 2010 s. 134.]</w:t>
      </w:r>
    </w:p>
    <w:p>
      <w:pPr>
        <w:pStyle w:val="Heading3"/>
      </w:pPr>
      <w:bookmarkStart w:id="16" w:name="_Toc38006435"/>
      <w:bookmarkStart w:id="17" w:name="_Toc38006632"/>
      <w:r>
        <w:rPr>
          <w:rStyle w:val="CharDivNo"/>
        </w:rPr>
        <w:t>Division 5</w:t>
      </w:r>
      <w:r>
        <w:t> — </w:t>
      </w:r>
      <w:r>
        <w:rPr>
          <w:rStyle w:val="CharDivText"/>
        </w:rPr>
        <w:t>Conciliation</w:t>
      </w:r>
      <w:bookmarkEnd w:id="16"/>
      <w:bookmarkEnd w:id="17"/>
    </w:p>
    <w:p>
      <w:pPr>
        <w:pStyle w:val="Footnoteheading"/>
        <w:keepNext/>
        <w:tabs>
          <w:tab w:val="clear" w:pos="879"/>
          <w:tab w:val="left" w:pos="890"/>
        </w:tabs>
      </w:pPr>
      <w:r>
        <w:tab/>
        <w:t>[Heading inserted: No. 34 of 1998 s. 9.]</w:t>
      </w:r>
    </w:p>
    <w:p>
      <w:pPr>
        <w:pStyle w:val="Heading5"/>
      </w:pPr>
      <w:bookmarkStart w:id="18" w:name="_Toc38006633"/>
      <w:r>
        <w:rPr>
          <w:rStyle w:val="CharSectno"/>
        </w:rPr>
        <w:t>23C</w:t>
      </w:r>
      <w:r>
        <w:t>.</w:t>
      </w:r>
      <w:r>
        <w:tab/>
        <w:t>Conciliation of disputes about transactions</w:t>
      </w:r>
      <w:bookmarkEnd w:id="18"/>
    </w:p>
    <w:p>
      <w:pPr>
        <w:pStyle w:val="Subsection"/>
      </w:pPr>
      <w:r>
        <w:tab/>
        <w:t>(1)</w:t>
      </w:r>
      <w:r>
        <w:tab/>
        <w:t>The Commissioner, or a person nominated by the Commissioner, may act as a conciliator for the purposes of this section.</w:t>
      </w:r>
    </w:p>
    <w:p>
      <w:pPr>
        <w:pStyle w:val="Subsection"/>
      </w:pPr>
      <w:r>
        <w:tab/>
        <w:t>(2)</w:t>
      </w:r>
      <w:r>
        <w:tab/>
        <w:t>A conciliator’s function is to assist the parties to a transaction to resolve a dispute about the transaction by —</w:t>
      </w:r>
    </w:p>
    <w:p>
      <w:pPr>
        <w:pStyle w:val="Indenta"/>
      </w:pPr>
      <w:r>
        <w:tab/>
        <w:t>(a)</w:t>
      </w:r>
      <w:r>
        <w:tab/>
        <w:t>arranging for the parties to hold informal discussions about the dispute; and</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Evidence of anything said or admitted during the conciliation process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p>
    <w:p>
      <w:pPr>
        <w:pStyle w:val="Indenta"/>
      </w:pPr>
      <w:r>
        <w:tab/>
        <w:t>(a)</w:t>
      </w:r>
      <w:r>
        <w:tab/>
        <w:t>prevents the parties to a transaction from resolving a dispute in relation to the transaction at any time, whether through the conciliation process or not; or</w:t>
      </w:r>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No. 34 of 1998 s. 9; amended: No. 55 of 2004 s. 1020; No. 58 of 2010 s. 90.]</w:t>
      </w:r>
    </w:p>
    <w:p>
      <w:pPr>
        <w:pStyle w:val="Heading2"/>
      </w:pPr>
      <w:bookmarkStart w:id="19" w:name="_Toc38006437"/>
      <w:bookmarkStart w:id="20" w:name="_Toc38006634"/>
      <w:r>
        <w:rPr>
          <w:rStyle w:val="CharPartNo"/>
        </w:rPr>
        <w:t>Part III</w:t>
      </w:r>
      <w:r>
        <w:rPr>
          <w:rStyle w:val="CharDivNo"/>
        </w:rPr>
        <w:t> </w:t>
      </w:r>
      <w:r>
        <w:t>—</w:t>
      </w:r>
      <w:r>
        <w:rPr>
          <w:rStyle w:val="CharDivText"/>
        </w:rPr>
        <w:t> </w:t>
      </w:r>
      <w:r>
        <w:rPr>
          <w:rStyle w:val="CharPartText"/>
        </w:rPr>
        <w:t>Licensing of agents</w:t>
      </w:r>
      <w:bookmarkEnd w:id="19"/>
      <w:bookmarkEnd w:id="20"/>
    </w:p>
    <w:p>
      <w:pPr>
        <w:pStyle w:val="Heading5"/>
        <w:rPr>
          <w:snapToGrid w:val="0"/>
        </w:rPr>
      </w:pPr>
      <w:bookmarkStart w:id="21" w:name="_Toc38006635"/>
      <w:r>
        <w:rPr>
          <w:rStyle w:val="CharSectno"/>
        </w:rPr>
        <w:t>24</w:t>
      </w:r>
      <w:r>
        <w:rPr>
          <w:snapToGrid w:val="0"/>
        </w:rPr>
        <w:t>.</w:t>
      </w:r>
      <w:r>
        <w:rPr>
          <w:snapToGrid w:val="0"/>
        </w:rPr>
        <w:tab/>
        <w:t>Applications for licences</w:t>
      </w:r>
      <w:bookmarkEnd w:id="21"/>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 No. 58 of 2010 s. 91 and 134; No. 23 of 2014 s. 70; No. 44 of 2016 s. 30.]</w:t>
      </w:r>
    </w:p>
    <w:p>
      <w:pPr>
        <w:pStyle w:val="Ednotesection"/>
      </w:pPr>
      <w:r>
        <w:t>[</w:t>
      </w:r>
      <w:r>
        <w:rPr>
          <w:b/>
        </w:rPr>
        <w:t>25.</w:t>
      </w:r>
      <w:r>
        <w:tab/>
        <w:t>Deleted: No. 23 of 2014 s. 71.]</w:t>
      </w:r>
    </w:p>
    <w:p>
      <w:pPr>
        <w:pStyle w:val="Heading5"/>
        <w:rPr>
          <w:snapToGrid w:val="0"/>
        </w:rPr>
      </w:pPr>
      <w:bookmarkStart w:id="22" w:name="_Toc38006636"/>
      <w:r>
        <w:rPr>
          <w:rStyle w:val="CharSectno"/>
        </w:rPr>
        <w:t>26</w:t>
      </w:r>
      <w:r>
        <w:rPr>
          <w:snapToGrid w:val="0"/>
        </w:rPr>
        <w:t>.</w:t>
      </w:r>
      <w:r>
        <w:rPr>
          <w:snapToGrid w:val="0"/>
        </w:rPr>
        <w:tab/>
        <w:t>Real estate agents and business agents must be licensed</w:t>
      </w:r>
      <w:bookmarkEnd w:id="22"/>
    </w:p>
    <w:p>
      <w:pPr>
        <w:pStyle w:val="Subsection"/>
        <w:rPr>
          <w:snapToGrid w:val="0"/>
        </w:rPr>
      </w:pPr>
      <w:r>
        <w:tab/>
        <w:t>(1)</w:t>
      </w:r>
      <w:r>
        <w:tab/>
        <w:t>On</w:t>
      </w:r>
      <w:r>
        <w:rPr>
          <w:snapToGrid w:val="0"/>
        </w:rPr>
        <w:t xml:space="preserve"> and after the appointed day</w:t>
      </w:r>
      <w:r>
        <w:rPr>
          <w:snapToGrid w:val="0"/>
          <w:vertAlign w:val="superscript"/>
        </w:rPr>
        <w:t xml:space="preserve"> 2</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r>
      <w:r>
        <w:t>Penalty for this subsection: a fine of $100 000.</w:t>
      </w:r>
    </w:p>
    <w:p>
      <w:pPr>
        <w:pStyle w:val="Subsection"/>
        <w:keepNext/>
      </w:pPr>
      <w:r>
        <w:tab/>
        <w:t>(2)</w:t>
      </w:r>
      <w:r>
        <w:tab/>
        <w:t>For subsection (1), a person is taken not to be licensed or holding a current triennial certificate in respect of the licence if the person is required to surrender a licence and triennial certificate under section 34D(2) or (3).</w:t>
      </w:r>
    </w:p>
    <w:p>
      <w:pPr>
        <w:pStyle w:val="Footnotesection"/>
      </w:pPr>
      <w:r>
        <w:tab/>
        <w:t>[Section 26 amended: No. 43 of 1994 s. 11; No. 25 of 2019 s. 40 and 62.]</w:t>
      </w:r>
    </w:p>
    <w:p>
      <w:pPr>
        <w:pStyle w:val="Heading5"/>
        <w:rPr>
          <w:snapToGrid w:val="0"/>
        </w:rPr>
      </w:pPr>
      <w:bookmarkStart w:id="23" w:name="_Toc38006637"/>
      <w:r>
        <w:rPr>
          <w:rStyle w:val="CharSectno"/>
        </w:rPr>
        <w:t>27</w:t>
      </w:r>
      <w:r>
        <w:rPr>
          <w:snapToGrid w:val="0"/>
        </w:rPr>
        <w:t>.</w:t>
      </w:r>
      <w:r>
        <w:rPr>
          <w:snapToGrid w:val="0"/>
        </w:rPr>
        <w:tab/>
        <w:t>Licensing of individuals</w:t>
      </w:r>
      <w:bookmarkEnd w:id="23"/>
    </w:p>
    <w:p>
      <w:pPr>
        <w:pStyle w:val="Subsection"/>
        <w:keepNext/>
        <w:rPr>
          <w:snapToGrid w:val="0"/>
        </w:rPr>
      </w:pPr>
      <w:r>
        <w:rPr>
          <w:snapToGrid w:val="0"/>
        </w:rPr>
        <w:tab/>
        <w:t>(1)</w:t>
      </w:r>
      <w:r>
        <w:rPr>
          <w:snapToGrid w:val="0"/>
        </w:rPr>
        <w:tab/>
        <w:t xml:space="preserve">Subject to this Act, </w:t>
      </w:r>
      <w:r>
        <w:t>an individual</w:t>
      </w:r>
      <w:r>
        <w:rPr>
          <w:snapToGrid w:val="0"/>
        </w:rPr>
        <w:t xml:space="preserv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w:t>
      </w:r>
      <w:r>
        <w:t>that the individual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 person of good character and repute and a fit and proper person to hold a licence; and</w:t>
      </w:r>
    </w:p>
    <w:p>
      <w:pPr>
        <w:pStyle w:val="Indenta"/>
        <w:rPr>
          <w:snapToGrid w:val="0"/>
        </w:rPr>
      </w:pPr>
      <w:r>
        <w:rPr>
          <w:snapToGrid w:val="0"/>
        </w:rPr>
        <w:tab/>
        <w:t>(c)</w:t>
      </w:r>
      <w:r>
        <w:rPr>
          <w:snapToGrid w:val="0"/>
        </w:rPr>
        <w:tab/>
        <w:t xml:space="preserve">has sufficient material and financial resources available </w:t>
      </w:r>
      <w:r>
        <w:t>to enable them</w:t>
      </w:r>
      <w:r>
        <w:rPr>
          <w:snapToGrid w:val="0"/>
        </w:rPr>
        <w:t xml:space="preserve"> to comply with the requirements of this Act; and</w:t>
      </w:r>
    </w:p>
    <w:p>
      <w:pPr>
        <w:pStyle w:val="Indenta"/>
        <w:rPr>
          <w:snapToGrid w:val="0"/>
        </w:rPr>
      </w:pPr>
      <w:r>
        <w:rPr>
          <w:snapToGrid w:val="0"/>
        </w:rPr>
        <w:tab/>
        <w:t>(d)</w:t>
      </w:r>
      <w:r>
        <w:rPr>
          <w:snapToGrid w:val="0"/>
        </w:rPr>
        <w:tab/>
        <w:t>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r>
        <w:t xml:space="preserve">Schedule 1 </w:t>
      </w:r>
      <w:r>
        <w:rPr>
          <w:snapToGrid w:val="0"/>
        </w:rPr>
        <w:t>but subject to the savings and exceptions provided in this Act.</w:t>
      </w:r>
    </w:p>
    <w:p>
      <w:pPr>
        <w:pStyle w:val="Footnotesection"/>
      </w:pPr>
      <w:r>
        <w:tab/>
        <w:t>[Section 27 amended: No. 58 of 2010 s. 134; No. 23 of 2014 s. 72; No. 25 of 2918 s. 41.]</w:t>
      </w:r>
    </w:p>
    <w:p>
      <w:pPr>
        <w:pStyle w:val="Heading5"/>
        <w:rPr>
          <w:snapToGrid w:val="0"/>
        </w:rPr>
      </w:pPr>
      <w:bookmarkStart w:id="24" w:name="_Toc38006638"/>
      <w:r>
        <w:rPr>
          <w:rStyle w:val="CharSectno"/>
        </w:rPr>
        <w:t>28</w:t>
      </w:r>
      <w:r>
        <w:rPr>
          <w:snapToGrid w:val="0"/>
        </w:rPr>
        <w:t>.</w:t>
      </w:r>
      <w:r>
        <w:rPr>
          <w:snapToGrid w:val="0"/>
        </w:rPr>
        <w:tab/>
        <w:t>Firms, licensing of</w:t>
      </w:r>
      <w:bookmarkEnd w:id="24"/>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r>
        <w:tab/>
        <w:t>[Section 28 amended: No. 58 of 2010 s. 134.]</w:t>
      </w:r>
    </w:p>
    <w:p>
      <w:pPr>
        <w:pStyle w:val="Heading5"/>
        <w:rPr>
          <w:snapToGrid w:val="0"/>
        </w:rPr>
      </w:pPr>
      <w:bookmarkStart w:id="25" w:name="_Toc38006639"/>
      <w:r>
        <w:rPr>
          <w:rStyle w:val="CharSectno"/>
        </w:rPr>
        <w:t>29</w:t>
      </w:r>
      <w:r>
        <w:rPr>
          <w:snapToGrid w:val="0"/>
        </w:rPr>
        <w:t>.</w:t>
      </w:r>
      <w:r>
        <w:rPr>
          <w:snapToGrid w:val="0"/>
        </w:rPr>
        <w:tab/>
        <w:t>Bodies corporate, licensing of</w:t>
      </w:r>
      <w:bookmarkEnd w:id="25"/>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it has sufficient material and financial resources available to it to comply with the requirements of this Act; and</w:t>
      </w:r>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r>
        <w:tab/>
        <w:t>[Section 29 amended: No. 58 of 2010 s. 134; No. 25 of 2019 s. 42.]</w:t>
      </w:r>
    </w:p>
    <w:p>
      <w:pPr>
        <w:pStyle w:val="Heading5"/>
        <w:spacing w:before="180"/>
        <w:rPr>
          <w:snapToGrid w:val="0"/>
        </w:rPr>
      </w:pPr>
      <w:bookmarkStart w:id="26" w:name="_Toc38006640"/>
      <w:r>
        <w:rPr>
          <w:rStyle w:val="CharSectno"/>
        </w:rPr>
        <w:t>30</w:t>
      </w:r>
      <w:r>
        <w:rPr>
          <w:snapToGrid w:val="0"/>
        </w:rPr>
        <w:t>.</w:t>
      </w:r>
      <w:r>
        <w:rPr>
          <w:snapToGrid w:val="0"/>
        </w:rPr>
        <w:tab/>
        <w:t>Licence, effect of</w:t>
      </w:r>
      <w:bookmarkEnd w:id="26"/>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Ednotesubsection"/>
      </w:pPr>
      <w:r>
        <w:tab/>
        <w:t>[(3), (4)</w:t>
      </w:r>
      <w:r>
        <w:tab/>
        <w:t>deleted]</w:t>
      </w:r>
    </w:p>
    <w:p>
      <w:pPr>
        <w:pStyle w:val="Footnotesection"/>
        <w:spacing w:before="80"/>
        <w:ind w:left="890" w:hanging="890"/>
      </w:pPr>
      <w:r>
        <w:tab/>
        <w:t>[Section 30 amended: No. 74 of 1980 s. 5; No. 56 of 1995 s. 40; No. 55 of 2004 s. 1006; No. 58 of 2010 s. 134; No. 25 of 2019 s. 43.]</w:t>
      </w:r>
    </w:p>
    <w:p>
      <w:pPr>
        <w:pStyle w:val="Heading5"/>
        <w:rPr>
          <w:snapToGrid w:val="0"/>
        </w:rPr>
      </w:pPr>
      <w:bookmarkStart w:id="27" w:name="_Toc38006641"/>
      <w:r>
        <w:rPr>
          <w:rStyle w:val="CharSectno"/>
        </w:rPr>
        <w:t>31</w:t>
      </w:r>
      <w:r>
        <w:rPr>
          <w:snapToGrid w:val="0"/>
        </w:rPr>
        <w:t>.</w:t>
      </w:r>
      <w:r>
        <w:rPr>
          <w:snapToGrid w:val="0"/>
        </w:rPr>
        <w:tab/>
        <w:t>Licensee’s triennial certificate: grant and renewal</w:t>
      </w:r>
      <w:bookmarkEnd w:id="27"/>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 xml:space="preserve">by the licensee, if the licensee is </w:t>
      </w:r>
      <w:r>
        <w:t>an individual;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pPr>
      <w:r>
        <w:tab/>
        <w:t>(3)</w:t>
      </w:r>
      <w:r>
        <w:tab/>
        <w:t>The Commissioner must not renew a licensee’s triennial certificate unless the Commissioner is satisfied of the matters in —</w:t>
      </w:r>
    </w:p>
    <w:p>
      <w:pPr>
        <w:pStyle w:val="Indenta"/>
      </w:pPr>
      <w:r>
        <w:tab/>
        <w:t>(a)</w:t>
      </w:r>
      <w:r>
        <w:tab/>
        <w:t>for an individual — section 27(1)(b), (c) and (d); or</w:t>
      </w:r>
    </w:p>
    <w:p>
      <w:pPr>
        <w:pStyle w:val="Indenta"/>
      </w:pPr>
      <w:r>
        <w:tab/>
        <w:t>(b)</w:t>
      </w:r>
      <w:r>
        <w:tab/>
        <w:t xml:space="preserve">for a firm — section 28(a), (b), (c) and (d); or </w:t>
      </w:r>
    </w:p>
    <w:p>
      <w:pPr>
        <w:pStyle w:val="Indenta"/>
      </w:pPr>
      <w:r>
        <w:tab/>
        <w:t>(c)</w:t>
      </w:r>
      <w:r>
        <w:tab/>
        <w:t xml:space="preserve">for a body corporate — section 29(a), (b), (c) and (d). </w:t>
      </w:r>
    </w:p>
    <w:p>
      <w:pPr>
        <w:pStyle w:val="Footnotesection"/>
      </w:pPr>
      <w:r>
        <w:tab/>
        <w:t>[Section 31 amended: No. 34 of 1998 s. 10; No. 55 of 2004 s. 1007; No. 58 of 2010 s. 134; No. 25 of 2019 s. 44.]</w:t>
      </w:r>
    </w:p>
    <w:p>
      <w:pPr>
        <w:pStyle w:val="Heading5"/>
        <w:rPr>
          <w:snapToGrid w:val="0"/>
        </w:rPr>
      </w:pPr>
      <w:bookmarkStart w:id="28" w:name="_Toc38006642"/>
      <w:r>
        <w:rPr>
          <w:rStyle w:val="CharSectno"/>
        </w:rPr>
        <w:t>32</w:t>
      </w:r>
      <w:r>
        <w:rPr>
          <w:snapToGrid w:val="0"/>
        </w:rPr>
        <w:t>.</w:t>
      </w:r>
      <w:r>
        <w:rPr>
          <w:snapToGrid w:val="0"/>
        </w:rPr>
        <w:tab/>
        <w:t>Licensee’s triennial certificate: late renewal</w:t>
      </w:r>
      <w:bookmarkEnd w:id="28"/>
    </w:p>
    <w:p>
      <w:pPr>
        <w:pStyle w:val="Subsection"/>
        <w:rPr>
          <w:snapToGrid w:val="0"/>
        </w:rPr>
      </w:pPr>
      <w:r>
        <w:rPr>
          <w:snapToGrid w:val="0"/>
        </w:rPr>
        <w:tab/>
        <w:t>(1)</w:t>
      </w:r>
      <w:r>
        <w:rPr>
          <w:snapToGrid w:val="0"/>
        </w:rPr>
        <w:tab/>
      </w:r>
      <w:r>
        <w:t>If a licensee’s</w:t>
      </w:r>
      <w:r>
        <w:rPr>
          <w:snapToGrid w:val="0"/>
        </w:rPr>
        <w:t xml:space="preserve"> triennial certificate is renewed within the period of one month immediately succeeding the day on which the triennial certificate </w:t>
      </w:r>
      <w:r>
        <w:t>expired or was surrendered, the renewal takes effect</w:t>
      </w:r>
      <w:r>
        <w:rPr>
          <w:snapToGrid w:val="0"/>
        </w:rPr>
        <w:t xml:space="preserve"> on and from the day next succeeding the day on which the triennial certificate </w:t>
      </w:r>
      <w:r>
        <w:t>expired or was surrendered.</w:t>
      </w:r>
    </w:p>
    <w:p>
      <w:pPr>
        <w:pStyle w:val="Subsection"/>
        <w:rPr>
          <w:snapToGrid w:val="0"/>
        </w:rPr>
      </w:pPr>
      <w:r>
        <w:tab/>
        <w:t>(2)</w:t>
      </w:r>
      <w:r>
        <w:tab/>
        <w:t xml:space="preserve">If a licensee’s triennial certificate is renewed more than 1 month but not more than 12 months after the day </w:t>
      </w:r>
      <w:r>
        <w:rPr>
          <w:snapToGrid w:val="0"/>
        </w:rPr>
        <w:t xml:space="preserve">on which the triennial certificate expired or was surrendered, the renewal takes effect — </w:t>
      </w:r>
    </w:p>
    <w:p>
      <w:pPr>
        <w:pStyle w:val="Indenta"/>
      </w:pPr>
      <w:r>
        <w:tab/>
        <w:t>(a)</w:t>
      </w:r>
      <w:r>
        <w:tab/>
        <w:t>if the Commissioner is satisfied that there is reasonable cause for the renewal to take effect on and from the day after the day on which the triennial certificate expired or was surrendered — on that day; or</w:t>
      </w:r>
    </w:p>
    <w:p>
      <w:pPr>
        <w:pStyle w:val="Indenta"/>
      </w:pPr>
      <w:r>
        <w:tab/>
        <w:t>(b)</w:t>
      </w:r>
      <w:r>
        <w:tab/>
        <w:t>otherwise — on the day the renewal is granted.</w:t>
      </w:r>
    </w:p>
    <w:p>
      <w:pPr>
        <w:pStyle w:val="Footnotesection"/>
      </w:pPr>
      <w:r>
        <w:tab/>
        <w:t>[Section 32 amended: No. 58 of 2010 s. 134; No. 25 of 2019 s. 45.]</w:t>
      </w:r>
    </w:p>
    <w:p>
      <w:pPr>
        <w:pStyle w:val="Heading5"/>
        <w:rPr>
          <w:snapToGrid w:val="0"/>
        </w:rPr>
      </w:pPr>
      <w:bookmarkStart w:id="29" w:name="_Toc38006643"/>
      <w:r>
        <w:rPr>
          <w:rStyle w:val="CharSectno"/>
        </w:rPr>
        <w:t>33</w:t>
      </w:r>
      <w:r>
        <w:rPr>
          <w:snapToGrid w:val="0"/>
        </w:rPr>
        <w:t>.</w:t>
      </w:r>
      <w:r>
        <w:rPr>
          <w:snapToGrid w:val="0"/>
        </w:rPr>
        <w:tab/>
        <w:t>Licensee’s triennial certificate: late renewal after 12 months</w:t>
      </w:r>
      <w:bookmarkEnd w:id="29"/>
    </w:p>
    <w:p>
      <w:pPr>
        <w:pStyle w:val="Subsection"/>
      </w:pPr>
      <w:r>
        <w:tab/>
        <w:t>(1)</w:t>
      </w:r>
      <w:r>
        <w:tab/>
        <w:t xml:space="preserve">This section applies if — </w:t>
      </w:r>
    </w:p>
    <w:p>
      <w:pPr>
        <w:pStyle w:val="Indenta"/>
      </w:pPr>
      <w:r>
        <w:tab/>
        <w:t>(a)</w:t>
      </w:r>
      <w:r>
        <w:tab/>
        <w:t xml:space="preserve">a licensee’s triennial certificate expires or was surrendered; and </w:t>
      </w:r>
    </w:p>
    <w:p>
      <w:pPr>
        <w:pStyle w:val="Indenta"/>
      </w:pPr>
      <w:r>
        <w:tab/>
        <w:t>(b)</w:t>
      </w:r>
      <w:r>
        <w:tab/>
        <w:t xml:space="preserve">the licensee applies to renew the certificate more than 12 months after the day </w:t>
      </w:r>
      <w:r>
        <w:rPr>
          <w:snapToGrid w:val="0"/>
        </w:rPr>
        <w:t xml:space="preserve">on which the triennial certificate expired </w:t>
      </w:r>
      <w:r>
        <w:t>or was surrendered.</w:t>
      </w:r>
    </w:p>
    <w:p>
      <w:pPr>
        <w:pStyle w:val="Subsection"/>
        <w:rPr>
          <w:snapToGrid w:val="0"/>
        </w:rPr>
      </w:pPr>
      <w:r>
        <w:rPr>
          <w:snapToGrid w:val="0"/>
        </w:rPr>
        <w:tab/>
        <w:t>(2)</w:t>
      </w:r>
      <w:r>
        <w:rPr>
          <w:snapToGrid w:val="0"/>
        </w:rPr>
        <w:tab/>
      </w:r>
      <w:r>
        <w:t>The application for renewal must</w:t>
      </w:r>
      <w:r>
        <w:rPr>
          <w:snapToGrid w:val="0"/>
        </w:rPr>
        <w:t xml:space="preserve">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[(3)</w:t>
      </w:r>
      <w:r>
        <w:tab/>
        <w:t>deleted]</w:t>
      </w:r>
    </w:p>
    <w:p>
      <w:pPr>
        <w:pStyle w:val="Subsection"/>
        <w:rPr>
          <w:snapToGrid w:val="0"/>
        </w:rPr>
      </w:pPr>
      <w:r>
        <w:rPr>
          <w:snapToGrid w:val="0"/>
        </w:rPr>
        <w:tab/>
        <w:t>(4)</w:t>
      </w:r>
      <w:r>
        <w:rPr>
          <w:snapToGrid w:val="0"/>
        </w:rPr>
        <w:tab/>
        <w:t xml:space="preserve">In respect of any particular application the </w:t>
      </w:r>
      <w:r>
        <w:t>licensee must</w:t>
      </w:r>
      <w:r>
        <w:rPr>
          <w:snapToGrid w:val="0"/>
        </w:rPr>
        <w:t xml:space="preserve">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(5)</w:t>
      </w:r>
      <w:r>
        <w:tab/>
        <w:t>If the Commissioner is considering making an adverse decision in relation to the application, the Commissioner must give the licensee the opportunity to give additional information in relation to that application.</w:t>
      </w:r>
    </w:p>
    <w:p>
      <w:pPr>
        <w:pStyle w:val="Subsection"/>
        <w:rPr>
          <w:snapToGrid w:val="0"/>
        </w:rPr>
      </w:pPr>
      <w:r>
        <w:tab/>
        <w:t>(6)</w:t>
      </w:r>
      <w:r>
        <w:tab/>
        <w:t>If the triennial certificate is renewed</w:t>
      </w:r>
      <w:r>
        <w:rPr>
          <w:snapToGrid w:val="0"/>
        </w:rPr>
        <w:t>, the renewal takes effect </w:t>
      </w:r>
      <w:r>
        <w:t>on the day the renewal is granted.</w:t>
      </w:r>
    </w:p>
    <w:p>
      <w:pPr>
        <w:pStyle w:val="Footnotesection"/>
      </w:pPr>
      <w:r>
        <w:tab/>
        <w:t>[Section 33 amended: No. 58 of 2010 s. 93 and 134; No. 44 of 2016 s. 31; No. 25 of 2019 s. 46.]</w:t>
      </w:r>
    </w:p>
    <w:p>
      <w:pPr>
        <w:pStyle w:val="Heading5"/>
      </w:pPr>
      <w:bookmarkStart w:id="30" w:name="_Toc38006644"/>
      <w:r>
        <w:rPr>
          <w:rStyle w:val="CharSectno"/>
        </w:rPr>
        <w:t>34</w:t>
      </w:r>
      <w:r>
        <w:t>.</w:t>
      </w:r>
      <w:r>
        <w:tab/>
        <w:t>Conditions on licences and triennial certificates</w:t>
      </w:r>
      <w:bookmarkEnd w:id="30"/>
    </w:p>
    <w:p>
      <w:pPr>
        <w:pStyle w:val="Subsection"/>
      </w:pPr>
      <w:r>
        <w:tab/>
        <w:t>(1)</w:t>
      </w:r>
      <w:r>
        <w:tab/>
        <w:t xml:space="preserve">It is a condition of every licence that the licensee must comply with the provisions of this Act and the code of conduct for agents. </w:t>
      </w:r>
    </w:p>
    <w:p>
      <w:pPr>
        <w:pStyle w:val="Subsection"/>
      </w:pPr>
      <w:r>
        <w:tab/>
        <w:t>(2)</w:t>
      </w:r>
      <w:r>
        <w:tab/>
        <w:t>It is a condition of every licence that the licensee must comply with any special condition to which the licensee’s licence or triennial certificate is subject under section 34AA.</w:t>
      </w:r>
    </w:p>
    <w:p>
      <w:pPr>
        <w:pStyle w:val="Footnotesection"/>
      </w:pPr>
      <w:r>
        <w:tab/>
        <w:t>[Section 34 inserted: No. 25 of 2019 s. 47.]</w:t>
      </w:r>
    </w:p>
    <w:p>
      <w:pPr>
        <w:pStyle w:val="Heading5"/>
      </w:pPr>
      <w:bookmarkStart w:id="31" w:name="_Toc38006645"/>
      <w:r>
        <w:rPr>
          <w:rStyle w:val="CharSectno"/>
        </w:rPr>
        <w:t>34AA</w:t>
      </w:r>
      <w:r>
        <w:t>.</w:t>
      </w:r>
      <w:r>
        <w:tab/>
        <w:t>Imposing special conditions on licences or triennial certificates</w:t>
      </w:r>
      <w:bookmarkEnd w:id="31"/>
    </w:p>
    <w:p>
      <w:pPr>
        <w:pStyle w:val="Subsection"/>
        <w:keepNext/>
      </w:pPr>
      <w:r>
        <w:tab/>
        <w:t>(1)</w:t>
      </w:r>
      <w:r>
        <w:tab/>
        <w:t xml:space="preserve">In this section — </w:t>
      </w:r>
    </w:p>
    <w:p>
      <w:pPr>
        <w:pStyle w:val="Defstart"/>
      </w:pPr>
      <w:r>
        <w:tab/>
      </w:r>
      <w:r>
        <w:rPr>
          <w:rStyle w:val="CharDefText"/>
        </w:rPr>
        <w:t>licensee</w:t>
      </w:r>
      <w:r>
        <w:t xml:space="preserve"> includes an applicant for a licence.</w:t>
      </w:r>
    </w:p>
    <w:p>
      <w:pPr>
        <w:pStyle w:val="Subsection"/>
      </w:pPr>
      <w:r>
        <w:tab/>
        <w:t>(2)</w:t>
      </w:r>
      <w:r>
        <w:tab/>
        <w:t xml:space="preserve">The Commissioner may, at any time, impose a special condition on a licence or triennial certificate. </w:t>
      </w:r>
    </w:p>
    <w:p>
      <w:pPr>
        <w:pStyle w:val="Subsection"/>
      </w:pPr>
      <w:r>
        <w:tab/>
        <w:t>(3)</w:t>
      </w:r>
      <w:r>
        <w:tab/>
        <w:t xml:space="preserve">Before imposing a special condition on a licence or triennial certificate, the Commissioner must — </w:t>
      </w:r>
    </w:p>
    <w:p>
      <w:pPr>
        <w:pStyle w:val="Indenta"/>
      </w:pPr>
      <w:r>
        <w:tab/>
        <w:t>(a)</w:t>
      </w:r>
      <w:r>
        <w:tab/>
        <w:t xml:space="preserve">give a licensee notice in writing setting out — </w:t>
      </w:r>
    </w:p>
    <w:p>
      <w:pPr>
        <w:pStyle w:val="Indenti"/>
      </w:pPr>
      <w:r>
        <w:tab/>
        <w:t>(i)</w:t>
      </w:r>
      <w:r>
        <w:tab/>
        <w:t>that the Commissioner proposes to impose the special condition; and</w:t>
      </w:r>
    </w:p>
    <w:p>
      <w:pPr>
        <w:pStyle w:val="Indenti"/>
      </w:pPr>
      <w:r>
        <w:tab/>
        <w:t>(ii)</w:t>
      </w:r>
      <w:r>
        <w:tab/>
        <w:t>the reasons for the proposed decision; and</w:t>
      </w:r>
    </w:p>
    <w:p>
      <w:pPr>
        <w:pStyle w:val="Indenti"/>
      </w:pPr>
      <w:r>
        <w:tab/>
        <w:t>(iii)</w:t>
      </w:r>
      <w:r>
        <w:tab/>
        <w:t>that the licensee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(4)</w:t>
      </w:r>
      <w:r>
        <w:tab/>
        <w:t xml:space="preserve">After making a decision under subsection (2), the Commissioner must — </w:t>
      </w:r>
    </w:p>
    <w:p>
      <w:pPr>
        <w:pStyle w:val="Indenta"/>
      </w:pPr>
      <w:r>
        <w:tab/>
        <w:t>(a)</w:t>
      </w:r>
      <w:r>
        <w:tab/>
        <w:t>notify the licensee of the Commissioner’s decision; and</w:t>
      </w:r>
    </w:p>
    <w:p>
      <w:pPr>
        <w:pStyle w:val="Indenta"/>
      </w:pPr>
      <w:r>
        <w:tab/>
        <w:t>(b)</w:t>
      </w:r>
      <w:r>
        <w:tab/>
        <w:t xml:space="preserve">if the decision is to impose a special condition on the licence or triennial certificate, give the licensee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34AA inserted: No. 25 of 2019 s. 47.]</w:t>
      </w:r>
    </w:p>
    <w:p>
      <w:pPr>
        <w:pStyle w:val="Heading5"/>
      </w:pPr>
      <w:bookmarkStart w:id="32" w:name="_Toc38006646"/>
      <w:r>
        <w:rPr>
          <w:rStyle w:val="CharSectno"/>
        </w:rPr>
        <w:t>34AB</w:t>
      </w:r>
      <w:r>
        <w:t>.</w:t>
      </w:r>
      <w:r>
        <w:tab/>
        <w:t>Removing special conditions on licences or triennial certificates</w:t>
      </w:r>
      <w:bookmarkEnd w:id="32"/>
    </w:p>
    <w:p>
      <w:pPr>
        <w:pStyle w:val="Subsection"/>
      </w:pPr>
      <w:r>
        <w:tab/>
        <w:t>(1)</w:t>
      </w:r>
      <w:r>
        <w:tab/>
        <w:t xml:space="preserve">The Commissioner may remove a special condition imposed on a licensee’s licence or triennial certificate — </w:t>
      </w:r>
    </w:p>
    <w:p>
      <w:pPr>
        <w:pStyle w:val="Indenta"/>
      </w:pPr>
      <w:r>
        <w:tab/>
        <w:t>(a)</w:t>
      </w:r>
      <w:r>
        <w:tab/>
        <w:t>at any time; or</w:t>
      </w:r>
    </w:p>
    <w:p>
      <w:pPr>
        <w:pStyle w:val="Indenta"/>
      </w:pPr>
      <w:r>
        <w:tab/>
        <w:t>(b)</w:t>
      </w:r>
      <w:r>
        <w:tab/>
        <w:t>on application by the licensee.</w:t>
      </w:r>
    </w:p>
    <w:p>
      <w:pPr>
        <w:pStyle w:val="Subsection"/>
      </w:pPr>
      <w:r>
        <w:tab/>
        <w:t>(2)</w:t>
      </w:r>
      <w:r>
        <w:tab/>
        <w:t xml:space="preserve">If a licensee makes an application under subsection (1)(b), the Commissioner must, before deciding not to remove the special condition on the licensee’s licence or triennial certificate — </w:t>
      </w:r>
    </w:p>
    <w:p>
      <w:pPr>
        <w:pStyle w:val="Indenta"/>
      </w:pPr>
      <w:r>
        <w:tab/>
        <w:t>(a)</w:t>
      </w:r>
      <w:r>
        <w:tab/>
        <w:t xml:space="preserve">give the licensee notice in writing setting out — </w:t>
      </w:r>
    </w:p>
    <w:p>
      <w:pPr>
        <w:pStyle w:val="Indenti"/>
      </w:pPr>
      <w:r>
        <w:tab/>
        <w:t>(i)</w:t>
      </w:r>
      <w:r>
        <w:tab/>
        <w:t>that the Commissioner proposes to make a decision not to remove the special condition; and</w:t>
      </w:r>
    </w:p>
    <w:p>
      <w:pPr>
        <w:pStyle w:val="Indenti"/>
      </w:pPr>
      <w:r>
        <w:tab/>
        <w:t>(ii)</w:t>
      </w:r>
      <w:r>
        <w:tab/>
        <w:t>the reasons for the proposed decision; and</w:t>
      </w:r>
    </w:p>
    <w:p>
      <w:pPr>
        <w:pStyle w:val="Indenti"/>
      </w:pPr>
      <w:r>
        <w:tab/>
        <w:t>(iii)</w:t>
      </w:r>
      <w:r>
        <w:tab/>
        <w:t>that the licensee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(3)</w:t>
      </w:r>
      <w:r>
        <w:tab/>
        <w:t>After making a decision on an application by a licensee, the Commissioner must —</w:t>
      </w:r>
    </w:p>
    <w:p>
      <w:pPr>
        <w:pStyle w:val="Indenta"/>
      </w:pPr>
      <w:r>
        <w:tab/>
        <w:t>(a)</w:t>
      </w:r>
      <w:r>
        <w:tab/>
        <w:t>notify the licensee of the Commissioner’s decision; and</w:t>
      </w:r>
    </w:p>
    <w:p>
      <w:pPr>
        <w:pStyle w:val="Indenta"/>
      </w:pPr>
      <w:r>
        <w:tab/>
        <w:t>(b)</w:t>
      </w:r>
      <w:r>
        <w:tab/>
        <w:t xml:space="preserve">if the decision is to not remove the special condition, give the licensee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34AB inserted: No. 25 of 2019 s. 47.]</w:t>
      </w:r>
    </w:p>
    <w:p>
      <w:pPr>
        <w:pStyle w:val="Heading5"/>
      </w:pPr>
      <w:bookmarkStart w:id="33" w:name="_Toc38006647"/>
      <w:r>
        <w:rPr>
          <w:rStyle w:val="CharSectno"/>
        </w:rPr>
        <w:t>34A</w:t>
      </w:r>
      <w:r>
        <w:rPr>
          <w:snapToGrid w:val="0"/>
        </w:rPr>
        <w:t>.</w:t>
      </w:r>
      <w:r>
        <w:tab/>
        <w:t>Commissioner may grant licence or triennial certificate without notice to applicant</w:t>
      </w:r>
      <w:bookmarkEnd w:id="33"/>
    </w:p>
    <w:p>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pPr>
      <w:r>
        <w:tab/>
        <w:t>[Section 34A inserted: No. 55 of 2004 s. 1008; amended: No. 58 of 2010 s. 94 and 134; No. 23 of 2014 s. 73.]</w:t>
      </w:r>
    </w:p>
    <w:p>
      <w:pPr>
        <w:pStyle w:val="Heading5"/>
      </w:pPr>
      <w:bookmarkStart w:id="34" w:name="_Toc38006648"/>
      <w:r>
        <w:rPr>
          <w:rStyle w:val="CharSectno"/>
        </w:rPr>
        <w:t>34B</w:t>
      </w:r>
      <w:r>
        <w:t>.</w:t>
      </w:r>
      <w:r>
        <w:tab/>
        <w:t>SAT may suspend licence in some cases</w:t>
      </w:r>
      <w:bookmarkEnd w:id="3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No. 55 of 2004 s. 1008.]</w:t>
      </w:r>
    </w:p>
    <w:p>
      <w:pPr>
        <w:pStyle w:val="Heading5"/>
      </w:pPr>
      <w:bookmarkStart w:id="35" w:name="_Toc38006649"/>
      <w:r>
        <w:rPr>
          <w:rStyle w:val="CharSectno"/>
        </w:rPr>
        <w:t>34C</w:t>
      </w:r>
      <w:r>
        <w:t>.</w:t>
      </w:r>
      <w:r>
        <w:tab/>
        <w:t>Licensee may surrender licence and triennial certificate</w:t>
      </w:r>
      <w:bookmarkEnd w:id="35"/>
    </w:p>
    <w:p>
      <w:pPr>
        <w:pStyle w:val="Subsection"/>
      </w:pPr>
      <w:r>
        <w:tab/>
      </w:r>
      <w:r>
        <w:tab/>
        <w:t>A licensee may surrender the licensee’s triennial certificate, or licence and triennial certificate held in respect of the licence, at any time.</w:t>
      </w:r>
    </w:p>
    <w:p>
      <w:pPr>
        <w:pStyle w:val="Footnotesection"/>
      </w:pPr>
      <w:r>
        <w:tab/>
        <w:t>[Section 34C inserted: No. 25 of 2019 s. 48.]</w:t>
      </w:r>
    </w:p>
    <w:p>
      <w:pPr>
        <w:pStyle w:val="Heading5"/>
      </w:pPr>
      <w:bookmarkStart w:id="36" w:name="_Toc38006650"/>
      <w:r>
        <w:rPr>
          <w:rStyle w:val="CharSectno"/>
        </w:rPr>
        <w:t>34D</w:t>
      </w:r>
      <w:r>
        <w:t>.</w:t>
      </w:r>
      <w:r>
        <w:tab/>
        <w:t>Firm or body corporate must surrender licence and triennial certificate in certain circumstances</w:t>
      </w:r>
      <w:bookmarkEnd w:id="36"/>
    </w:p>
    <w:p>
      <w:pPr>
        <w:pStyle w:val="Subsection"/>
      </w:pPr>
      <w:r>
        <w:tab/>
        <w:t>(1)</w:t>
      </w:r>
      <w:r>
        <w:tab/>
        <w:t>This section applies to a licensee that is a firm or body corporate if paragraph (c) or (d) of section 28 or 29 (as is relevant) ceases to apply in relation to the licensee.</w:t>
      </w:r>
    </w:p>
    <w:p>
      <w:pPr>
        <w:pStyle w:val="Subsection"/>
      </w:pPr>
      <w:r>
        <w:tab/>
        <w:t>(2)</w:t>
      </w:r>
      <w:r>
        <w:tab/>
        <w:t>The licensee must, within 5 days after the day on which the paragraph ceased to apply to the licensee, surrender the licensee’s licence and triennial certificate held in respect of the licence, unless the licensee is carrying on business under Schedule 1 clause 6.</w:t>
      </w:r>
    </w:p>
    <w:p>
      <w:pPr>
        <w:pStyle w:val="Subsection"/>
      </w:pPr>
      <w:r>
        <w:tab/>
        <w:t>(3)</w:t>
      </w:r>
      <w:r>
        <w:tab/>
        <w:t>If a licensee carries on business under Schedule 1 clause 6 then, at the end of the period referred to in that clause, the licensee must immediately surrender the licensee’s licence and triennial certificate unless the licensee satisfies section 28(c) and (d) or section 29(c) and (d) (as is relevant).</w:t>
      </w:r>
    </w:p>
    <w:p>
      <w:pPr>
        <w:pStyle w:val="Footnotesection"/>
      </w:pPr>
      <w:r>
        <w:tab/>
        <w:t>[Section 34D inserted: No. 25 of 2019 s. 48.]</w:t>
      </w:r>
    </w:p>
    <w:p>
      <w:pPr>
        <w:pStyle w:val="Heading5"/>
        <w:rPr>
          <w:snapToGrid w:val="0"/>
        </w:rPr>
      </w:pPr>
      <w:bookmarkStart w:id="37" w:name="_Toc38006651"/>
      <w:r>
        <w:rPr>
          <w:rStyle w:val="CharSectno"/>
        </w:rPr>
        <w:t>35</w:t>
      </w:r>
      <w:r>
        <w:rPr>
          <w:snapToGrid w:val="0"/>
        </w:rPr>
        <w:t>.</w:t>
      </w:r>
      <w:r>
        <w:rPr>
          <w:snapToGrid w:val="0"/>
        </w:rPr>
        <w:tab/>
      </w:r>
      <w:r>
        <w:t>Licensee to notify Commissioner when commencing or ceasing business</w:t>
      </w:r>
      <w:bookmarkEnd w:id="37"/>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r>
        <w:tab/>
        <w:t>[Section 35 amended: No. 58 of 2010 s. 134.]</w:t>
      </w:r>
    </w:p>
    <w:p>
      <w:pPr>
        <w:pStyle w:val="Heading5"/>
        <w:rPr>
          <w:snapToGrid w:val="0"/>
        </w:rPr>
      </w:pPr>
      <w:bookmarkStart w:id="38" w:name="_Toc38006652"/>
      <w:r>
        <w:rPr>
          <w:rStyle w:val="CharSectno"/>
        </w:rPr>
        <w:t>36</w:t>
      </w:r>
      <w:r>
        <w:rPr>
          <w:snapToGrid w:val="0"/>
        </w:rPr>
        <w:t>.</w:t>
      </w:r>
      <w:r>
        <w:rPr>
          <w:snapToGrid w:val="0"/>
        </w:rPr>
        <w:tab/>
        <w:t>Registered office of licensee</w:t>
      </w:r>
      <w:bookmarkEnd w:id="38"/>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 No. 43 of 1994 s. 11; No. 58 of 2010 s. 134.]</w:t>
      </w:r>
    </w:p>
    <w:p>
      <w:pPr>
        <w:pStyle w:val="Heading5"/>
        <w:rPr>
          <w:snapToGrid w:val="0"/>
        </w:rPr>
      </w:pPr>
      <w:bookmarkStart w:id="39" w:name="_Toc38006653"/>
      <w:r>
        <w:rPr>
          <w:rStyle w:val="CharSectno"/>
        </w:rPr>
        <w:t>37</w:t>
      </w:r>
      <w:r>
        <w:rPr>
          <w:snapToGrid w:val="0"/>
        </w:rPr>
        <w:t>.</w:t>
      </w:r>
      <w:r>
        <w:rPr>
          <w:snapToGrid w:val="0"/>
        </w:rPr>
        <w:tab/>
        <w:t>Branch office of licensee</w:t>
      </w:r>
      <w:bookmarkEnd w:id="39"/>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No. 43 of 1994 s. 11; No. 58 of 2010 s. 134.]</w:t>
      </w:r>
    </w:p>
    <w:p>
      <w:pPr>
        <w:pStyle w:val="Heading5"/>
        <w:rPr>
          <w:snapToGrid w:val="0"/>
        </w:rPr>
      </w:pPr>
      <w:bookmarkStart w:id="40" w:name="_Toc38006654"/>
      <w:r>
        <w:rPr>
          <w:rStyle w:val="CharSectno"/>
        </w:rPr>
        <w:t>38</w:t>
      </w:r>
      <w:r>
        <w:rPr>
          <w:snapToGrid w:val="0"/>
        </w:rPr>
        <w:t>.</w:t>
      </w:r>
      <w:r>
        <w:rPr>
          <w:snapToGrid w:val="0"/>
        </w:rPr>
        <w:tab/>
        <w:t>Triennial certificates, contents of</w:t>
      </w:r>
      <w:bookmarkEnd w:id="40"/>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41" w:name="_Toc38006655"/>
      <w:r>
        <w:rPr>
          <w:rStyle w:val="CharSectno"/>
        </w:rPr>
        <w:t>39</w:t>
      </w:r>
      <w:r>
        <w:rPr>
          <w:snapToGrid w:val="0"/>
        </w:rPr>
        <w:t>.</w:t>
      </w:r>
      <w:r>
        <w:rPr>
          <w:snapToGrid w:val="0"/>
        </w:rPr>
        <w:tab/>
        <w:t>Licence and triennial certificate not transferable etc.</w:t>
      </w:r>
      <w:bookmarkEnd w:id="41"/>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r>
      <w:r>
        <w:t>Penalty for this subsection: a fine of $100 000.</w:t>
      </w:r>
    </w:p>
    <w:p>
      <w:pPr>
        <w:pStyle w:val="Footnotesection"/>
      </w:pPr>
      <w:r>
        <w:tab/>
        <w:t>[Section 39 amended: No. 43 of 1994 s. 11; No. 25 of 2019 s. 62.]</w:t>
      </w:r>
    </w:p>
    <w:p>
      <w:pPr>
        <w:pStyle w:val="Heading5"/>
      </w:pPr>
      <w:bookmarkStart w:id="42" w:name="_Toc38006656"/>
      <w:r>
        <w:rPr>
          <w:rStyle w:val="CharSectno"/>
        </w:rPr>
        <w:t>40A</w:t>
      </w:r>
      <w:r>
        <w:t>.</w:t>
      </w:r>
      <w:r>
        <w:tab/>
        <w:t>Duplicate licence, certificate of registration or triennial certificate</w:t>
      </w:r>
      <w:bookmarkEnd w:id="42"/>
    </w:p>
    <w:p>
      <w:pPr>
        <w:pStyle w:val="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pPr>
        <w:pStyle w:val="Footnotesection"/>
      </w:pPr>
      <w:r>
        <w:tab/>
        <w:t>[Section 40A inserted: No. 23 of 2014 s. 74.]</w:t>
      </w:r>
    </w:p>
    <w:p>
      <w:pPr>
        <w:pStyle w:val="Heading5"/>
      </w:pPr>
      <w:bookmarkStart w:id="43" w:name="_Toc38006657"/>
      <w:r>
        <w:rPr>
          <w:rStyle w:val="CharSectno"/>
        </w:rPr>
        <w:t>40B</w:t>
      </w:r>
      <w:r>
        <w:t>.</w:t>
      </w:r>
      <w:r>
        <w:tab/>
        <w:t>Licensee to comply with prescribed educational requirements</w:t>
      </w:r>
      <w:bookmarkEnd w:id="43"/>
    </w:p>
    <w:p>
      <w:pPr>
        <w:pStyle w:val="Subsection"/>
      </w:pPr>
      <w:r>
        <w:tab/>
      </w:r>
      <w:r>
        <w:tab/>
        <w:t xml:space="preserve">A licensee must comply with the educational requirements prescribed by the regulations. </w:t>
      </w:r>
    </w:p>
    <w:p>
      <w:pPr>
        <w:pStyle w:val="Penstart"/>
      </w:pPr>
      <w:r>
        <w:tab/>
        <w:t>Penalty: a fine of $5 000.</w:t>
      </w:r>
    </w:p>
    <w:p>
      <w:pPr>
        <w:pStyle w:val="Footnotesection"/>
      </w:pPr>
      <w:r>
        <w:tab/>
        <w:t>[Section 40B inserted: No. 25 of 2019 s. 49.]</w:t>
      </w:r>
    </w:p>
    <w:p>
      <w:pPr>
        <w:pStyle w:val="Heading5"/>
        <w:rPr>
          <w:snapToGrid w:val="0"/>
        </w:rPr>
      </w:pPr>
      <w:bookmarkStart w:id="44" w:name="_Toc38006658"/>
      <w:r>
        <w:rPr>
          <w:rStyle w:val="CharSectno"/>
        </w:rPr>
        <w:t>40</w:t>
      </w:r>
      <w:r>
        <w:rPr>
          <w:snapToGrid w:val="0"/>
        </w:rPr>
        <w:t>.</w:t>
      </w:r>
      <w:r>
        <w:rPr>
          <w:snapToGrid w:val="0"/>
        </w:rPr>
        <w:tab/>
        <w:t>Business names, use of by licensees</w:t>
      </w:r>
      <w:bookmarkEnd w:id="44"/>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2</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No. 43 of 1994 s. 11; No. 58 of 2010 s. 134.]</w:t>
      </w:r>
    </w:p>
    <w:p>
      <w:pPr>
        <w:pStyle w:val="Heading5"/>
        <w:rPr>
          <w:snapToGrid w:val="0"/>
        </w:rPr>
      </w:pPr>
      <w:bookmarkStart w:id="45" w:name="_Toc38006659"/>
      <w:r>
        <w:rPr>
          <w:rStyle w:val="CharSectno"/>
        </w:rPr>
        <w:t>41</w:t>
      </w:r>
      <w:r>
        <w:rPr>
          <w:snapToGrid w:val="0"/>
        </w:rPr>
        <w:t>.</w:t>
      </w:r>
      <w:r>
        <w:rPr>
          <w:snapToGrid w:val="0"/>
        </w:rPr>
        <w:tab/>
        <w:t>Notices to be exhibited at offices; particulars to appear on documents</w:t>
      </w:r>
      <w:bookmarkEnd w:id="45"/>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46" w:name="_Toc38006463"/>
      <w:bookmarkStart w:id="47" w:name="_Toc38006660"/>
      <w:r>
        <w:rPr>
          <w:rStyle w:val="CharPartNo"/>
        </w:rPr>
        <w:t>Part IV</w:t>
      </w:r>
      <w:r>
        <w:rPr>
          <w:rStyle w:val="CharDivNo"/>
        </w:rPr>
        <w:t> </w:t>
      </w:r>
      <w:r>
        <w:t>—</w:t>
      </w:r>
      <w:r>
        <w:rPr>
          <w:rStyle w:val="CharDivText"/>
        </w:rPr>
        <w:t> </w:t>
      </w:r>
      <w:r>
        <w:rPr>
          <w:rStyle w:val="CharPartText"/>
        </w:rPr>
        <w:t>Registration of sales representatives</w:t>
      </w:r>
      <w:bookmarkEnd w:id="46"/>
      <w:bookmarkEnd w:id="47"/>
    </w:p>
    <w:p>
      <w:pPr>
        <w:pStyle w:val="Heading5"/>
        <w:rPr>
          <w:snapToGrid w:val="0"/>
        </w:rPr>
      </w:pPr>
      <w:bookmarkStart w:id="48" w:name="_Toc38006661"/>
      <w:r>
        <w:rPr>
          <w:rStyle w:val="CharSectno"/>
        </w:rPr>
        <w:t>42</w:t>
      </w:r>
      <w:r>
        <w:rPr>
          <w:snapToGrid w:val="0"/>
        </w:rPr>
        <w:t>.</w:t>
      </w:r>
      <w:r>
        <w:rPr>
          <w:snapToGrid w:val="0"/>
        </w:rPr>
        <w:tab/>
        <w:t>Natural persons only may be registered</w:t>
      </w:r>
      <w:bookmarkEnd w:id="48"/>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49" w:name="_Toc38006662"/>
      <w:r>
        <w:rPr>
          <w:rStyle w:val="CharSectno"/>
        </w:rPr>
        <w:t>43</w:t>
      </w:r>
      <w:r>
        <w:rPr>
          <w:snapToGrid w:val="0"/>
        </w:rPr>
        <w:t>.</w:t>
      </w:r>
      <w:r>
        <w:rPr>
          <w:snapToGrid w:val="0"/>
        </w:rPr>
        <w:tab/>
        <w:t>Applications for registration</w:t>
      </w:r>
      <w:bookmarkEnd w:id="49"/>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w:t>
      </w:r>
      <w:r>
        <w:tab/>
        <w:t>deleted]</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 No. 58 of 2010 s. 95 and 134; No. 44 of 2016 s. 32.]</w:t>
      </w:r>
    </w:p>
    <w:p>
      <w:pPr>
        <w:pStyle w:val="Heading5"/>
        <w:rPr>
          <w:snapToGrid w:val="0"/>
        </w:rPr>
      </w:pPr>
      <w:bookmarkStart w:id="50" w:name="_Toc38006663"/>
      <w:r>
        <w:rPr>
          <w:rStyle w:val="CharSectno"/>
        </w:rPr>
        <w:t>44</w:t>
      </w:r>
      <w:r>
        <w:rPr>
          <w:snapToGrid w:val="0"/>
        </w:rPr>
        <w:t>.</w:t>
      </w:r>
      <w:r>
        <w:rPr>
          <w:snapToGrid w:val="0"/>
        </w:rPr>
        <w:tab/>
        <w:t>Real estate sales representatives must be registered etc.</w:t>
      </w:r>
      <w:bookmarkEnd w:id="50"/>
    </w:p>
    <w:p>
      <w:pPr>
        <w:pStyle w:val="Subsection"/>
        <w:spacing w:before="120"/>
        <w:rPr>
          <w:snapToGrid w:val="0"/>
        </w:rPr>
      </w:pPr>
      <w:r>
        <w:rPr>
          <w:snapToGrid w:val="0"/>
        </w:rPr>
        <w:tab/>
        <w:t>(1)</w:t>
      </w:r>
      <w:r>
        <w:rPr>
          <w:snapToGrid w:val="0"/>
        </w:rPr>
        <w:tab/>
        <w:t>On and after the appointed day </w:t>
      </w:r>
      <w:r>
        <w:rPr>
          <w:snapToGrid w:val="0"/>
          <w:vertAlign w:val="superscript"/>
        </w:rPr>
        <w:t>2</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r>
      <w:r>
        <w:t>Penalty for this subsection: a fine of $25 000.</w:t>
      </w:r>
    </w:p>
    <w:p>
      <w:pPr>
        <w:pStyle w:val="Subsection"/>
        <w:spacing w:before="120"/>
        <w:rPr>
          <w:snapToGrid w:val="0"/>
        </w:rPr>
      </w:pPr>
      <w:r>
        <w:rPr>
          <w:snapToGrid w:val="0"/>
        </w:rPr>
        <w:tab/>
        <w:t>(2)</w:t>
      </w:r>
      <w:r>
        <w:rPr>
          <w:snapToGrid w:val="0"/>
        </w:rPr>
        <w:tab/>
        <w:t>On and after the appointed day </w:t>
      </w:r>
      <w:r>
        <w:rPr>
          <w:snapToGrid w:val="0"/>
          <w:vertAlign w:val="superscript"/>
        </w:rPr>
        <w:t>2</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r>
      <w:r>
        <w:t>Penalty for this subsection: a fine of $25 000.</w:t>
      </w:r>
    </w:p>
    <w:p>
      <w:pPr>
        <w:pStyle w:val="Subsection"/>
        <w:rPr>
          <w:snapToGrid w:val="0"/>
        </w:rPr>
      </w:pPr>
      <w:r>
        <w:rPr>
          <w:snapToGrid w:val="0"/>
        </w:rPr>
        <w:tab/>
        <w:t>(3)</w:t>
      </w:r>
      <w:r>
        <w:rPr>
          <w:snapToGrid w:val="0"/>
        </w:rPr>
        <w:tab/>
        <w:t>On and after the appointed day </w:t>
      </w:r>
      <w:r>
        <w:rPr>
          <w:snapToGrid w:val="0"/>
          <w:vertAlign w:val="superscript"/>
        </w:rPr>
        <w:t>2</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r>
      <w:r>
        <w:t>Penalty for this subsection: a fine of $25 000.</w:t>
      </w:r>
    </w:p>
    <w:p>
      <w:pPr>
        <w:pStyle w:val="Footnotesection"/>
      </w:pPr>
      <w:r>
        <w:tab/>
        <w:t>[Section 44 amended: No. 43 of 1994 s. 11; No. 25 of 2019 s. 62.]</w:t>
      </w:r>
    </w:p>
    <w:p>
      <w:pPr>
        <w:pStyle w:val="Heading5"/>
        <w:rPr>
          <w:snapToGrid w:val="0"/>
        </w:rPr>
      </w:pPr>
      <w:bookmarkStart w:id="51" w:name="_Toc38006664"/>
      <w:r>
        <w:rPr>
          <w:rStyle w:val="CharSectno"/>
        </w:rPr>
        <w:t>45</w:t>
      </w:r>
      <w:r>
        <w:rPr>
          <w:snapToGrid w:val="0"/>
        </w:rPr>
        <w:t>.</w:t>
      </w:r>
      <w:r>
        <w:rPr>
          <w:snapToGrid w:val="0"/>
        </w:rPr>
        <w:tab/>
        <w:t>Business sales representatives must be registered etc.</w:t>
      </w:r>
      <w:bookmarkEnd w:id="51"/>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2</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r>
      <w:r>
        <w:t>Penalty for this subsection: a fine of $25 000.</w:t>
      </w:r>
    </w:p>
    <w:p>
      <w:pPr>
        <w:pStyle w:val="Subsection"/>
        <w:rPr>
          <w:snapToGrid w:val="0"/>
        </w:rPr>
      </w:pPr>
      <w:r>
        <w:rPr>
          <w:snapToGrid w:val="0"/>
        </w:rPr>
        <w:tab/>
        <w:t>(2)</w:t>
      </w:r>
      <w:r>
        <w:rPr>
          <w:snapToGrid w:val="0"/>
        </w:rPr>
        <w:tab/>
        <w:t>On and after the appointed day</w:t>
      </w:r>
      <w:r>
        <w:rPr>
          <w:snapToGrid w:val="0"/>
          <w:vertAlign w:val="superscript"/>
        </w:rPr>
        <w:t xml:space="preserve"> 2</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r>
      <w:r>
        <w:t>Penalty for this subsection: a fine of $25 000.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2</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r>
      <w:r>
        <w:t>Penalty for this subsection: a fine of $25 000.</w:t>
      </w:r>
    </w:p>
    <w:p>
      <w:pPr>
        <w:pStyle w:val="Footnotesection"/>
      </w:pPr>
      <w:r>
        <w:tab/>
        <w:t>[Section 45 amended: No. 43 of 1994 s. 11; No. 25 of 2019 s. 62.]</w:t>
      </w:r>
    </w:p>
    <w:p>
      <w:pPr>
        <w:pStyle w:val="Heading5"/>
        <w:spacing w:before="260"/>
        <w:rPr>
          <w:snapToGrid w:val="0"/>
        </w:rPr>
      </w:pPr>
      <w:bookmarkStart w:id="52" w:name="_Toc38006665"/>
      <w:r>
        <w:rPr>
          <w:rStyle w:val="CharSectno"/>
        </w:rPr>
        <w:t>46</w:t>
      </w:r>
      <w:r>
        <w:rPr>
          <w:snapToGrid w:val="0"/>
        </w:rPr>
        <w:t>.</w:t>
      </w:r>
      <w:r>
        <w:rPr>
          <w:snapToGrid w:val="0"/>
        </w:rPr>
        <w:tab/>
        <w:t>Partners and directors of licensees to be registered in certain cases</w:t>
      </w:r>
      <w:bookmarkEnd w:id="52"/>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2</w:t>
      </w:r>
      <w:r>
        <w:rPr>
          <w:snapToGrid w:val="0"/>
        </w:rPr>
        <w:t xml:space="preserve"> a person resident in the State, and not being a licensee who is the holder of a current triennial certificate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 xml:space="preserve">Penalty: </w:t>
      </w:r>
      <w:r>
        <w:t>a fine of $20 000.</w:t>
      </w:r>
    </w:p>
    <w:p>
      <w:pPr>
        <w:pStyle w:val="Footnotesection"/>
      </w:pPr>
      <w:r>
        <w:tab/>
        <w:t>[Section 46 amended: No. 43 of 1994 s. 11; No. 25 of 2019 s. 62.]</w:t>
      </w:r>
    </w:p>
    <w:p>
      <w:pPr>
        <w:pStyle w:val="Heading5"/>
        <w:spacing w:before="260"/>
        <w:rPr>
          <w:snapToGrid w:val="0"/>
        </w:rPr>
      </w:pPr>
      <w:bookmarkStart w:id="53" w:name="_Toc38006666"/>
      <w:r>
        <w:rPr>
          <w:rStyle w:val="CharSectno"/>
        </w:rPr>
        <w:t>47</w:t>
      </w:r>
      <w:r>
        <w:rPr>
          <w:snapToGrid w:val="0"/>
        </w:rPr>
        <w:t>.</w:t>
      </w:r>
      <w:r>
        <w:rPr>
          <w:snapToGrid w:val="0"/>
        </w:rPr>
        <w:tab/>
        <w:t>Natural persons, grant of certificate of registration to</w:t>
      </w:r>
      <w:bookmarkEnd w:id="53"/>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r>
        <w:tab/>
        <w:t>[Section 47 amended: No. 58 of 2010 s. 134.]</w:t>
      </w:r>
    </w:p>
    <w:p>
      <w:pPr>
        <w:pStyle w:val="Heading5"/>
        <w:rPr>
          <w:snapToGrid w:val="0"/>
        </w:rPr>
      </w:pPr>
      <w:bookmarkStart w:id="54" w:name="_Toc38006667"/>
      <w:r>
        <w:rPr>
          <w:rStyle w:val="CharSectno"/>
        </w:rPr>
        <w:t>48</w:t>
      </w:r>
      <w:r>
        <w:rPr>
          <w:snapToGrid w:val="0"/>
        </w:rPr>
        <w:t>.</w:t>
      </w:r>
      <w:r>
        <w:rPr>
          <w:snapToGrid w:val="0"/>
        </w:rPr>
        <w:tab/>
        <w:t>Certificates of registration, duration and renewal of</w:t>
      </w:r>
      <w:bookmarkEnd w:id="54"/>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pPr>
      <w:r>
        <w:tab/>
        <w:t>(4)</w:t>
      </w:r>
      <w:r>
        <w:tab/>
        <w:t xml:space="preserve">The Commissioner must not renew a sales representative’s certificate of registration unless the Commissioner is satisfied — </w:t>
      </w:r>
    </w:p>
    <w:p>
      <w:pPr>
        <w:pStyle w:val="Indenta"/>
      </w:pPr>
      <w:r>
        <w:tab/>
        <w:t>(a)</w:t>
      </w:r>
      <w:r>
        <w:tab/>
        <w:t>of the matters in section 47(1)(b) and (c); and</w:t>
      </w:r>
    </w:p>
    <w:p>
      <w:pPr>
        <w:pStyle w:val="Indenta"/>
      </w:pPr>
      <w:r>
        <w:tab/>
        <w:t>(b)</w:t>
      </w:r>
      <w:r>
        <w:tab/>
        <w:t>that the sales representative was employed by a licensee at the time of making the application or will be employed by a licensee upon the renewal of the certificate.</w:t>
      </w:r>
    </w:p>
    <w:p>
      <w:pPr>
        <w:pStyle w:val="Ednotesubsection"/>
      </w:pPr>
      <w:r>
        <w:tab/>
        <w:t>[(5)</w:t>
      </w:r>
      <w:r>
        <w:tab/>
        <w:t>deleted]</w:t>
      </w:r>
    </w:p>
    <w:p>
      <w:pPr>
        <w:pStyle w:val="Footnotesection"/>
      </w:pPr>
      <w:r>
        <w:tab/>
        <w:t>[Section 48 amended: No. 56 of 1995 s. 42; No. 34 of 1998 s. 12; No. 55 of 2004 s. 1009; No. 58 of 2010 s. 134; No. 25 of 2019 s. 50.]</w:t>
      </w:r>
    </w:p>
    <w:p>
      <w:pPr>
        <w:pStyle w:val="Heading5"/>
        <w:rPr>
          <w:snapToGrid w:val="0"/>
        </w:rPr>
      </w:pPr>
      <w:bookmarkStart w:id="55" w:name="_Toc38006668"/>
      <w:r>
        <w:rPr>
          <w:rStyle w:val="CharSectno"/>
        </w:rPr>
        <w:t>49</w:t>
      </w:r>
      <w:r>
        <w:rPr>
          <w:snapToGrid w:val="0"/>
        </w:rPr>
        <w:t>.</w:t>
      </w:r>
      <w:r>
        <w:rPr>
          <w:snapToGrid w:val="0"/>
        </w:rPr>
        <w:tab/>
        <w:t>Certificates of registration, late renewal of</w:t>
      </w:r>
      <w:bookmarkEnd w:id="55"/>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[(5)</w:t>
      </w:r>
      <w:r>
        <w:tab/>
        <w:t>deleted]</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 No. 56 of 1995 s. 43; No. 58 of 2010 s. 96 and 134; No. 44 of 2016 s. 33.]</w:t>
      </w:r>
    </w:p>
    <w:p>
      <w:pPr>
        <w:pStyle w:val="Heading5"/>
      </w:pPr>
      <w:bookmarkStart w:id="56" w:name="_Toc38006669"/>
      <w:r>
        <w:rPr>
          <w:rStyle w:val="CharSectno"/>
        </w:rPr>
        <w:t>50</w:t>
      </w:r>
      <w:r>
        <w:t>.</w:t>
      </w:r>
      <w:r>
        <w:tab/>
        <w:t>Conditions on certificates of registration</w:t>
      </w:r>
      <w:bookmarkEnd w:id="56"/>
    </w:p>
    <w:p>
      <w:pPr>
        <w:pStyle w:val="Subsection"/>
      </w:pPr>
      <w:r>
        <w:tab/>
        <w:t>(1)</w:t>
      </w:r>
      <w:r>
        <w:tab/>
        <w:t xml:space="preserve">It is a condition of every certificate of registration that the registered sales representative must comply with the provisions of this Act and the code of conduct for sales representatives. </w:t>
      </w:r>
    </w:p>
    <w:p>
      <w:pPr>
        <w:pStyle w:val="Subsection"/>
      </w:pPr>
      <w:r>
        <w:tab/>
        <w:t>(2)</w:t>
      </w:r>
      <w:r>
        <w:tab/>
        <w:t>It is a condition of every certificate of registration that the registered sales representative must comply with any special condition to which the sales representative’s certificate of registration is subject under section 50AA.</w:t>
      </w:r>
    </w:p>
    <w:p>
      <w:pPr>
        <w:pStyle w:val="Footnotesection"/>
      </w:pPr>
      <w:r>
        <w:tab/>
        <w:t>[Section 50 inserted: No. 25 of 2019 s. 51.]</w:t>
      </w:r>
    </w:p>
    <w:p>
      <w:pPr>
        <w:pStyle w:val="Heading5"/>
      </w:pPr>
      <w:bookmarkStart w:id="57" w:name="_Toc38006670"/>
      <w:r>
        <w:rPr>
          <w:rStyle w:val="CharSectno"/>
        </w:rPr>
        <w:t>50AA</w:t>
      </w:r>
      <w:r>
        <w:t>.</w:t>
      </w:r>
      <w:r>
        <w:tab/>
        <w:t>Imposing special conditions on certificates of registration</w:t>
      </w:r>
      <w:bookmarkEnd w:id="57"/>
    </w:p>
    <w:p>
      <w:pPr>
        <w:pStyle w:val="Subsection"/>
      </w:pPr>
      <w:r>
        <w:tab/>
        <w:t>(1)</w:t>
      </w:r>
      <w:r>
        <w:tab/>
        <w:t xml:space="preserve">In this section — </w:t>
      </w:r>
    </w:p>
    <w:p>
      <w:pPr>
        <w:pStyle w:val="Defstart"/>
      </w:pPr>
      <w:r>
        <w:tab/>
      </w:r>
      <w:r>
        <w:rPr>
          <w:rStyle w:val="CharDefText"/>
        </w:rPr>
        <w:t>registered sales representative</w:t>
      </w:r>
      <w:r>
        <w:t xml:space="preserve"> includes an applicant for a certificate of registration.</w:t>
      </w:r>
    </w:p>
    <w:p>
      <w:pPr>
        <w:pStyle w:val="Subsection"/>
      </w:pPr>
      <w:r>
        <w:tab/>
        <w:t>(2)</w:t>
      </w:r>
      <w:r>
        <w:tab/>
        <w:t xml:space="preserve">The Commissioner may, at any time, impose a special condition on a certificate of registration. </w:t>
      </w:r>
    </w:p>
    <w:p>
      <w:pPr>
        <w:pStyle w:val="Subsection"/>
      </w:pPr>
      <w:r>
        <w:tab/>
        <w:t>(3)</w:t>
      </w:r>
      <w:r>
        <w:tab/>
        <w:t xml:space="preserve">Before imposing a special condition on a certificate of registration, the Commissioner must — </w:t>
      </w:r>
    </w:p>
    <w:p>
      <w:pPr>
        <w:pStyle w:val="Indenta"/>
      </w:pPr>
      <w:r>
        <w:tab/>
        <w:t>(a)</w:t>
      </w:r>
      <w:r>
        <w:tab/>
        <w:t xml:space="preserve">give a registered sales representative notice in writing setting out — </w:t>
      </w:r>
    </w:p>
    <w:p>
      <w:pPr>
        <w:pStyle w:val="Indenti"/>
      </w:pPr>
      <w:r>
        <w:tab/>
        <w:t>(i)</w:t>
      </w:r>
      <w:r>
        <w:tab/>
        <w:t>that the Commissioner proposes to impose the special condition; and</w:t>
      </w:r>
    </w:p>
    <w:p>
      <w:pPr>
        <w:pStyle w:val="Indenti"/>
      </w:pPr>
      <w:r>
        <w:tab/>
        <w:t>(ii)</w:t>
      </w:r>
      <w:r>
        <w:tab/>
        <w:t>the reasons for the proposed decision; and</w:t>
      </w:r>
    </w:p>
    <w:p>
      <w:pPr>
        <w:pStyle w:val="Indenti"/>
      </w:pPr>
      <w:r>
        <w:tab/>
        <w:t>(iii)</w:t>
      </w:r>
      <w:r>
        <w:tab/>
        <w:t>that the registered sales representative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(4)</w:t>
      </w:r>
      <w:r>
        <w:tab/>
        <w:t>Subsection (3) does not apply if the special condition to be imposed on the certificate of registration restricts the type of work that may be performed under the certificate because the sales representative does not have a particular qualification that the sales representative is required to have under section 47(2) to perform the work.</w:t>
      </w:r>
    </w:p>
    <w:p>
      <w:pPr>
        <w:pStyle w:val="Subsection"/>
      </w:pPr>
      <w:r>
        <w:tab/>
        <w:t>(5)</w:t>
      </w:r>
      <w:r>
        <w:tab/>
        <w:t xml:space="preserve">After making a decision under subsection (2), the Commissioner must — </w:t>
      </w:r>
    </w:p>
    <w:p>
      <w:pPr>
        <w:pStyle w:val="Indenta"/>
      </w:pPr>
      <w:r>
        <w:tab/>
        <w:t>(a)</w:t>
      </w:r>
      <w:r>
        <w:tab/>
        <w:t>notify the registered sales representative of the Commissioner’s decision; and</w:t>
      </w:r>
    </w:p>
    <w:p>
      <w:pPr>
        <w:pStyle w:val="Indenta"/>
      </w:pPr>
      <w:r>
        <w:tab/>
        <w:t>(b)</w:t>
      </w:r>
      <w:r>
        <w:tab/>
        <w:t xml:space="preserve">if the decision is to impose a special condition on the certificate of registration, give the registered sales representative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50AA inserted: No. 25 of 2019 s. 51.]</w:t>
      </w:r>
    </w:p>
    <w:p>
      <w:pPr>
        <w:pStyle w:val="Heading5"/>
      </w:pPr>
      <w:bookmarkStart w:id="58" w:name="_Toc38006671"/>
      <w:r>
        <w:rPr>
          <w:rStyle w:val="CharSectno"/>
        </w:rPr>
        <w:t>50AB</w:t>
      </w:r>
      <w:r>
        <w:t>.</w:t>
      </w:r>
      <w:r>
        <w:tab/>
        <w:t>Removing special conditions on certificates of registration</w:t>
      </w:r>
      <w:bookmarkEnd w:id="58"/>
    </w:p>
    <w:p>
      <w:pPr>
        <w:pStyle w:val="Subsection"/>
      </w:pPr>
      <w:r>
        <w:tab/>
        <w:t>(1)</w:t>
      </w:r>
      <w:r>
        <w:tab/>
        <w:t xml:space="preserve">The Commissioner may remove a special condition imposed on a registered sales representative’s certificate of registration — </w:t>
      </w:r>
    </w:p>
    <w:p>
      <w:pPr>
        <w:pStyle w:val="Indenta"/>
      </w:pPr>
      <w:r>
        <w:tab/>
        <w:t>(a)</w:t>
      </w:r>
      <w:r>
        <w:tab/>
        <w:t>at any time; or</w:t>
      </w:r>
    </w:p>
    <w:p>
      <w:pPr>
        <w:pStyle w:val="Indenta"/>
      </w:pPr>
      <w:r>
        <w:tab/>
        <w:t>(b)</w:t>
      </w:r>
      <w:r>
        <w:tab/>
        <w:t>on application by the registered sales representative.</w:t>
      </w:r>
    </w:p>
    <w:p>
      <w:pPr>
        <w:pStyle w:val="Subsection"/>
      </w:pPr>
      <w:r>
        <w:tab/>
        <w:t>(2)</w:t>
      </w:r>
      <w:r>
        <w:tab/>
        <w:t xml:space="preserve">If a registered sales representative makes an application under subsection (1)(b), the Commissioner must, before deciding not to remove the special condition on the registered sales representative’s certificate of registration — </w:t>
      </w:r>
    </w:p>
    <w:p>
      <w:pPr>
        <w:pStyle w:val="Indenta"/>
      </w:pPr>
      <w:r>
        <w:tab/>
        <w:t>(a)</w:t>
      </w:r>
      <w:r>
        <w:tab/>
        <w:t xml:space="preserve">give the registered sales representative notice in writing setting out — </w:t>
      </w:r>
    </w:p>
    <w:p>
      <w:pPr>
        <w:pStyle w:val="Indenti"/>
      </w:pPr>
      <w:r>
        <w:tab/>
        <w:t>(i)</w:t>
      </w:r>
      <w:r>
        <w:tab/>
        <w:t>that the Commissioner proposes to make a decision not to remove the special condition; and</w:t>
      </w:r>
    </w:p>
    <w:p>
      <w:pPr>
        <w:pStyle w:val="Indenti"/>
      </w:pPr>
      <w:r>
        <w:tab/>
        <w:t>(ii)</w:t>
      </w:r>
      <w:r>
        <w:tab/>
        <w:t>the reasons for the proposed decision; and</w:t>
      </w:r>
    </w:p>
    <w:p>
      <w:pPr>
        <w:pStyle w:val="Indenti"/>
      </w:pPr>
      <w:r>
        <w:tab/>
        <w:t>(iii)</w:t>
      </w:r>
      <w:r>
        <w:tab/>
        <w:t>that the registered sales representative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(3)</w:t>
      </w:r>
      <w:r>
        <w:tab/>
        <w:t xml:space="preserve">After making a decision on an application by a registered sales representative, the Commissioner must — </w:t>
      </w:r>
    </w:p>
    <w:p>
      <w:pPr>
        <w:pStyle w:val="Indenta"/>
      </w:pPr>
      <w:r>
        <w:tab/>
        <w:t>(a)</w:t>
      </w:r>
      <w:r>
        <w:tab/>
        <w:t>notify the registered sales representative of the Commissioner’s decision; and</w:t>
      </w:r>
    </w:p>
    <w:p>
      <w:pPr>
        <w:pStyle w:val="Indenta"/>
      </w:pPr>
      <w:r>
        <w:tab/>
        <w:t>(b)</w:t>
      </w:r>
      <w:r>
        <w:tab/>
        <w:t xml:space="preserve">if the decision is to not remove the special condition, give the registered sales representative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50AB inserted: No. 25 of 2019 s. 51.]</w:t>
      </w:r>
    </w:p>
    <w:p>
      <w:pPr>
        <w:pStyle w:val="Heading5"/>
      </w:pPr>
      <w:bookmarkStart w:id="59" w:name="_Toc38006672"/>
      <w:r>
        <w:rPr>
          <w:rStyle w:val="CharSectno"/>
        </w:rPr>
        <w:t>50A</w:t>
      </w:r>
      <w:r>
        <w:rPr>
          <w:snapToGrid w:val="0"/>
        </w:rPr>
        <w:t>.</w:t>
      </w:r>
      <w:r>
        <w:tab/>
        <w:t>Unopposed applications</w:t>
      </w:r>
      <w:bookmarkEnd w:id="59"/>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Footnotesection"/>
        <w:keepLines w:val="0"/>
        <w:spacing w:before="100"/>
        <w:ind w:left="890" w:hanging="890"/>
      </w:pPr>
      <w:r>
        <w:tab/>
        <w:t>[Section 50A inserted: No. 55 of 2004 s. 1010; amended: No. 58 of 2010 s. 97 and 134.]</w:t>
      </w:r>
    </w:p>
    <w:p>
      <w:pPr>
        <w:pStyle w:val="Heading5"/>
      </w:pPr>
      <w:bookmarkStart w:id="60" w:name="_Toc38006673"/>
      <w:r>
        <w:rPr>
          <w:rStyle w:val="CharSectno"/>
        </w:rPr>
        <w:t>50B</w:t>
      </w:r>
      <w:r>
        <w:t>.</w:t>
      </w:r>
      <w:r>
        <w:tab/>
        <w:t>SAT may suspend registration in some cases</w:t>
      </w:r>
      <w:bookmarkEnd w:id="60"/>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 No. 55 of 2004 s. 1010.]</w:t>
      </w:r>
    </w:p>
    <w:p>
      <w:pPr>
        <w:pStyle w:val="Heading5"/>
      </w:pPr>
      <w:bookmarkStart w:id="61" w:name="_Toc38006674"/>
      <w:r>
        <w:rPr>
          <w:rStyle w:val="CharSectno"/>
        </w:rPr>
        <w:t>50C</w:t>
      </w:r>
      <w:r>
        <w:t>.</w:t>
      </w:r>
      <w:r>
        <w:tab/>
        <w:t>Sales representative to comply with prescribed educational requirements</w:t>
      </w:r>
      <w:bookmarkEnd w:id="61"/>
    </w:p>
    <w:p>
      <w:pPr>
        <w:pStyle w:val="Subsection"/>
      </w:pPr>
      <w:r>
        <w:tab/>
      </w:r>
      <w:r>
        <w:tab/>
        <w:t xml:space="preserve">A sales representative must comply with the educational requirements prescribed by the regulations. </w:t>
      </w:r>
    </w:p>
    <w:p>
      <w:pPr>
        <w:pStyle w:val="Penstart"/>
      </w:pPr>
      <w:r>
        <w:tab/>
        <w:t>Penalty: a fine of $5 000.</w:t>
      </w:r>
    </w:p>
    <w:p>
      <w:pPr>
        <w:pStyle w:val="Footnotesection"/>
      </w:pPr>
      <w:r>
        <w:tab/>
        <w:t>[Section 50C inserted: No. 25 of 2019 s. 52.]</w:t>
      </w:r>
    </w:p>
    <w:p>
      <w:pPr>
        <w:pStyle w:val="Heading5"/>
        <w:rPr>
          <w:snapToGrid w:val="0"/>
        </w:rPr>
      </w:pPr>
      <w:bookmarkStart w:id="62" w:name="_Toc38006675"/>
      <w:r>
        <w:rPr>
          <w:rStyle w:val="CharSectno"/>
        </w:rPr>
        <w:t>51</w:t>
      </w:r>
      <w:r>
        <w:rPr>
          <w:snapToGrid w:val="0"/>
        </w:rPr>
        <w:t>.</w:t>
      </w:r>
      <w:r>
        <w:rPr>
          <w:snapToGrid w:val="0"/>
        </w:rPr>
        <w:tab/>
      </w:r>
      <w:r>
        <w:t>Registered sales representatives to notify Commissioner of certain changes</w:t>
      </w:r>
      <w:bookmarkEnd w:id="62"/>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 No. 56 of 1995 s. 45; No. 58 of 2010 s. 134.]</w:t>
      </w:r>
    </w:p>
    <w:p>
      <w:pPr>
        <w:pStyle w:val="Heading5"/>
        <w:rPr>
          <w:snapToGrid w:val="0"/>
        </w:rPr>
      </w:pPr>
      <w:bookmarkStart w:id="63" w:name="_Toc38006676"/>
      <w:r>
        <w:rPr>
          <w:rStyle w:val="CharSectno"/>
        </w:rPr>
        <w:t>52</w:t>
      </w:r>
      <w:r>
        <w:rPr>
          <w:snapToGrid w:val="0"/>
        </w:rPr>
        <w:t>.</w:t>
      </w:r>
      <w:r>
        <w:rPr>
          <w:snapToGrid w:val="0"/>
        </w:rPr>
        <w:tab/>
        <w:t>Certificate of registration not transferable</w:t>
      </w:r>
      <w:bookmarkEnd w:id="63"/>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 No. 43 of 1994 s. 11.]</w:t>
      </w:r>
    </w:p>
    <w:p>
      <w:pPr>
        <w:pStyle w:val="Heading5"/>
        <w:spacing w:before="180"/>
        <w:rPr>
          <w:snapToGrid w:val="0"/>
        </w:rPr>
      </w:pPr>
      <w:bookmarkStart w:id="64" w:name="_Toc38006677"/>
      <w:r>
        <w:rPr>
          <w:rStyle w:val="CharSectno"/>
        </w:rPr>
        <w:t>53</w:t>
      </w:r>
      <w:r>
        <w:rPr>
          <w:snapToGrid w:val="0"/>
        </w:rPr>
        <w:t>.</w:t>
      </w:r>
      <w:r>
        <w:rPr>
          <w:snapToGrid w:val="0"/>
        </w:rPr>
        <w:tab/>
        <w:t>Certificate of registration, surrender of</w:t>
      </w:r>
      <w:bookmarkEnd w:id="64"/>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 No. 55 of 2004 s. 1011.]</w:t>
      </w:r>
    </w:p>
    <w:p>
      <w:pPr>
        <w:pStyle w:val="Heading5"/>
        <w:spacing w:before="180"/>
        <w:rPr>
          <w:snapToGrid w:val="0"/>
        </w:rPr>
      </w:pPr>
      <w:bookmarkStart w:id="65" w:name="_Toc38006678"/>
      <w:r>
        <w:rPr>
          <w:rStyle w:val="CharSectno"/>
        </w:rPr>
        <w:t>54</w:t>
      </w:r>
      <w:r>
        <w:rPr>
          <w:snapToGrid w:val="0"/>
        </w:rPr>
        <w:t>.</w:t>
      </w:r>
      <w:r>
        <w:rPr>
          <w:snapToGrid w:val="0"/>
        </w:rPr>
        <w:tab/>
        <w:t>Sales representatives, employment of</w:t>
      </w:r>
      <w:bookmarkEnd w:id="65"/>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 No. 43 of 1994 s. 11.]</w:t>
      </w:r>
    </w:p>
    <w:p>
      <w:pPr>
        <w:pStyle w:val="Heading5"/>
        <w:rPr>
          <w:snapToGrid w:val="0"/>
        </w:rPr>
      </w:pPr>
      <w:bookmarkStart w:id="66" w:name="_Toc38006679"/>
      <w:r>
        <w:rPr>
          <w:rStyle w:val="CharSectno"/>
        </w:rPr>
        <w:t>55</w:t>
      </w:r>
      <w:r>
        <w:rPr>
          <w:snapToGrid w:val="0"/>
        </w:rPr>
        <w:t>.</w:t>
      </w:r>
      <w:r>
        <w:rPr>
          <w:snapToGrid w:val="0"/>
        </w:rPr>
        <w:tab/>
        <w:t>Sales representative to be in service of one person</w:t>
      </w:r>
      <w:bookmarkEnd w:id="66"/>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 No. 43 of 1994 s. 11.]</w:t>
      </w:r>
    </w:p>
    <w:p>
      <w:pPr>
        <w:pStyle w:val="Heading2"/>
      </w:pPr>
      <w:bookmarkStart w:id="67" w:name="_Toc38006483"/>
      <w:bookmarkStart w:id="68" w:name="_Toc38006680"/>
      <w:r>
        <w:rPr>
          <w:rStyle w:val="CharPartNo"/>
        </w:rPr>
        <w:t>Part V</w:t>
      </w:r>
      <w:r>
        <w:rPr>
          <w:rStyle w:val="CharDivNo"/>
        </w:rPr>
        <w:t> </w:t>
      </w:r>
      <w:r>
        <w:t>—</w:t>
      </w:r>
      <w:r>
        <w:rPr>
          <w:rStyle w:val="CharDivText"/>
        </w:rPr>
        <w:t> </w:t>
      </w:r>
      <w:r>
        <w:rPr>
          <w:rStyle w:val="CharPartText"/>
        </w:rPr>
        <w:t>General controls</w:t>
      </w:r>
      <w:bookmarkEnd w:id="67"/>
      <w:bookmarkEnd w:id="68"/>
    </w:p>
    <w:p>
      <w:pPr>
        <w:pStyle w:val="Heading5"/>
        <w:rPr>
          <w:snapToGrid w:val="0"/>
        </w:rPr>
      </w:pPr>
      <w:bookmarkStart w:id="69" w:name="_Toc38006681"/>
      <w:r>
        <w:rPr>
          <w:rStyle w:val="CharSectno"/>
        </w:rPr>
        <w:t>56</w:t>
      </w:r>
      <w:r>
        <w:rPr>
          <w:snapToGrid w:val="0"/>
        </w:rPr>
        <w:t>.</w:t>
      </w:r>
      <w:r>
        <w:rPr>
          <w:snapToGrid w:val="0"/>
        </w:rPr>
        <w:tab/>
        <w:t>Franchising agreements, licensee not to carry on business under without Commissioner’s approval</w:t>
      </w:r>
      <w:bookmarkEnd w:id="69"/>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p>
    <w:p>
      <w:pPr>
        <w:pStyle w:val="Indenta"/>
        <w:rPr>
          <w:snapToGrid w:val="0"/>
        </w:rPr>
      </w:pPr>
      <w:r>
        <w:rPr>
          <w:snapToGrid w:val="0"/>
        </w:rPr>
        <w:tab/>
        <w:t>(a)</w:t>
      </w:r>
      <w:r>
        <w:rPr>
          <w:snapToGrid w:val="0"/>
        </w:rPr>
        <w:tab/>
        <w:t>each party to the agreement is liable to penalties imposed for failure to comply with the provisions of Part VI; and</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No. 43 of 1994 s. 11; No. 58 of 2010 s. 134.]</w:t>
      </w:r>
    </w:p>
    <w:p>
      <w:pPr>
        <w:pStyle w:val="Heading5"/>
        <w:rPr>
          <w:snapToGrid w:val="0"/>
        </w:rPr>
      </w:pPr>
      <w:bookmarkStart w:id="70" w:name="_Toc38006682"/>
      <w:r>
        <w:rPr>
          <w:rStyle w:val="CharSectno"/>
        </w:rPr>
        <w:t>57</w:t>
      </w:r>
      <w:r>
        <w:rPr>
          <w:snapToGrid w:val="0"/>
        </w:rPr>
        <w:t>.</w:t>
      </w:r>
      <w:r>
        <w:rPr>
          <w:snapToGrid w:val="0"/>
        </w:rPr>
        <w:tab/>
        <w:t>Developers, principal place of business to be registered and service on</w:t>
      </w:r>
      <w:bookmarkEnd w:id="70"/>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No. 43 of 1994 s. 11; No. 58 of 2010 s. 134.]</w:t>
      </w:r>
    </w:p>
    <w:p>
      <w:pPr>
        <w:pStyle w:val="Heading5"/>
        <w:rPr>
          <w:snapToGrid w:val="0"/>
        </w:rPr>
      </w:pPr>
      <w:bookmarkStart w:id="71" w:name="_Toc38006683"/>
      <w:r>
        <w:rPr>
          <w:rStyle w:val="CharSectno"/>
        </w:rPr>
        <w:t>58</w:t>
      </w:r>
      <w:r>
        <w:rPr>
          <w:snapToGrid w:val="0"/>
        </w:rPr>
        <w:t>.</w:t>
      </w:r>
      <w:r>
        <w:rPr>
          <w:snapToGrid w:val="0"/>
        </w:rPr>
        <w:tab/>
        <w:t>Developer to notify Commissioner of change in principal place of business</w:t>
      </w:r>
      <w:bookmarkEnd w:id="71"/>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 No. 43 of 1994 s. 11; No. 58 of 2010 s. 134.]</w:t>
      </w:r>
    </w:p>
    <w:p>
      <w:pPr>
        <w:pStyle w:val="Heading5"/>
        <w:rPr>
          <w:snapToGrid w:val="0"/>
        </w:rPr>
      </w:pPr>
      <w:bookmarkStart w:id="72" w:name="_Toc38006684"/>
      <w:r>
        <w:rPr>
          <w:rStyle w:val="CharSectno"/>
        </w:rPr>
        <w:t>59</w:t>
      </w:r>
      <w:r>
        <w:rPr>
          <w:snapToGrid w:val="0"/>
        </w:rPr>
        <w:t>.</w:t>
      </w:r>
      <w:r>
        <w:rPr>
          <w:snapToGrid w:val="0"/>
        </w:rPr>
        <w:tab/>
        <w:t>Developer to keep records of real estate transactions</w:t>
      </w:r>
      <w:bookmarkEnd w:id="72"/>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73" w:name="_Toc38006685"/>
      <w:r>
        <w:rPr>
          <w:rStyle w:val="CharSectno"/>
        </w:rPr>
        <w:t>60</w:t>
      </w:r>
      <w:r>
        <w:rPr>
          <w:snapToGrid w:val="0"/>
        </w:rPr>
        <w:t>.</w:t>
      </w:r>
      <w:r>
        <w:rPr>
          <w:snapToGrid w:val="0"/>
        </w:rPr>
        <w:tab/>
        <w:t>Agent not entitled to commission etc. unless licensed and validly appointed</w:t>
      </w:r>
      <w:bookmarkEnd w:id="73"/>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p>
    <w:p>
      <w:pPr>
        <w:pStyle w:val="Indenta"/>
        <w:keepNext/>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sets out the services that are or are to be rendered; and</w:t>
      </w:r>
    </w:p>
    <w:p>
      <w:pPr>
        <w:pStyle w:val="Indenti"/>
        <w:rPr>
          <w:snapToGrid w:val="0"/>
        </w:rPr>
      </w:pPr>
      <w:r>
        <w:rPr>
          <w:snapToGrid w:val="0"/>
        </w:rPr>
        <w:tab/>
        <w:t>(ii)</w:t>
      </w:r>
      <w:r>
        <w:rPr>
          <w:snapToGrid w:val="0"/>
        </w:rPr>
        <w:tab/>
        <w:t>where specific property is to be the subject of those services, clearly identifies the property; and</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[Section 60 amended: No. 43 of 1994 s. 11; No. 59 of 1995 s. 9; No. 34 of 1998 s. 14.]</w:t>
      </w:r>
    </w:p>
    <w:p>
      <w:pPr>
        <w:pStyle w:val="Heading5"/>
        <w:rPr>
          <w:snapToGrid w:val="0"/>
        </w:rPr>
      </w:pPr>
      <w:bookmarkStart w:id="74" w:name="_Toc38006686"/>
      <w:r>
        <w:rPr>
          <w:rStyle w:val="CharSectno"/>
        </w:rPr>
        <w:t>61</w:t>
      </w:r>
      <w:r>
        <w:rPr>
          <w:snapToGrid w:val="0"/>
        </w:rPr>
        <w:t>.</w:t>
      </w:r>
      <w:r>
        <w:rPr>
          <w:snapToGrid w:val="0"/>
        </w:rPr>
        <w:tab/>
        <w:t>Maximum remuneration of licensees, fixing of etc.</w:t>
      </w:r>
      <w:bookmarkEnd w:id="74"/>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pPr>
      <w:r>
        <w:rPr>
          <w:snapToGrid w:val="0"/>
        </w:rPr>
        <w:tab/>
        <w:t>(4)</w:t>
      </w:r>
      <w:r>
        <w:rPr>
          <w:snapToGrid w:val="0"/>
        </w:rPr>
        <w:tab/>
        <w:t xml:space="preserve">The remuneration of an agent for services rendered by him in his capacity as agent in respect of a transaction he has negotiated is payable only on settlement of the transaction </w:t>
      </w:r>
      <w:r>
        <w:t xml:space="preserve">unless — </w:t>
      </w:r>
    </w:p>
    <w:p>
      <w:pPr>
        <w:pStyle w:val="Indenta"/>
      </w:pPr>
      <w:r>
        <w:tab/>
        <w:t>(a)</w:t>
      </w:r>
      <w:r>
        <w:tab/>
        <w:t>there is a failure to settle the transaction and that failure is due to the fault of the agent’s principal; or</w:t>
      </w:r>
    </w:p>
    <w:p>
      <w:pPr>
        <w:pStyle w:val="Indenta"/>
        <w:rPr>
          <w:snapToGrid w:val="0"/>
        </w:rPr>
      </w:pPr>
      <w:r>
        <w:tab/>
        <w:t>(b)</w:t>
      </w:r>
      <w:r>
        <w:tab/>
        <w:t>it is a prescribed transaction.</w:t>
      </w:r>
    </w:p>
    <w:p>
      <w:pPr>
        <w:pStyle w:val="Subsection"/>
        <w:spacing w:before="140"/>
        <w:rPr>
          <w:snapToGrid w:val="0"/>
        </w:rPr>
      </w:pPr>
      <w:r>
        <w:rPr>
          <w:snapToGrid w:val="0"/>
        </w:rPr>
        <w:tab/>
        <w:t>(4a)</w:t>
      </w:r>
      <w:r>
        <w:rPr>
          <w:snapToGrid w:val="0"/>
        </w:rPr>
        <w:tab/>
        <w:t>In subsection (4) —</w:t>
      </w:r>
    </w:p>
    <w:p>
      <w:pPr>
        <w:pStyle w:val="Defstart"/>
      </w:pPr>
      <w:r>
        <w:tab/>
      </w:r>
      <w:r>
        <w:rPr>
          <w:rStyle w:val="CharDefText"/>
        </w:rPr>
        <w:t>prescribed transaction</w:t>
      </w:r>
      <w:r>
        <w:t xml:space="preserve"> means any of the following transactions — </w:t>
      </w:r>
    </w:p>
    <w:p>
      <w:pPr>
        <w:pStyle w:val="Defpara"/>
      </w:pPr>
      <w:r>
        <w:tab/>
        <w:t>(a)</w:t>
      </w:r>
      <w:r>
        <w:tab/>
        <w:t xml:space="preserve">the sale of a lot in a proposed scheme described in the </w:t>
      </w:r>
      <w:r>
        <w:rPr>
          <w:i/>
        </w:rPr>
        <w:t>Strata Titles Act 1985</w:t>
      </w:r>
      <w:r>
        <w:t xml:space="preserve"> section 70(1);</w:t>
      </w:r>
    </w:p>
    <w:p>
      <w:pPr>
        <w:pStyle w:val="Indenta"/>
      </w:pPr>
      <w:r>
        <w:tab/>
        <w:t>(b)</w:t>
      </w:r>
      <w:r>
        <w:tab/>
        <w:t>any other transaction prescribed, or that belongs to a class of transactions prescribed, for the purposes of this definition;</w:t>
      </w:r>
    </w:p>
    <w:p>
      <w:pPr>
        <w:pStyle w:val="Defstart"/>
        <w:spacing w:before="60"/>
      </w:pPr>
      <w:r>
        <w:tab/>
      </w:r>
      <w:r>
        <w:rPr>
          <w:rStyle w:val="CharDefText"/>
        </w:rPr>
        <w:t>settlement</w:t>
      </w:r>
      <w:r>
        <w:t>, in relation to a transaction —</w:t>
      </w:r>
    </w:p>
    <w:p>
      <w:pPr>
        <w:pStyle w:val="Defpara"/>
        <w:spacing w:before="60"/>
      </w:pPr>
      <w:r>
        <w:tab/>
        <w:t>(a)</w:t>
      </w:r>
      <w:r>
        <w:tab/>
        <w:t>where the transaction is to be completed by the payment of the purchase price by way of a single payment (over and above the deposit), means the payment of the purchase price; or</w:t>
      </w:r>
    </w:p>
    <w:p>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spacing w:before="60"/>
      </w:pPr>
      <w:r>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r>
        <w:rPr>
          <w:b/>
          <w:i/>
        </w:rPr>
        <w:t>business transaction</w:t>
      </w:r>
      <w:r>
        <w:t>,</w:t>
      </w:r>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 No. 128 of 1987 s. 89; No. 43 of 1994 s. 11; No. 59 of 1995 s. 10; No. 34 of 1998 s. 15; No. 58 of 2010 s. 134; No. 44 of 2016 s. 34.]</w:t>
      </w:r>
    </w:p>
    <w:p>
      <w:pPr>
        <w:pStyle w:val="Heading5"/>
      </w:pPr>
      <w:bookmarkStart w:id="75" w:name="_Toc38006687"/>
      <w:r>
        <w:rPr>
          <w:rStyle w:val="CharSectno"/>
        </w:rPr>
        <w:t>61A</w:t>
      </w:r>
      <w:r>
        <w:t>.</w:t>
      </w:r>
      <w:r>
        <w:tab/>
        <w:t>Agents not to demand etc. money etc. for letting etc. from tenants</w:t>
      </w:r>
      <w:bookmarkEnd w:id="75"/>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 No. 59 of 1995 s. 11.]</w:t>
      </w:r>
    </w:p>
    <w:p>
      <w:pPr>
        <w:pStyle w:val="Heading5"/>
        <w:spacing w:before="200"/>
        <w:rPr>
          <w:snapToGrid w:val="0"/>
        </w:rPr>
      </w:pPr>
      <w:bookmarkStart w:id="76" w:name="_Toc38006688"/>
      <w:r>
        <w:rPr>
          <w:rStyle w:val="CharSectno"/>
        </w:rPr>
        <w:t>62</w:t>
      </w:r>
      <w:r>
        <w:rPr>
          <w:snapToGrid w:val="0"/>
        </w:rPr>
        <w:t>.</w:t>
      </w:r>
      <w:r>
        <w:rPr>
          <w:snapToGrid w:val="0"/>
        </w:rPr>
        <w:tab/>
        <w:t>Advertising by agents and developers</w:t>
      </w:r>
      <w:bookmarkEnd w:id="76"/>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spacing w:before="80"/>
        <w:ind w:left="890" w:hanging="890"/>
      </w:pPr>
      <w:r>
        <w:tab/>
        <w:t>[Section 62 amended: No. 84 of 2004 s. 82; No. 58 of 2010 s. 98.]</w:t>
      </w:r>
    </w:p>
    <w:p>
      <w:pPr>
        <w:pStyle w:val="Heading5"/>
        <w:spacing w:before="200"/>
      </w:pPr>
      <w:bookmarkStart w:id="77" w:name="_Toc38006689"/>
      <w:r>
        <w:rPr>
          <w:rStyle w:val="CharSectno"/>
        </w:rPr>
        <w:t>63</w:t>
      </w:r>
      <w:r>
        <w:t>.</w:t>
      </w:r>
      <w:r>
        <w:tab/>
        <w:t>Agents etc. to supply signatories of documents with copies</w:t>
      </w:r>
      <w:bookmarkEnd w:id="77"/>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78" w:name="_Toc38006690"/>
      <w:r>
        <w:rPr>
          <w:rStyle w:val="CharSectno"/>
        </w:rPr>
        <w:t>64</w:t>
      </w:r>
      <w:r>
        <w:rPr>
          <w:snapToGrid w:val="0"/>
        </w:rPr>
        <w:t>.</w:t>
      </w:r>
      <w:r>
        <w:rPr>
          <w:snapToGrid w:val="0"/>
        </w:rPr>
        <w:tab/>
        <w:t>Conflicts of interest of agents etc.</w:t>
      </w:r>
      <w:bookmarkEnd w:id="78"/>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 No. 43 of 1994 s. 11; No. 50 of 2003 s. 88(2).]</w:t>
      </w:r>
    </w:p>
    <w:p>
      <w:pPr>
        <w:pStyle w:val="Heading5"/>
        <w:rPr>
          <w:snapToGrid w:val="0"/>
        </w:rPr>
      </w:pPr>
      <w:bookmarkStart w:id="79" w:name="_Toc38006691"/>
      <w:r>
        <w:rPr>
          <w:rStyle w:val="CharSectno"/>
        </w:rPr>
        <w:t>65</w:t>
      </w:r>
      <w:r>
        <w:rPr>
          <w:snapToGrid w:val="0"/>
        </w:rPr>
        <w:t>.</w:t>
      </w:r>
      <w:r>
        <w:rPr>
          <w:snapToGrid w:val="0"/>
        </w:rPr>
        <w:tab/>
        <w:t>Rates etc., agents to ensure payment and apportionment of</w:t>
      </w:r>
      <w:bookmarkEnd w:id="79"/>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rPr>
          <w:snapToGrid w:val="0"/>
        </w:rPr>
      </w:pPr>
      <w:bookmarkStart w:id="80" w:name="_Toc38006692"/>
      <w:r>
        <w:rPr>
          <w:rStyle w:val="CharSectno"/>
        </w:rPr>
        <w:t>66</w:t>
      </w:r>
      <w:r>
        <w:rPr>
          <w:snapToGrid w:val="0"/>
        </w:rPr>
        <w:t>.</w:t>
      </w:r>
      <w:r>
        <w:rPr>
          <w:snapToGrid w:val="0"/>
        </w:rPr>
        <w:tab/>
        <w:t>Keys to houses etc. and information about tenancies etc., payment for is an offence</w:t>
      </w:r>
      <w:bookmarkEnd w:id="80"/>
    </w:p>
    <w:p>
      <w:pPr>
        <w:pStyle w:val="Subsection"/>
        <w:keepNext/>
        <w:rPr>
          <w:snapToGrid w:val="0"/>
        </w:rPr>
      </w:pPr>
      <w:r>
        <w:rPr>
          <w:snapToGrid w:val="0"/>
        </w:rPr>
        <w:tab/>
        <w:t>(1)</w:t>
      </w:r>
      <w:r>
        <w:rPr>
          <w:snapToGrid w:val="0"/>
        </w:rPr>
        <w:tab/>
        <w:t>Any person who pays, gives, or receives, or offers, promises, or agrees to pay, give, or receive, a sum of money or other consideration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 No. 74 of 1980 s. 6; No. 43 of 1994 s. 11.]</w:t>
      </w:r>
    </w:p>
    <w:p>
      <w:pPr>
        <w:pStyle w:val="Heading2"/>
      </w:pPr>
      <w:bookmarkStart w:id="81" w:name="_Toc38006496"/>
      <w:bookmarkStart w:id="82" w:name="_Toc38006693"/>
      <w:r>
        <w:rPr>
          <w:rStyle w:val="CharPartNo"/>
        </w:rPr>
        <w:t>Part VI</w:t>
      </w:r>
      <w:r>
        <w:rPr>
          <w:rStyle w:val="CharDivNo"/>
        </w:rPr>
        <w:t> </w:t>
      </w:r>
      <w:r>
        <w:t>—</w:t>
      </w:r>
      <w:r>
        <w:rPr>
          <w:rStyle w:val="CharDivText"/>
        </w:rPr>
        <w:t> </w:t>
      </w:r>
      <w:r>
        <w:rPr>
          <w:rStyle w:val="CharPartText"/>
        </w:rPr>
        <w:t>Agents’ trust accounts</w:t>
      </w:r>
      <w:bookmarkEnd w:id="81"/>
      <w:bookmarkEnd w:id="82"/>
    </w:p>
    <w:p>
      <w:pPr>
        <w:pStyle w:val="Heading5"/>
        <w:rPr>
          <w:snapToGrid w:val="0"/>
        </w:rPr>
      </w:pPr>
      <w:bookmarkStart w:id="83" w:name="_Toc38006694"/>
      <w:r>
        <w:rPr>
          <w:rStyle w:val="CharSectno"/>
        </w:rPr>
        <w:t>67</w:t>
      </w:r>
      <w:r>
        <w:rPr>
          <w:snapToGrid w:val="0"/>
        </w:rPr>
        <w:t>.</w:t>
      </w:r>
      <w:r>
        <w:rPr>
          <w:snapToGrid w:val="0"/>
        </w:rPr>
        <w:tab/>
        <w:t>Terms used</w:t>
      </w:r>
      <w:bookmarkEnd w:id="83"/>
    </w:p>
    <w:p>
      <w:pPr>
        <w:pStyle w:val="Subsection"/>
        <w:keepNext/>
        <w:rPr>
          <w:snapToGrid w:val="0"/>
        </w:rPr>
      </w:pPr>
      <w:r>
        <w:rPr>
          <w:snapToGrid w:val="0"/>
        </w:rPr>
        <w:tab/>
      </w:r>
      <w:r>
        <w:rPr>
          <w:snapToGrid w:val="0"/>
        </w:rPr>
        <w:tab/>
        <w:t>In this Part, unless the context otherwise requires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 No. 59 of 1995 s. 12; No. 26 of 1999 s. 99(3).]</w:t>
      </w:r>
    </w:p>
    <w:p>
      <w:pPr>
        <w:pStyle w:val="Heading5"/>
        <w:rPr>
          <w:snapToGrid w:val="0"/>
        </w:rPr>
      </w:pPr>
      <w:bookmarkStart w:id="84" w:name="_Toc38006695"/>
      <w:r>
        <w:rPr>
          <w:rStyle w:val="CharSectno"/>
        </w:rPr>
        <w:t>68</w:t>
      </w:r>
      <w:r>
        <w:rPr>
          <w:snapToGrid w:val="0"/>
        </w:rPr>
        <w:t>.</w:t>
      </w:r>
      <w:r>
        <w:rPr>
          <w:snapToGrid w:val="0"/>
        </w:rPr>
        <w:tab/>
        <w:t>Trust accounts, use of etc.</w:t>
      </w:r>
      <w:bookmarkEnd w:id="84"/>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 No. 59 of 1995 s. 13.]</w:t>
      </w:r>
    </w:p>
    <w:p>
      <w:pPr>
        <w:pStyle w:val="Heading5"/>
        <w:rPr>
          <w:snapToGrid w:val="0"/>
        </w:rPr>
      </w:pPr>
      <w:bookmarkStart w:id="85" w:name="_Toc38006696"/>
      <w:r>
        <w:rPr>
          <w:rStyle w:val="CharSectno"/>
        </w:rPr>
        <w:t>68A</w:t>
      </w:r>
      <w:r>
        <w:rPr>
          <w:snapToGrid w:val="0"/>
        </w:rPr>
        <w:t>.</w:t>
      </w:r>
      <w:r>
        <w:rPr>
          <w:snapToGrid w:val="0"/>
        </w:rPr>
        <w:tab/>
        <w:t>Client may ask agent for separate trust account</w:t>
      </w:r>
      <w:bookmarkEnd w:id="85"/>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pPr>
        <w:pStyle w:val="Indenta"/>
        <w:rPr>
          <w:snapToGrid w:val="0"/>
        </w:rPr>
      </w:pPr>
      <w:r>
        <w:rPr>
          <w:snapToGrid w:val="0"/>
        </w:rPr>
        <w:tab/>
        <w:t>(a)</w:t>
      </w:r>
      <w:r>
        <w:rPr>
          <w:snapToGrid w:val="0"/>
        </w:rPr>
        <w:tab/>
        <w:t>the amount of moneys paid to the agent; or</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68A inserted: No. 59 of 1995 s. 14.]</w:t>
      </w:r>
    </w:p>
    <w:p>
      <w:pPr>
        <w:pStyle w:val="Heading5"/>
        <w:rPr>
          <w:snapToGrid w:val="0"/>
        </w:rPr>
      </w:pPr>
      <w:bookmarkStart w:id="86" w:name="_Toc38006697"/>
      <w:r>
        <w:rPr>
          <w:rStyle w:val="CharSectno"/>
        </w:rPr>
        <w:t>68B</w:t>
      </w:r>
      <w:r>
        <w:rPr>
          <w:snapToGrid w:val="0"/>
        </w:rPr>
        <w:t>.</w:t>
      </w:r>
      <w:r>
        <w:rPr>
          <w:snapToGrid w:val="0"/>
        </w:rPr>
        <w:tab/>
        <w:t>Interest on trust accounts to be paid by financial institutions</w:t>
      </w:r>
      <w:bookmarkEnd w:id="86"/>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No. 59 of 1995 s. 14</w:t>
      </w:r>
      <w:r>
        <w:rPr>
          <w:spacing w:val="-4"/>
        </w:rPr>
        <w:t>; amended: No. 47 of 2011 s.</w:t>
      </w:r>
      <w:r>
        <w:t> 25(4).]</w:t>
      </w:r>
    </w:p>
    <w:p>
      <w:pPr>
        <w:pStyle w:val="Heading5"/>
        <w:rPr>
          <w:snapToGrid w:val="0"/>
        </w:rPr>
      </w:pPr>
      <w:bookmarkStart w:id="87" w:name="_Toc38006698"/>
      <w:r>
        <w:rPr>
          <w:rStyle w:val="CharSectno"/>
        </w:rPr>
        <w:t>68C</w:t>
      </w:r>
      <w:r>
        <w:rPr>
          <w:snapToGrid w:val="0"/>
        </w:rPr>
        <w:t>.</w:t>
      </w:r>
      <w:r>
        <w:rPr>
          <w:snapToGrid w:val="0"/>
        </w:rPr>
        <w:tab/>
      </w:r>
      <w:r>
        <w:t>Agents to give Commissioner information about trust accounts</w:t>
      </w:r>
      <w:bookmarkEnd w:id="87"/>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 No. 59 of 1995 s. 14; amended: No. 58 of 2010 s. 134.]</w:t>
      </w:r>
    </w:p>
    <w:p>
      <w:pPr>
        <w:pStyle w:val="Heading5"/>
        <w:rPr>
          <w:snapToGrid w:val="0"/>
        </w:rPr>
      </w:pPr>
      <w:bookmarkStart w:id="88" w:name="_Toc38006699"/>
      <w:r>
        <w:rPr>
          <w:rStyle w:val="CharSectno"/>
        </w:rPr>
        <w:t>69</w:t>
      </w:r>
      <w:r>
        <w:rPr>
          <w:snapToGrid w:val="0"/>
        </w:rPr>
        <w:t>.</w:t>
      </w:r>
      <w:r>
        <w:rPr>
          <w:snapToGrid w:val="0"/>
        </w:rPr>
        <w:tab/>
        <w:t>Money received by agents, duties as to</w:t>
      </w:r>
      <w:bookmarkEnd w:id="88"/>
    </w:p>
    <w:p>
      <w:pPr>
        <w:pStyle w:val="Subsection"/>
        <w:keepNext/>
        <w:rPr>
          <w:snapToGrid w:val="0"/>
        </w:rPr>
      </w:pPr>
      <w:r>
        <w:rPr>
          <w:snapToGrid w:val="0"/>
        </w:rPr>
        <w:tab/>
        <w:t>(1)</w:t>
      </w:r>
      <w:r>
        <w:rPr>
          <w:snapToGrid w:val="0"/>
        </w:rPr>
        <w:tab/>
        <w:t>When an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No. 74 of 1980 s. 7; No. 59 of 1995 s. 15; No. 58 of 2010 s. 134.]</w:t>
      </w:r>
    </w:p>
    <w:p>
      <w:pPr>
        <w:pStyle w:val="Heading5"/>
        <w:rPr>
          <w:snapToGrid w:val="0"/>
        </w:rPr>
      </w:pPr>
      <w:bookmarkStart w:id="89" w:name="_Toc38006700"/>
      <w:r>
        <w:rPr>
          <w:rStyle w:val="CharSectno"/>
        </w:rPr>
        <w:t>70</w:t>
      </w:r>
      <w:r>
        <w:rPr>
          <w:snapToGrid w:val="0"/>
        </w:rPr>
        <w:t>.</w:t>
      </w:r>
      <w:r>
        <w:rPr>
          <w:snapToGrid w:val="0"/>
        </w:rPr>
        <w:tab/>
        <w:t>Audits of trust accounts</w:t>
      </w:r>
      <w:bookmarkEnd w:id="89"/>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[Section 70 amended: No. 29 of 1982 s. 12; No. 59 of 1995 s. 42; No. 77 of 2006 Sch. 1 cl. 147(2); No. 58 of 2010 s. 99 and 134.]</w:t>
      </w:r>
    </w:p>
    <w:p>
      <w:pPr>
        <w:pStyle w:val="Heading5"/>
        <w:rPr>
          <w:snapToGrid w:val="0"/>
        </w:rPr>
      </w:pPr>
      <w:bookmarkStart w:id="90" w:name="_Toc38006701"/>
      <w:r>
        <w:rPr>
          <w:rStyle w:val="CharSectno"/>
        </w:rPr>
        <w:t>71</w:t>
      </w:r>
      <w:r>
        <w:rPr>
          <w:snapToGrid w:val="0"/>
        </w:rPr>
        <w:t>.</w:t>
      </w:r>
      <w:r>
        <w:rPr>
          <w:snapToGrid w:val="0"/>
        </w:rPr>
        <w:tab/>
      </w:r>
      <w:r>
        <w:t>Date of audit, Commissioner may change</w:t>
      </w:r>
      <w:bookmarkEnd w:id="90"/>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71 amended: No. 58 of 2010 s. 134.]</w:t>
      </w:r>
    </w:p>
    <w:p>
      <w:pPr>
        <w:pStyle w:val="Heading5"/>
        <w:rPr>
          <w:snapToGrid w:val="0"/>
        </w:rPr>
      </w:pPr>
      <w:bookmarkStart w:id="91" w:name="_Toc38006702"/>
      <w:r>
        <w:rPr>
          <w:rStyle w:val="CharSectno"/>
        </w:rPr>
        <w:t>72</w:t>
      </w:r>
      <w:r>
        <w:rPr>
          <w:snapToGrid w:val="0"/>
        </w:rPr>
        <w:t>.</w:t>
      </w:r>
      <w:r>
        <w:rPr>
          <w:snapToGrid w:val="0"/>
        </w:rPr>
        <w:tab/>
        <w:t>Auditors, qualification and approval of</w:t>
      </w:r>
      <w:bookmarkEnd w:id="91"/>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 No. 10 of 1982 s. 28; No. 59 of 1995 s. 16; No. 10 of 2001 s. 220; No. 28 of 2003 s. 175; No. 58 of 2010 s. 134.]</w:t>
      </w:r>
    </w:p>
    <w:p>
      <w:pPr>
        <w:pStyle w:val="Heading5"/>
        <w:rPr>
          <w:snapToGrid w:val="0"/>
        </w:rPr>
      </w:pPr>
      <w:bookmarkStart w:id="92" w:name="_Toc38006703"/>
      <w:r>
        <w:rPr>
          <w:rStyle w:val="CharSectno"/>
        </w:rPr>
        <w:t>73</w:t>
      </w:r>
      <w:r>
        <w:rPr>
          <w:snapToGrid w:val="0"/>
        </w:rPr>
        <w:t>.</w:t>
      </w:r>
      <w:r>
        <w:rPr>
          <w:snapToGrid w:val="0"/>
        </w:rPr>
        <w:tab/>
        <w:t>Auditors, appointment of</w:t>
      </w:r>
      <w:bookmarkEnd w:id="92"/>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73 amended: No. 58 of 2010 s. 134.]</w:t>
      </w:r>
    </w:p>
    <w:p>
      <w:pPr>
        <w:pStyle w:val="Heading5"/>
        <w:rPr>
          <w:snapToGrid w:val="0"/>
        </w:rPr>
      </w:pPr>
      <w:bookmarkStart w:id="93" w:name="_Toc38006704"/>
      <w:r>
        <w:rPr>
          <w:rStyle w:val="CharSectno"/>
        </w:rPr>
        <w:t>74</w:t>
      </w:r>
      <w:r>
        <w:rPr>
          <w:snapToGrid w:val="0"/>
        </w:rPr>
        <w:t>.</w:t>
      </w:r>
      <w:r>
        <w:rPr>
          <w:snapToGrid w:val="0"/>
        </w:rPr>
        <w:tab/>
        <w:t>Audits of business carried on at more than one place, directions as to</w:t>
      </w:r>
      <w:bookmarkEnd w:id="93"/>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r>
        <w:tab/>
        <w:t>[Section 74 amended: No. 58 of 2010 s. 134.]</w:t>
      </w:r>
    </w:p>
    <w:p>
      <w:pPr>
        <w:pStyle w:val="Heading5"/>
        <w:rPr>
          <w:snapToGrid w:val="0"/>
        </w:rPr>
      </w:pPr>
      <w:bookmarkStart w:id="94" w:name="_Toc38006705"/>
      <w:r>
        <w:rPr>
          <w:rStyle w:val="CharSectno"/>
        </w:rPr>
        <w:t>75</w:t>
      </w:r>
      <w:r>
        <w:rPr>
          <w:snapToGrid w:val="0"/>
        </w:rPr>
        <w:t>.</w:t>
      </w:r>
      <w:r>
        <w:rPr>
          <w:snapToGrid w:val="0"/>
        </w:rPr>
        <w:tab/>
      </w:r>
      <w:r>
        <w:t>Approvals etc. under this Part, Commissioner’s power to cancel etc.</w:t>
      </w:r>
      <w:bookmarkEnd w:id="94"/>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r>
        <w:tab/>
        <w:t>[Section 75 amended: No. 58 of 2010 s. 134.]</w:t>
      </w:r>
    </w:p>
    <w:p>
      <w:pPr>
        <w:pStyle w:val="Ednotesection"/>
        <w:ind w:left="0" w:firstLine="0"/>
      </w:pPr>
      <w:r>
        <w:t>[</w:t>
      </w:r>
      <w:r>
        <w:rPr>
          <w:b/>
        </w:rPr>
        <w:t>76.</w:t>
      </w:r>
      <w:r>
        <w:tab/>
        <w:t>Deleted: No. 55 of 2004 s. 1012.]</w:t>
      </w:r>
    </w:p>
    <w:p>
      <w:pPr>
        <w:pStyle w:val="Heading5"/>
        <w:rPr>
          <w:snapToGrid w:val="0"/>
        </w:rPr>
      </w:pPr>
      <w:bookmarkStart w:id="95" w:name="_Toc38006706"/>
      <w:r>
        <w:rPr>
          <w:rStyle w:val="CharSectno"/>
        </w:rPr>
        <w:t>77</w:t>
      </w:r>
      <w:r>
        <w:rPr>
          <w:snapToGrid w:val="0"/>
        </w:rPr>
        <w:t>.</w:t>
      </w:r>
      <w:r>
        <w:rPr>
          <w:snapToGrid w:val="0"/>
        </w:rPr>
        <w:tab/>
        <w:t>Audits, agents’ duties and auditors’ powers as to</w:t>
      </w:r>
      <w:bookmarkEnd w:id="95"/>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96" w:name="_Toc38006707"/>
      <w:r>
        <w:rPr>
          <w:rStyle w:val="CharSectno"/>
        </w:rPr>
        <w:t>78</w:t>
      </w:r>
      <w:r>
        <w:rPr>
          <w:snapToGrid w:val="0"/>
        </w:rPr>
        <w:t>.</w:t>
      </w:r>
      <w:r>
        <w:rPr>
          <w:snapToGrid w:val="0"/>
        </w:rPr>
        <w:tab/>
        <w:t>Audits, bankers’ duties as to</w:t>
      </w:r>
      <w:bookmarkEnd w:id="96"/>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97" w:name="_Toc38006708"/>
      <w:r>
        <w:rPr>
          <w:rStyle w:val="CharSectno"/>
        </w:rPr>
        <w:t>79</w:t>
      </w:r>
      <w:r>
        <w:rPr>
          <w:snapToGrid w:val="0"/>
        </w:rPr>
        <w:t>.</w:t>
      </w:r>
      <w:r>
        <w:rPr>
          <w:snapToGrid w:val="0"/>
        </w:rPr>
        <w:tab/>
        <w:t>Auditors’ reports, content of</w:t>
      </w:r>
      <w:bookmarkEnd w:id="97"/>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pPr>
        <w:pStyle w:val="Indenta"/>
        <w:rPr>
          <w:snapToGrid w:val="0"/>
        </w:rPr>
      </w:pPr>
      <w:r>
        <w:rPr>
          <w:snapToGrid w:val="0"/>
        </w:rPr>
        <w:tab/>
        <w:t>(a)</w:t>
      </w:r>
      <w:r>
        <w:rPr>
          <w:snapToGrid w:val="0"/>
        </w:rPr>
        <w:tab/>
        <w:t>whether the trust accounts of such agent have in the opinion of the auditor been kept regularly and properly written up; and</w:t>
      </w:r>
    </w:p>
    <w:p>
      <w:pPr>
        <w:pStyle w:val="Indenta"/>
        <w:rPr>
          <w:snapToGrid w:val="0"/>
        </w:rPr>
      </w:pPr>
      <w:r>
        <w:rPr>
          <w:snapToGrid w:val="0"/>
        </w:rPr>
        <w:tab/>
        <w:t>(b)</w:t>
      </w:r>
      <w:r>
        <w:rPr>
          <w:snapToGrid w:val="0"/>
        </w:rPr>
        <w:tab/>
        <w:t>whether the trust accounts of such agent have been ready for examination at the periods appointed by the auditor; and</w:t>
      </w:r>
    </w:p>
    <w:p>
      <w:pPr>
        <w:pStyle w:val="Indenta"/>
        <w:rPr>
          <w:snapToGrid w:val="0"/>
        </w:rPr>
      </w:pPr>
      <w:r>
        <w:rPr>
          <w:snapToGrid w:val="0"/>
        </w:rPr>
        <w:tab/>
        <w:t>(c)</w:t>
      </w:r>
      <w:r>
        <w:rPr>
          <w:snapToGrid w:val="0"/>
        </w:rPr>
        <w:tab/>
        <w:t>whether such agent has complied with the auditor’s requirements; and</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 No. 74 of 1980 s. 10; No. 59 of 1995 s. 17; No. 58 of 2010 s. 134.]</w:t>
      </w:r>
    </w:p>
    <w:p>
      <w:pPr>
        <w:pStyle w:val="Heading5"/>
        <w:rPr>
          <w:snapToGrid w:val="0"/>
        </w:rPr>
      </w:pPr>
      <w:bookmarkStart w:id="98" w:name="_Toc38006709"/>
      <w:r>
        <w:rPr>
          <w:rStyle w:val="CharSectno"/>
        </w:rPr>
        <w:t>80</w:t>
      </w:r>
      <w:r>
        <w:rPr>
          <w:snapToGrid w:val="0"/>
        </w:rPr>
        <w:t>.</w:t>
      </w:r>
      <w:r>
        <w:rPr>
          <w:snapToGrid w:val="0"/>
        </w:rPr>
        <w:tab/>
        <w:t>Moneys etc. held on trust, statement of by agents</w:t>
      </w:r>
      <w:bookmarkEnd w:id="98"/>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99" w:name="_Toc38006710"/>
      <w:r>
        <w:rPr>
          <w:rStyle w:val="CharSectno"/>
        </w:rPr>
        <w:t>81</w:t>
      </w:r>
      <w:r>
        <w:rPr>
          <w:snapToGrid w:val="0"/>
        </w:rPr>
        <w:t>.</w:t>
      </w:r>
      <w:r>
        <w:rPr>
          <w:snapToGrid w:val="0"/>
        </w:rPr>
        <w:tab/>
        <w:t>Auditor’s report to report breaches of law etc.</w:t>
      </w:r>
      <w:bookmarkEnd w:id="99"/>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r>
        <w:tab/>
        <w:t>[Section 81 amended: No. 58 of 2010 s. 134.]</w:t>
      </w:r>
    </w:p>
    <w:p>
      <w:pPr>
        <w:pStyle w:val="Heading5"/>
        <w:rPr>
          <w:snapToGrid w:val="0"/>
        </w:rPr>
      </w:pPr>
      <w:bookmarkStart w:id="100" w:name="_Toc38006711"/>
      <w:r>
        <w:rPr>
          <w:rStyle w:val="CharSectno"/>
        </w:rPr>
        <w:t>82</w:t>
      </w:r>
      <w:r>
        <w:rPr>
          <w:snapToGrid w:val="0"/>
        </w:rPr>
        <w:t>.</w:t>
      </w:r>
      <w:r>
        <w:rPr>
          <w:snapToGrid w:val="0"/>
        </w:rPr>
        <w:tab/>
        <w:t>Auditors’ duty of confidentiality</w:t>
      </w:r>
      <w:bookmarkEnd w:id="100"/>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101" w:name="_Toc38006712"/>
      <w:r>
        <w:rPr>
          <w:rStyle w:val="CharSectno"/>
        </w:rPr>
        <w:t>83</w:t>
      </w:r>
      <w:r>
        <w:rPr>
          <w:snapToGrid w:val="0"/>
        </w:rPr>
        <w:t>.</w:t>
      </w:r>
      <w:r>
        <w:rPr>
          <w:snapToGrid w:val="0"/>
        </w:rPr>
        <w:tab/>
        <w:t>Right of some persons to information in auditors’ reports</w:t>
      </w:r>
      <w:bookmarkEnd w:id="101"/>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r>
        <w:tab/>
        <w:t>[Section 83 amended: No. 58 of 2010 s. 100 and 134.]</w:t>
      </w:r>
    </w:p>
    <w:p>
      <w:pPr>
        <w:pStyle w:val="Heading5"/>
        <w:rPr>
          <w:snapToGrid w:val="0"/>
        </w:rPr>
      </w:pPr>
      <w:bookmarkStart w:id="102" w:name="_Toc38006713"/>
      <w:r>
        <w:rPr>
          <w:rStyle w:val="CharSectno"/>
        </w:rPr>
        <w:t>84</w:t>
      </w:r>
      <w:r>
        <w:rPr>
          <w:snapToGrid w:val="0"/>
        </w:rPr>
        <w:t>.</w:t>
      </w:r>
      <w:r>
        <w:rPr>
          <w:snapToGrid w:val="0"/>
        </w:rPr>
        <w:tab/>
        <w:t>Offences under this Part</w:t>
      </w:r>
      <w:bookmarkEnd w:id="102"/>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pPr>
      <w:r>
        <w:tab/>
        <w:t>Penalty for this subsection:</w:t>
      </w:r>
    </w:p>
    <w:p>
      <w:pPr>
        <w:pStyle w:val="Penpara"/>
      </w:pPr>
      <w:r>
        <w:tab/>
        <w:t>(a)</w:t>
      </w:r>
      <w:r>
        <w:tab/>
        <w:t>in the case of an offence against section 68(4) or (5), a fine of $25 000, or 2 years’ imprisonment;</w:t>
      </w:r>
    </w:p>
    <w:p>
      <w:pPr>
        <w:pStyle w:val="Penpara"/>
      </w:pPr>
      <w:r>
        <w:tab/>
        <w:t>(b)</w:t>
      </w:r>
      <w:r>
        <w:tab/>
        <w:t>in the case of an offence against section 68B(1), a fine of $50 000;</w:t>
      </w:r>
    </w:p>
    <w:p>
      <w:pPr>
        <w:pStyle w:val="Penpara"/>
      </w:pPr>
      <w:r>
        <w:tab/>
        <w:t>(c)</w:t>
      </w:r>
      <w:r>
        <w:tab/>
        <w:t>in any other case, a fine of $25 000.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 No. 43 of 1994 s. 11; No. 59 of 1995 s. 18; No. 25 of 2019 s. 53.]</w:t>
      </w:r>
    </w:p>
    <w:p>
      <w:pPr>
        <w:pStyle w:val="Heading5"/>
        <w:rPr>
          <w:snapToGrid w:val="0"/>
        </w:rPr>
      </w:pPr>
      <w:bookmarkStart w:id="103" w:name="_Toc38006714"/>
      <w:r>
        <w:rPr>
          <w:rStyle w:val="CharSectno"/>
        </w:rPr>
        <w:t>85</w:t>
      </w:r>
      <w:r>
        <w:rPr>
          <w:snapToGrid w:val="0"/>
        </w:rPr>
        <w:t>.</w:t>
      </w:r>
      <w:r>
        <w:rPr>
          <w:snapToGrid w:val="0"/>
        </w:rPr>
        <w:tab/>
        <w:t>Auditors’ remuneration</w:t>
      </w:r>
      <w:bookmarkEnd w:id="103"/>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104" w:name="_Toc38006715"/>
      <w:r>
        <w:rPr>
          <w:rStyle w:val="CharSectno"/>
        </w:rPr>
        <w:t>86</w:t>
      </w:r>
      <w:r>
        <w:rPr>
          <w:snapToGrid w:val="0"/>
        </w:rPr>
        <w:t>.</w:t>
      </w:r>
      <w:r>
        <w:rPr>
          <w:snapToGrid w:val="0"/>
        </w:rPr>
        <w:tab/>
        <w:t>Agents with no accounts to audit</w:t>
      </w:r>
      <w:bookmarkEnd w:id="104"/>
    </w:p>
    <w:p>
      <w:pPr>
        <w:pStyle w:val="Subsection"/>
        <w:keepLines/>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r>
        <w:tab/>
        <w:t>[Section 86 amended: No. 58 of 2010 s. 134.]</w:t>
      </w:r>
    </w:p>
    <w:p>
      <w:pPr>
        <w:pStyle w:val="Heading5"/>
        <w:rPr>
          <w:snapToGrid w:val="0"/>
        </w:rPr>
      </w:pPr>
      <w:bookmarkStart w:id="105" w:name="_Toc38006716"/>
      <w:r>
        <w:rPr>
          <w:rStyle w:val="CharSectno"/>
        </w:rPr>
        <w:t>87</w:t>
      </w:r>
      <w:r>
        <w:rPr>
          <w:snapToGrid w:val="0"/>
        </w:rPr>
        <w:t>.</w:t>
      </w:r>
      <w:r>
        <w:rPr>
          <w:snapToGrid w:val="0"/>
        </w:rPr>
        <w:tab/>
        <w:t>Accounts of firm or body corporate or agent with branch office, effect of audits as to</w:t>
      </w:r>
      <w:bookmarkEnd w:id="105"/>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106" w:name="_Toc38006717"/>
      <w:r>
        <w:rPr>
          <w:rStyle w:val="CharSectno"/>
        </w:rPr>
        <w:t>88</w:t>
      </w:r>
      <w:r>
        <w:rPr>
          <w:snapToGrid w:val="0"/>
        </w:rPr>
        <w:t>.</w:t>
      </w:r>
      <w:r>
        <w:rPr>
          <w:snapToGrid w:val="0"/>
        </w:rPr>
        <w:tab/>
      </w:r>
      <w:r>
        <w:t>Audit of trust account, Commissioner may do</w:t>
      </w:r>
      <w:bookmarkEnd w:id="106"/>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 No. 58 of 2010 s. 134.]</w:t>
      </w:r>
    </w:p>
    <w:p>
      <w:pPr>
        <w:pStyle w:val="Ednotesection"/>
      </w:pPr>
      <w:r>
        <w:t>[</w:t>
      </w:r>
      <w:r>
        <w:rPr>
          <w:b/>
        </w:rPr>
        <w:t>89.</w:t>
      </w:r>
      <w:r>
        <w:tab/>
        <w:t>Deleted: No. 74 of 1980 s. 9.]</w:t>
      </w:r>
    </w:p>
    <w:p>
      <w:pPr>
        <w:pStyle w:val="Heading5"/>
        <w:rPr>
          <w:snapToGrid w:val="0"/>
        </w:rPr>
      </w:pPr>
      <w:bookmarkStart w:id="107" w:name="_Toc38006718"/>
      <w:r>
        <w:rPr>
          <w:rStyle w:val="CharSectno"/>
        </w:rPr>
        <w:t>90</w:t>
      </w:r>
      <w:r>
        <w:rPr>
          <w:snapToGrid w:val="0"/>
        </w:rPr>
        <w:t>.</w:t>
      </w:r>
      <w:r>
        <w:rPr>
          <w:snapToGrid w:val="0"/>
        </w:rPr>
        <w:tab/>
        <w:t>Cost of audit done under s. 88</w:t>
      </w:r>
      <w:bookmarkEnd w:id="107"/>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[Section 90 amended: No. 29 of 1982 s. 12; No. 59 of 1995 s. 42; No. 77 of 2006 Sch. 1 cl. 147(2); No. 58 of 2010 s. 134.]</w:t>
      </w:r>
    </w:p>
    <w:p>
      <w:pPr>
        <w:pStyle w:val="Heading5"/>
        <w:rPr>
          <w:snapToGrid w:val="0"/>
        </w:rPr>
      </w:pPr>
      <w:bookmarkStart w:id="108" w:name="_Toc38006719"/>
      <w:r>
        <w:rPr>
          <w:rStyle w:val="CharSectno"/>
        </w:rPr>
        <w:t>91</w:t>
      </w:r>
      <w:r>
        <w:rPr>
          <w:snapToGrid w:val="0"/>
        </w:rPr>
        <w:t>.</w:t>
      </w:r>
      <w:r>
        <w:rPr>
          <w:snapToGrid w:val="0"/>
        </w:rPr>
        <w:tab/>
        <w:t>Confidentiality of audit done under s. 88</w:t>
      </w:r>
      <w:bookmarkEnd w:id="108"/>
    </w:p>
    <w:p>
      <w:pPr>
        <w:pStyle w:val="Subsection"/>
        <w:spacing w:before="120"/>
        <w:rPr>
          <w:snapToGrid w:val="0"/>
        </w:rPr>
      </w:pPr>
      <w:r>
        <w:rPr>
          <w:snapToGrid w:val="0"/>
        </w:rPr>
        <w:tab/>
      </w:r>
      <w:r>
        <w:rPr>
          <w:snapToGrid w:val="0"/>
        </w:rPr>
        <w:tab/>
        <w:t>The provisions of section 82 apply to an auditor nominated by the </w:t>
      </w:r>
      <w:r>
        <w:t>Commissioner</w:t>
      </w:r>
      <w:r>
        <w:rPr>
          <w:snapToGrid w:val="0"/>
        </w:rPr>
        <w:t xml:space="preserve"> under section 88 with such modifications as circumstances require.</w:t>
      </w:r>
    </w:p>
    <w:p>
      <w:pPr>
        <w:pStyle w:val="Footnotesection"/>
        <w:spacing w:before="80"/>
        <w:ind w:left="890" w:hanging="890"/>
      </w:pPr>
      <w:r>
        <w:tab/>
        <w:t>[Section 91 amended: No. 74 of 2003 s. 101; No. 23 of 2014 s. 75.]</w:t>
      </w:r>
    </w:p>
    <w:p>
      <w:pPr>
        <w:pStyle w:val="Heading5"/>
        <w:keepNext w:val="0"/>
        <w:keepLines w:val="0"/>
        <w:rPr>
          <w:snapToGrid w:val="0"/>
        </w:rPr>
      </w:pPr>
      <w:bookmarkStart w:id="109" w:name="_Toc38006720"/>
      <w:r>
        <w:rPr>
          <w:rStyle w:val="CharSectno"/>
        </w:rPr>
        <w:t>92</w:t>
      </w:r>
      <w:r>
        <w:rPr>
          <w:snapToGrid w:val="0"/>
        </w:rPr>
        <w:t>.</w:t>
      </w:r>
      <w:r>
        <w:rPr>
          <w:snapToGrid w:val="0"/>
        </w:rPr>
        <w:tab/>
        <w:t>Restraining bank etc. from dealing with agent’s account, SAT’s powers as to</w:t>
      </w:r>
      <w:bookmarkEnd w:id="109"/>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No. 59 of 1995 s. 40(1); No. 26 of 1999 s. 99(4); No. 55 of 2004 s. 1021; No. 58 of 2010 s. 134.]</w:t>
      </w:r>
    </w:p>
    <w:p>
      <w:pPr>
        <w:pStyle w:val="Heading5"/>
        <w:rPr>
          <w:snapToGrid w:val="0"/>
        </w:rPr>
      </w:pPr>
      <w:bookmarkStart w:id="110" w:name="_Toc38006721"/>
      <w:r>
        <w:rPr>
          <w:rStyle w:val="CharSectno"/>
        </w:rPr>
        <w:t>93</w:t>
      </w:r>
      <w:r>
        <w:rPr>
          <w:snapToGrid w:val="0"/>
        </w:rPr>
        <w:t>.</w:t>
      </w:r>
      <w:r>
        <w:rPr>
          <w:snapToGrid w:val="0"/>
        </w:rPr>
        <w:tab/>
        <w:t>Suspension of agents, appointment of supervisors etc., SAT’s powers as to</w:t>
      </w:r>
      <w:bookmarkEnd w:id="110"/>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agent from carrying on his business for such period as may be specified in the order; and</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 No. 59 of 1995 s. 42; No. 55 of 2004 s. 1021; No. 77 of 2006 Sch. 1 cl. 147(4) and (5); No. 58 of 2010 s. 134.]</w:t>
      </w:r>
    </w:p>
    <w:p>
      <w:pPr>
        <w:pStyle w:val="Heading5"/>
        <w:rPr>
          <w:snapToGrid w:val="0"/>
        </w:rPr>
      </w:pPr>
      <w:bookmarkStart w:id="111" w:name="_Toc38006722"/>
      <w:r>
        <w:rPr>
          <w:rStyle w:val="CharSectno"/>
        </w:rPr>
        <w:t>94</w:t>
      </w:r>
      <w:r>
        <w:rPr>
          <w:snapToGrid w:val="0"/>
        </w:rPr>
        <w:t>.</w:t>
      </w:r>
      <w:r>
        <w:rPr>
          <w:snapToGrid w:val="0"/>
        </w:rPr>
        <w:tab/>
        <w:t>Order under s. 93 for supervisor, effect of</w:t>
      </w:r>
      <w:bookmarkEnd w:id="111"/>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r>
        <w:tab/>
        <w:t>[Section 94 amended: No. 58 of 2010 s. 101 and 134.]</w:t>
      </w:r>
    </w:p>
    <w:p>
      <w:pPr>
        <w:pStyle w:val="Heading5"/>
        <w:rPr>
          <w:snapToGrid w:val="0"/>
        </w:rPr>
      </w:pPr>
      <w:bookmarkStart w:id="112" w:name="_Toc38006723"/>
      <w:r>
        <w:rPr>
          <w:rStyle w:val="CharSectno"/>
        </w:rPr>
        <w:t>95</w:t>
      </w:r>
      <w:r>
        <w:rPr>
          <w:snapToGrid w:val="0"/>
        </w:rPr>
        <w:t>.</w:t>
      </w:r>
      <w:r>
        <w:rPr>
          <w:snapToGrid w:val="0"/>
        </w:rPr>
        <w:tab/>
        <w:t>Supervisors’ duties</w:t>
      </w:r>
      <w:bookmarkEnd w:id="112"/>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13" w:name="_Toc38006724"/>
      <w:r>
        <w:rPr>
          <w:rStyle w:val="CharSectno"/>
        </w:rPr>
        <w:t>96</w:t>
      </w:r>
      <w:r>
        <w:rPr>
          <w:snapToGrid w:val="0"/>
        </w:rPr>
        <w:t>.</w:t>
      </w:r>
      <w:r>
        <w:rPr>
          <w:snapToGrid w:val="0"/>
        </w:rPr>
        <w:tab/>
        <w:t>Hindering etc. supervisors, offence</w:t>
      </w:r>
      <w:bookmarkEnd w:id="113"/>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 No. 43 of 1994 s. 11.]</w:t>
      </w:r>
    </w:p>
    <w:p>
      <w:pPr>
        <w:pStyle w:val="Heading5"/>
        <w:rPr>
          <w:snapToGrid w:val="0"/>
        </w:rPr>
      </w:pPr>
      <w:bookmarkStart w:id="114" w:name="_Toc38006725"/>
      <w:r>
        <w:rPr>
          <w:rStyle w:val="CharSectno"/>
        </w:rPr>
        <w:t>97</w:t>
      </w:r>
      <w:r>
        <w:rPr>
          <w:snapToGrid w:val="0"/>
        </w:rPr>
        <w:t>.</w:t>
      </w:r>
      <w:r>
        <w:rPr>
          <w:snapToGrid w:val="0"/>
        </w:rPr>
        <w:tab/>
        <w:t>Discharge or variation of s. 92 or 93 order</w:t>
      </w:r>
      <w:bookmarkEnd w:id="114"/>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97 amended: No. 55 of 2004 s. 1021.]</w:t>
      </w:r>
    </w:p>
    <w:p>
      <w:pPr>
        <w:pStyle w:val="Heading5"/>
        <w:rPr>
          <w:snapToGrid w:val="0"/>
        </w:rPr>
      </w:pPr>
      <w:bookmarkStart w:id="115" w:name="_Toc38006726"/>
      <w:r>
        <w:rPr>
          <w:rStyle w:val="CharSectno"/>
        </w:rPr>
        <w:t>98</w:t>
      </w:r>
      <w:r>
        <w:rPr>
          <w:snapToGrid w:val="0"/>
        </w:rPr>
        <w:t>.</w:t>
      </w:r>
      <w:r>
        <w:rPr>
          <w:snapToGrid w:val="0"/>
        </w:rPr>
        <w:tab/>
        <w:t>SAT’s additional powers as to s. 92, 93 and 97 orders; schemes for distributing funds</w:t>
      </w:r>
      <w:bookmarkEnd w:id="115"/>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No. 59 of 1995 s. 40(1) and 42; No. 26 of 1999 s. 99(5); No. 55 of 2004 s. 1021; No. 77 of 2006 Sch. 1 cl. 147(6) and (7); No. 58 of 2010 s. 134.]</w:t>
      </w:r>
    </w:p>
    <w:p>
      <w:pPr>
        <w:pStyle w:val="Heading5"/>
        <w:rPr>
          <w:snapToGrid w:val="0"/>
        </w:rPr>
      </w:pPr>
      <w:bookmarkStart w:id="116" w:name="_Toc38006727"/>
      <w:r>
        <w:rPr>
          <w:rStyle w:val="CharSectno"/>
        </w:rPr>
        <w:t>99</w:t>
      </w:r>
      <w:r>
        <w:rPr>
          <w:snapToGrid w:val="0"/>
        </w:rPr>
        <w:t>.</w:t>
      </w:r>
      <w:r>
        <w:rPr>
          <w:snapToGrid w:val="0"/>
        </w:rPr>
        <w:tab/>
        <w:t>Service of s. 92, 93, 97 or 98 orders; penalty for breach of</w:t>
      </w:r>
      <w:bookmarkEnd w:id="116"/>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keepNext/>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No. 43 of 1994 s. 11; No. 59 of 1995 s. 40(1); No. 26 of 1999 s. 99(6)</w:t>
      </w:r>
      <w:r>
        <w:noBreakHyphen/>
        <w:t>(8); No. 58 of 2010 s. 134.]</w:t>
      </w:r>
    </w:p>
    <w:p>
      <w:pPr>
        <w:pStyle w:val="Heading5"/>
        <w:spacing w:before="180"/>
      </w:pPr>
      <w:bookmarkStart w:id="117" w:name="_Toc38006728"/>
      <w:r>
        <w:rPr>
          <w:rStyle w:val="CharSectno"/>
        </w:rPr>
        <w:t>100</w:t>
      </w:r>
      <w:r>
        <w:t>.</w:t>
      </w:r>
      <w:r>
        <w:tab/>
        <w:t>Banks etc., duty to disclose certain accounts etc. if required to by authorised person</w:t>
      </w:r>
      <w:bookmarkEnd w:id="117"/>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spacing w:before="80"/>
        <w:ind w:left="890" w:hanging="890"/>
      </w:pPr>
      <w:r>
        <w:tab/>
        <w:t>[Section 100 inserted: No. 58 of 2010 s. 102.]</w:t>
      </w:r>
    </w:p>
    <w:p>
      <w:pPr>
        <w:pStyle w:val="Heading5"/>
        <w:spacing w:before="180"/>
        <w:rPr>
          <w:snapToGrid w:val="0"/>
        </w:rPr>
      </w:pPr>
      <w:bookmarkStart w:id="118" w:name="_Toc38006729"/>
      <w:r>
        <w:rPr>
          <w:rStyle w:val="CharSectno"/>
        </w:rPr>
        <w:t>100A</w:t>
      </w:r>
      <w:r>
        <w:rPr>
          <w:snapToGrid w:val="0"/>
        </w:rPr>
        <w:t>.</w:t>
      </w:r>
      <w:r>
        <w:rPr>
          <w:snapToGrid w:val="0"/>
        </w:rPr>
        <w:tab/>
      </w:r>
      <w:r>
        <w:t>Information about trust accounts, Commissioner’s power to obtain</w:t>
      </w:r>
      <w:bookmarkEnd w:id="118"/>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keepNext/>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Ednotesubsection"/>
      </w:pPr>
      <w:r>
        <w:tab/>
        <w:t>[(4)</w:t>
      </w:r>
      <w:r>
        <w:tab/>
        <w:t>deleted]</w:t>
      </w:r>
    </w:p>
    <w:p>
      <w:pPr>
        <w:pStyle w:val="Subsection"/>
        <w:spacing w:before="140"/>
        <w:rPr>
          <w:snapToGrid w:val="0"/>
        </w:rPr>
      </w:pPr>
      <w:r>
        <w:rPr>
          <w:snapToGrid w:val="0"/>
        </w:rPr>
        <w:tab/>
        <w:t>(5)</w:t>
      </w:r>
      <w:r>
        <w:rPr>
          <w:snapToGrid w:val="0"/>
        </w:rPr>
        <w:tab/>
        <w:t>It is a defence in proceedings for an offence against subsection (3) for the person to show that —</w:t>
      </w:r>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 xml:space="preserve">Despite subsection (6), information given under this section is not admissible in evidence in any proceedings against the person other than proceedings in respect of an offence against </w:t>
      </w:r>
      <w:r>
        <w:t>section 134A.</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 No. 59 of 1995 s. 19; amended: No. 10 of 2001 s. 220; No. 58 of 2010 s. 134; No. 25 of 2019 s. 54.]</w:t>
      </w:r>
    </w:p>
    <w:p>
      <w:pPr>
        <w:pStyle w:val="Heading2"/>
      </w:pPr>
      <w:bookmarkStart w:id="119" w:name="_Toc38006533"/>
      <w:bookmarkStart w:id="120" w:name="_Toc38006730"/>
      <w:r>
        <w:rPr>
          <w:rStyle w:val="CharPartNo"/>
        </w:rPr>
        <w:t>Part VII</w:t>
      </w:r>
      <w:r>
        <w:rPr>
          <w:rStyle w:val="CharDivNo"/>
        </w:rPr>
        <w:t> </w:t>
      </w:r>
      <w:r>
        <w:t>—</w:t>
      </w:r>
      <w:r>
        <w:rPr>
          <w:rStyle w:val="CharDivText"/>
        </w:rPr>
        <w:t> </w:t>
      </w:r>
      <w:r>
        <w:rPr>
          <w:rStyle w:val="CharPartText"/>
        </w:rPr>
        <w:t>Discipline of agents and sales representatives</w:t>
      </w:r>
      <w:bookmarkEnd w:id="119"/>
      <w:bookmarkEnd w:id="120"/>
    </w:p>
    <w:p>
      <w:pPr>
        <w:pStyle w:val="Heading5"/>
        <w:rPr>
          <w:snapToGrid w:val="0"/>
        </w:rPr>
      </w:pPr>
      <w:bookmarkStart w:id="121" w:name="_Toc38006731"/>
      <w:r>
        <w:rPr>
          <w:rStyle w:val="CharSectno"/>
        </w:rPr>
        <w:t>101</w:t>
      </w:r>
      <w:r>
        <w:rPr>
          <w:snapToGrid w:val="0"/>
        </w:rPr>
        <w:t>.</w:t>
      </w:r>
      <w:r>
        <w:rPr>
          <w:snapToGrid w:val="0"/>
        </w:rPr>
        <w:tab/>
      </w:r>
      <w:r>
        <w:t>Codes of conduct</w:t>
      </w:r>
      <w:bookmarkEnd w:id="121"/>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r>
        <w:tab/>
        <w:t>[Section 101 amended: No. 58 of 2010 s. 134.]</w:t>
      </w:r>
    </w:p>
    <w:p>
      <w:pPr>
        <w:pStyle w:val="Heading5"/>
        <w:rPr>
          <w:snapToGrid w:val="0"/>
        </w:rPr>
      </w:pPr>
      <w:bookmarkStart w:id="122" w:name="_Toc38006732"/>
      <w:r>
        <w:rPr>
          <w:rStyle w:val="CharSectno"/>
        </w:rPr>
        <w:t>102</w:t>
      </w:r>
      <w:r>
        <w:rPr>
          <w:snapToGrid w:val="0"/>
        </w:rPr>
        <w:t>.</w:t>
      </w:r>
      <w:r>
        <w:rPr>
          <w:snapToGrid w:val="0"/>
        </w:rPr>
        <w:tab/>
        <w:t>Disciplinary action by SAT, alleging cause for</w:t>
      </w:r>
      <w:bookmarkEnd w:id="122"/>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Subsection"/>
        <w:keepNext/>
      </w:pPr>
      <w:r>
        <w:tab/>
        <w:t>(7)</w:t>
      </w:r>
      <w:r>
        <w:tab/>
        <w:t>Despite the surrender by a person of a licence or triennial certificate or a licensee ceasing to be licensed or to hold a triennial certificate —</w:t>
      </w:r>
    </w:p>
    <w:p>
      <w:pPr>
        <w:pStyle w:val="Indenta"/>
      </w:pPr>
      <w:r>
        <w:tab/>
        <w:t>(a)</w:t>
      </w:r>
      <w:r>
        <w:tab/>
        <w:t>an allegation under subsection (1)(a) in respect of an agent may be made to the State Administrative Tribunal not later than 12 months after the day on which the licence or certificate was surrendered or the licensee ceased to be licensed or ceased holding the certificate; and</w:t>
      </w:r>
    </w:p>
    <w:p>
      <w:pPr>
        <w:pStyle w:val="Indenta"/>
      </w:pPr>
      <w:r>
        <w:tab/>
        <w:t>(b)</w:t>
      </w:r>
      <w:r>
        <w:tab/>
        <w:t>the State Administrative Tribunal may exercise the powers conferred by section 103, other than the power to suspend or cancel the agent’s licence or certificate.</w:t>
      </w:r>
    </w:p>
    <w:p>
      <w:pPr>
        <w:pStyle w:val="Footnotesection"/>
      </w:pPr>
      <w:r>
        <w:tab/>
        <w:t>[Section 102 amended: No. 74 of 1980 s. 10; No. 34 of 1998 s. 16; No. 55 of 2004 s. 1013 and 1020; No. 58 of 2010 s. 134; No. 25 of 2019 s. 55.]</w:t>
      </w:r>
    </w:p>
    <w:p>
      <w:pPr>
        <w:pStyle w:val="Heading5"/>
        <w:rPr>
          <w:snapToGrid w:val="0"/>
        </w:rPr>
      </w:pPr>
      <w:bookmarkStart w:id="123" w:name="_Toc38006733"/>
      <w:r>
        <w:rPr>
          <w:rStyle w:val="CharSectno"/>
        </w:rPr>
        <w:t>103</w:t>
      </w:r>
      <w:r>
        <w:rPr>
          <w:snapToGrid w:val="0"/>
        </w:rPr>
        <w:t>.</w:t>
      </w:r>
      <w:r>
        <w:rPr>
          <w:snapToGrid w:val="0"/>
        </w:rPr>
        <w:tab/>
        <w:t>Disciplinary action, SAT’s powers as to</w:t>
      </w:r>
      <w:bookmarkEnd w:id="123"/>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pPr>
        <w:pStyle w:val="Indenti"/>
        <w:spacing w:before="70"/>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p>
    <w:p>
      <w:pPr>
        <w:pStyle w:val="Indenta"/>
        <w:rPr>
          <w:snapToGrid w:val="0"/>
        </w:rPr>
      </w:pPr>
      <w:r>
        <w:rPr>
          <w:snapToGrid w:val="0"/>
        </w:rPr>
        <w:tab/>
        <w:t>(a)</w:t>
      </w:r>
      <w:r>
        <w:rPr>
          <w:snapToGrid w:val="0"/>
        </w:rPr>
        <w:tab/>
        <w:t>the agent improperly obtained a licence or triennial certificate; or</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keepNext/>
        <w:rPr>
          <w:snapToGrid w:val="0"/>
        </w:rPr>
      </w:pPr>
      <w:r>
        <w:rPr>
          <w:snapToGrid w:val="0"/>
        </w:rPr>
        <w:tab/>
        <w:t>(c)</w:t>
      </w:r>
      <w:r>
        <w:rPr>
          <w:snapToGrid w:val="0"/>
        </w:rPr>
        <w:tab/>
        <w:t>the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pPr>
      <w:r>
        <w:tab/>
        <w:t>(iii)</w:t>
      </w:r>
      <w:r>
        <w:tab/>
        <w:t>the code of conduct for agents;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p>
    <w:p>
      <w:pPr>
        <w:pStyle w:val="Indenta"/>
        <w:rPr>
          <w:snapToGrid w:val="0"/>
        </w:rPr>
      </w:pPr>
      <w:r>
        <w:rPr>
          <w:snapToGrid w:val="0"/>
        </w:rPr>
        <w:tab/>
        <w:t>(a)</w:t>
      </w:r>
      <w:r>
        <w:rPr>
          <w:snapToGrid w:val="0"/>
        </w:rPr>
        <w:tab/>
        <w:t>the sales representative improperly obtained registration; or</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pPr>
        <w:pStyle w:val="Indenta"/>
        <w:keepNext/>
        <w:rPr>
          <w:snapToGrid w:val="0"/>
        </w:rPr>
      </w:pPr>
      <w:r>
        <w:rPr>
          <w:snapToGrid w:val="0"/>
        </w:rPr>
        <w:tab/>
        <w:t>(c)</w:t>
      </w:r>
      <w:r>
        <w:rPr>
          <w:snapToGrid w:val="0"/>
        </w:rPr>
        <w:tab/>
        <w:t>the sales representative is acting or has acted in breach of —</w:t>
      </w:r>
    </w:p>
    <w:p>
      <w:pPr>
        <w:pStyle w:val="Indenti"/>
        <w:rPr>
          <w:snapToGrid w:val="0"/>
        </w:rPr>
      </w:pPr>
      <w:r>
        <w:rPr>
          <w:snapToGrid w:val="0"/>
        </w:rPr>
        <w:tab/>
        <w:t>(i)</w:t>
      </w:r>
      <w:r>
        <w:rPr>
          <w:snapToGrid w:val="0"/>
        </w:rPr>
        <w:tab/>
        <w:t>a special condition of his registration;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No. 43 of 1994 s. 11; No. 59 of 1995 s. 20; No. 34 of 1998 s. 17; No. 55 of 2004 s. 1014 and 1020; No. 58 of 2010 s. 134; No. 25 of 2019 s. 56.]</w:t>
      </w:r>
    </w:p>
    <w:p>
      <w:pPr>
        <w:pStyle w:val="Heading5"/>
        <w:rPr>
          <w:snapToGrid w:val="0"/>
        </w:rPr>
      </w:pPr>
      <w:bookmarkStart w:id="124" w:name="_Toc38006734"/>
      <w:r>
        <w:rPr>
          <w:rStyle w:val="CharSectno"/>
        </w:rPr>
        <w:t>104</w:t>
      </w:r>
      <w:r>
        <w:rPr>
          <w:snapToGrid w:val="0"/>
        </w:rPr>
        <w:t>.</w:t>
      </w:r>
      <w:r>
        <w:rPr>
          <w:snapToGrid w:val="0"/>
        </w:rPr>
        <w:tab/>
        <w:t>Offences that cause licence and triennial certificate to be cancelled</w:t>
      </w:r>
      <w:bookmarkEnd w:id="124"/>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 No. 59 of 2004 s. 141; No. 58 of 2010 s. 134.]</w:t>
      </w:r>
    </w:p>
    <w:p>
      <w:pPr>
        <w:pStyle w:val="Heading5"/>
        <w:rPr>
          <w:snapToGrid w:val="0"/>
        </w:rPr>
      </w:pPr>
      <w:bookmarkStart w:id="125" w:name="_Toc38006735"/>
      <w:r>
        <w:rPr>
          <w:rStyle w:val="CharSectno"/>
        </w:rPr>
        <w:t>105</w:t>
      </w:r>
      <w:r>
        <w:rPr>
          <w:snapToGrid w:val="0"/>
        </w:rPr>
        <w:t>.</w:t>
      </w:r>
      <w:r>
        <w:rPr>
          <w:snapToGrid w:val="0"/>
        </w:rPr>
        <w:tab/>
        <w:t>Certain offences by licensees, additional sentencing powers for</w:t>
      </w:r>
      <w:bookmarkEnd w:id="125"/>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No. 43 of 1994 s. 11; No. 55 of 2004 s. 1020; No. 59 of 2004 s. 141; No. 58 of 2010 s. 134.]</w:t>
      </w:r>
    </w:p>
    <w:p>
      <w:pPr>
        <w:pStyle w:val="Heading5"/>
        <w:rPr>
          <w:snapToGrid w:val="0"/>
        </w:rPr>
      </w:pPr>
      <w:bookmarkStart w:id="126" w:name="_Toc38006736"/>
      <w:r>
        <w:rPr>
          <w:rStyle w:val="CharSectno"/>
        </w:rPr>
        <w:t>106</w:t>
      </w:r>
      <w:r>
        <w:rPr>
          <w:snapToGrid w:val="0"/>
        </w:rPr>
        <w:t>.</w:t>
      </w:r>
      <w:r>
        <w:rPr>
          <w:snapToGrid w:val="0"/>
        </w:rPr>
        <w:tab/>
        <w:t>Persons with cancelled licences etc., offences by and in respect of</w:t>
      </w:r>
      <w:bookmarkEnd w:id="126"/>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has had his licence cancelled under this Act; or</w:t>
      </w:r>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No. 43 of 1994 s. 11; No. 58 of 2010 s. 134.]</w:t>
      </w:r>
    </w:p>
    <w:p>
      <w:pPr>
        <w:pStyle w:val="Heading2"/>
      </w:pPr>
      <w:bookmarkStart w:id="127" w:name="_Toc38006540"/>
      <w:bookmarkStart w:id="128" w:name="_Toc38006737"/>
      <w:r>
        <w:rPr>
          <w:rStyle w:val="CharPartNo"/>
        </w:rPr>
        <w:t>Part VIII</w:t>
      </w:r>
      <w:r>
        <w:rPr>
          <w:rStyle w:val="CharDivNo"/>
        </w:rPr>
        <w:t> </w:t>
      </w:r>
      <w:r>
        <w:t>—</w:t>
      </w:r>
      <w:r>
        <w:rPr>
          <w:rStyle w:val="CharDivText"/>
        </w:rPr>
        <w:t> </w:t>
      </w:r>
      <w:r>
        <w:rPr>
          <w:rStyle w:val="CharPartText"/>
        </w:rPr>
        <w:t>Fidelity Guarantee Account</w:t>
      </w:r>
      <w:bookmarkEnd w:id="127"/>
      <w:bookmarkEnd w:id="128"/>
    </w:p>
    <w:p>
      <w:pPr>
        <w:pStyle w:val="Footnoteheading"/>
      </w:pPr>
      <w:r>
        <w:tab/>
        <w:t>[Heading amended: No. 77 of 2006 Sch. 1 cl. 147(8).]</w:t>
      </w:r>
    </w:p>
    <w:p>
      <w:pPr>
        <w:pStyle w:val="Heading5"/>
      </w:pPr>
      <w:bookmarkStart w:id="129" w:name="_Toc38006738"/>
      <w:r>
        <w:rPr>
          <w:rStyle w:val="CharSectno"/>
        </w:rPr>
        <w:t>107</w:t>
      </w:r>
      <w:r>
        <w:t>.</w:t>
      </w:r>
      <w:r>
        <w:tab/>
        <w:t>Account established</w:t>
      </w:r>
      <w:bookmarkEnd w:id="129"/>
    </w:p>
    <w:p>
      <w:pPr>
        <w:pStyle w:val="Subsection"/>
      </w:pPr>
      <w:r>
        <w:tab/>
      </w:r>
      <w:r>
        <w:tab/>
        <w:t>An account called the Real Estate and Business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inserted: No. 77 of 2006 Sch. 1 cl. 147(9).]</w:t>
      </w:r>
    </w:p>
    <w:p>
      <w:pPr>
        <w:pStyle w:val="Heading5"/>
        <w:rPr>
          <w:snapToGrid w:val="0"/>
        </w:rPr>
      </w:pPr>
      <w:bookmarkStart w:id="130" w:name="_Toc38006739"/>
      <w:r>
        <w:rPr>
          <w:rStyle w:val="CharSectno"/>
        </w:rPr>
        <w:t>108</w:t>
      </w:r>
      <w:r>
        <w:rPr>
          <w:snapToGrid w:val="0"/>
        </w:rPr>
        <w:t>.</w:t>
      </w:r>
      <w:r>
        <w:rPr>
          <w:snapToGrid w:val="0"/>
        </w:rPr>
        <w:tab/>
        <w:t>Investment of moneys in account</w:t>
      </w:r>
      <w:bookmarkEnd w:id="130"/>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[Section 108 inserted: No. 59 of 1995 s. 22; amended: No. 77 of 2006 Sch. 1 cl. 147(2) and (10).]</w:t>
      </w:r>
    </w:p>
    <w:p>
      <w:pPr>
        <w:pStyle w:val="Heading5"/>
        <w:rPr>
          <w:snapToGrid w:val="0"/>
        </w:rPr>
      </w:pPr>
      <w:bookmarkStart w:id="131" w:name="_Toc38006740"/>
      <w:r>
        <w:rPr>
          <w:rStyle w:val="CharSectno"/>
        </w:rPr>
        <w:t>109</w:t>
      </w:r>
      <w:r>
        <w:rPr>
          <w:snapToGrid w:val="0"/>
        </w:rPr>
        <w:t>.</w:t>
      </w:r>
      <w:r>
        <w:rPr>
          <w:snapToGrid w:val="0"/>
        </w:rPr>
        <w:tab/>
        <w:t>Moneys to be credited to account</w:t>
      </w:r>
      <w:bookmarkEnd w:id="131"/>
    </w:p>
    <w:p>
      <w:pPr>
        <w:pStyle w:val="Subsection"/>
        <w:keepNext/>
        <w:rPr>
          <w:snapToGrid w:val="0"/>
        </w:rPr>
      </w:pPr>
      <w:r>
        <w:rPr>
          <w:snapToGrid w:val="0"/>
        </w:rPr>
        <w:tab/>
      </w:r>
      <w:r>
        <w:rPr>
          <w:snapToGrid w:val="0"/>
        </w:rPr>
        <w:tab/>
        <w:t>There shall be credited to the Fidelity</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 No. 29 of 1982 s. 5 and 12; No. 59 of 1995 s. 23 and 42; No. 77 of 2006 Sch. 1 cl. 147(2); No. 58 of 2010 s. 103.]</w:t>
      </w:r>
    </w:p>
    <w:p>
      <w:pPr>
        <w:pStyle w:val="Heading5"/>
        <w:rPr>
          <w:snapToGrid w:val="0"/>
        </w:rPr>
      </w:pPr>
      <w:bookmarkStart w:id="132" w:name="_Toc38006741"/>
      <w:r>
        <w:rPr>
          <w:rStyle w:val="CharSectno"/>
        </w:rPr>
        <w:t>110</w:t>
      </w:r>
      <w:r>
        <w:rPr>
          <w:snapToGrid w:val="0"/>
        </w:rPr>
        <w:t>.</w:t>
      </w:r>
      <w:r>
        <w:rPr>
          <w:snapToGrid w:val="0"/>
        </w:rPr>
        <w:tab/>
        <w:t>Expenditure from account</w:t>
      </w:r>
      <w:bookmarkEnd w:id="132"/>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 No. 29 of 1982 s. 12; No. 59 of 1995 s. 24 and 42; No. 77 of 2006 Sch. 1 cl. 147(2); No. 58 of 2010 s. 104.]</w:t>
      </w:r>
    </w:p>
    <w:p>
      <w:pPr>
        <w:pStyle w:val="Ednotesection"/>
        <w:spacing w:before="180"/>
        <w:ind w:left="890" w:hanging="890"/>
      </w:pPr>
      <w:r>
        <w:t>[</w:t>
      </w:r>
      <w:r>
        <w:rPr>
          <w:b/>
        </w:rPr>
        <w:t>111.</w:t>
      </w:r>
      <w:r>
        <w:tab/>
        <w:t>Deleted: No. 98 of 1985 s. 3.]</w:t>
      </w:r>
    </w:p>
    <w:p>
      <w:pPr>
        <w:pStyle w:val="Heading5"/>
        <w:spacing w:before="180"/>
        <w:rPr>
          <w:snapToGrid w:val="0"/>
        </w:rPr>
      </w:pPr>
      <w:bookmarkStart w:id="133" w:name="_Toc38006742"/>
      <w:r>
        <w:rPr>
          <w:rStyle w:val="CharSectno"/>
        </w:rPr>
        <w:t>112</w:t>
      </w:r>
      <w:r>
        <w:rPr>
          <w:snapToGrid w:val="0"/>
        </w:rPr>
        <w:t>.</w:t>
      </w:r>
      <w:r>
        <w:rPr>
          <w:snapToGrid w:val="0"/>
        </w:rPr>
        <w:tab/>
      </w:r>
      <w:r>
        <w:t>Administration of account</w:t>
      </w:r>
      <w:bookmarkEnd w:id="133"/>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[Section 112 amended: No. 29 of 1982 s. 12; No. 77 of 2006 Sch. 1 cl. 147(2); No. 58 of 2010 s. 105.]</w:t>
      </w:r>
    </w:p>
    <w:p>
      <w:pPr>
        <w:pStyle w:val="Heading5"/>
        <w:rPr>
          <w:snapToGrid w:val="0"/>
        </w:rPr>
      </w:pPr>
      <w:bookmarkStart w:id="134" w:name="_Toc38006743"/>
      <w:r>
        <w:rPr>
          <w:rStyle w:val="CharSectno"/>
        </w:rPr>
        <w:t>113</w:t>
      </w:r>
      <w:r>
        <w:rPr>
          <w:snapToGrid w:val="0"/>
        </w:rPr>
        <w:t>.</w:t>
      </w:r>
      <w:r>
        <w:rPr>
          <w:snapToGrid w:val="0"/>
        </w:rPr>
        <w:tab/>
        <w:t>Payments to account by applicants for licences etc.</w:t>
      </w:r>
      <w:bookmarkEnd w:id="134"/>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[Section 113 amended: No. 29 of 1982 s. 12; No. 56 of 1995 s. 46; No. 59 of 1995 s. 42; No. 77 of 2006 Sch. 1 cl. 147(2); No. 58 of 2010 s. 106.]</w:t>
      </w:r>
    </w:p>
    <w:p>
      <w:pPr>
        <w:pStyle w:val="Heading5"/>
        <w:rPr>
          <w:snapToGrid w:val="0"/>
        </w:rPr>
      </w:pPr>
      <w:bookmarkStart w:id="135" w:name="_Toc38006744"/>
      <w:r>
        <w:rPr>
          <w:rStyle w:val="CharSectno"/>
        </w:rPr>
        <w:t>114</w:t>
      </w:r>
      <w:r>
        <w:rPr>
          <w:snapToGrid w:val="0"/>
        </w:rPr>
        <w:t>.</w:t>
      </w:r>
      <w:r>
        <w:rPr>
          <w:snapToGrid w:val="0"/>
        </w:rPr>
        <w:tab/>
        <w:t>Cap on payments under s. 113</w:t>
      </w:r>
      <w:bookmarkEnd w:id="135"/>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[Section 114 amended: No. 74 of 1980 s. 11; No. 29 of 1982 s. 12; No. 59 of 1995 s. 42; No. 77 of 2006 Sch. 1 cl. 147(2).]</w:t>
      </w:r>
    </w:p>
    <w:p>
      <w:pPr>
        <w:pStyle w:val="Heading5"/>
        <w:rPr>
          <w:snapToGrid w:val="0"/>
        </w:rPr>
      </w:pPr>
      <w:bookmarkStart w:id="136" w:name="_Toc38006745"/>
      <w:r>
        <w:rPr>
          <w:rStyle w:val="CharSectno"/>
        </w:rPr>
        <w:t>115</w:t>
      </w:r>
      <w:r>
        <w:rPr>
          <w:snapToGrid w:val="0"/>
        </w:rPr>
        <w:t>.</w:t>
      </w:r>
      <w:r>
        <w:rPr>
          <w:snapToGrid w:val="0"/>
        </w:rPr>
        <w:tab/>
        <w:t>Levies for account against certificate holders</w:t>
      </w:r>
      <w:bookmarkEnd w:id="136"/>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[Section 115 amended: No. 29 of 1982 s. 7; No. 77 of 1984 s. 3; No. 59 of 1995 s. 42; No. 77 of 2006 Sch. 1 cl. 147(2); No. 58 of 2010 s. 107.]</w:t>
      </w:r>
    </w:p>
    <w:p>
      <w:pPr>
        <w:pStyle w:val="Heading5"/>
        <w:rPr>
          <w:snapToGrid w:val="0"/>
        </w:rPr>
      </w:pPr>
      <w:bookmarkStart w:id="137" w:name="_Toc38006746"/>
      <w:r>
        <w:rPr>
          <w:rStyle w:val="CharSectno"/>
        </w:rPr>
        <w:t>116</w:t>
      </w:r>
      <w:r>
        <w:rPr>
          <w:snapToGrid w:val="0"/>
        </w:rPr>
        <w:t>.</w:t>
      </w:r>
      <w:r>
        <w:rPr>
          <w:snapToGrid w:val="0"/>
        </w:rPr>
        <w:tab/>
        <w:t>Purpose of account; making claims against account</w:t>
      </w:r>
      <w:bookmarkEnd w:id="137"/>
    </w:p>
    <w:p>
      <w:pPr>
        <w:pStyle w:val="Subsection"/>
      </w:pPr>
      <w:r>
        <w:tab/>
        <w:t>(1)</w:t>
      </w:r>
      <w:r>
        <w:tab/>
        <w:t xml:space="preserve">The Fidelity Account is to be held and applied to reimburse a person for the person’s pecuniary or property loss to the extent of the defalcation of — </w:t>
      </w:r>
    </w:p>
    <w:p>
      <w:pPr>
        <w:pStyle w:val="Indenta"/>
      </w:pPr>
      <w:r>
        <w:tab/>
        <w:t>(a)</w:t>
      </w:r>
      <w:r>
        <w:tab/>
        <w:t>a licensee during any period when the licensee was the holder of a current triennial certificate; or</w:t>
      </w:r>
    </w:p>
    <w:p>
      <w:pPr>
        <w:pStyle w:val="Indenta"/>
      </w:pPr>
      <w:r>
        <w:tab/>
        <w:t>(b)</w:t>
      </w:r>
      <w:r>
        <w:tab/>
        <w:t xml:space="preserve">a person who ceased to be licensed or to hold a triennial certificate, if — </w:t>
      </w:r>
    </w:p>
    <w:p>
      <w:pPr>
        <w:pStyle w:val="Indenti"/>
      </w:pPr>
      <w:r>
        <w:tab/>
        <w:t>(i)</w:t>
      </w:r>
      <w:r>
        <w:tab/>
        <w:t>the defalcation occurred during the period of 6 months immediately following the day on which the person ceased to be licensed or the holder of the triennial certificate; and</w:t>
      </w:r>
    </w:p>
    <w:p>
      <w:pPr>
        <w:pStyle w:val="Indenti"/>
      </w:pPr>
      <w:r>
        <w:tab/>
        <w:t>(ii)</w:t>
      </w:r>
      <w:r>
        <w:tab/>
        <w:t>the chief executive officer considers that it is just and reasonable in the circumstances of the claim.</w:t>
      </w:r>
    </w:p>
    <w:p>
      <w:pPr>
        <w:pStyle w:val="Ednotesubsection"/>
      </w:pPr>
      <w:r>
        <w:tab/>
        <w:t>[(2A)</w:t>
      </w:r>
      <w:r>
        <w:tab/>
        <w:t>deleted]</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No. 29 of 1982 s. 12; No. 3 of 2000 s. 4(1); No. 77 of 2006 Sch. 1 cl. 147(2); No. 58 of 2010 s. 108; No. 23 of 2014 s. 76; No. 25 of 2019 s. 57.]</w:t>
      </w:r>
    </w:p>
    <w:p>
      <w:pPr>
        <w:pStyle w:val="Heading5"/>
        <w:spacing w:before="180"/>
        <w:rPr>
          <w:snapToGrid w:val="0"/>
        </w:rPr>
      </w:pPr>
      <w:bookmarkStart w:id="138" w:name="_Toc38006747"/>
      <w:r>
        <w:rPr>
          <w:rStyle w:val="CharSectno"/>
        </w:rPr>
        <w:t>117</w:t>
      </w:r>
      <w:r>
        <w:rPr>
          <w:snapToGrid w:val="0"/>
        </w:rPr>
        <w:t>.</w:t>
      </w:r>
      <w:r>
        <w:rPr>
          <w:snapToGrid w:val="0"/>
        </w:rPr>
        <w:tab/>
        <w:t>Claims against account; recovery from account</w:t>
      </w:r>
      <w:bookmarkEnd w:id="138"/>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w:t>
      </w:r>
      <w:r>
        <w:rPr>
          <w:b/>
          <w:i/>
          <w:snapToGrid w:val="0"/>
        </w:rPr>
        <w:t>defalcation by a licensee</w:t>
      </w:r>
      <w:r>
        <w:rPr>
          <w:snapToGrid w:val="0"/>
        </w:rPr>
        <w:t xml:space="preserve"> in section 4.</w:t>
      </w:r>
    </w:p>
    <w:p>
      <w:pPr>
        <w:pStyle w:val="Footnotesection"/>
      </w:pPr>
      <w:r>
        <w:tab/>
        <w:t>[Section 117 amended: No. 29 of 1982 s. 12; No. 59 of 1995 s. 42; No. 3 of 2000 s. 5; No. 28 of 2003 s. 176; No. 77 of 2006 Sch. 1 cl. 147(2); No. 58 of 2010 s. 109.]</w:t>
      </w:r>
    </w:p>
    <w:p>
      <w:pPr>
        <w:pStyle w:val="Heading5"/>
        <w:rPr>
          <w:snapToGrid w:val="0"/>
        </w:rPr>
      </w:pPr>
      <w:bookmarkStart w:id="139" w:name="_Toc38006748"/>
      <w:r>
        <w:rPr>
          <w:rStyle w:val="CharSectno"/>
        </w:rPr>
        <w:t>118</w:t>
      </w:r>
      <w:r>
        <w:rPr>
          <w:snapToGrid w:val="0"/>
        </w:rPr>
        <w:t>.</w:t>
      </w:r>
      <w:r>
        <w:rPr>
          <w:snapToGrid w:val="0"/>
        </w:rPr>
        <w:tab/>
        <w:t>Defences to claims against account</w:t>
      </w:r>
      <w:bookmarkEnd w:id="139"/>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[Section 118 amended: No. 28 of 1982 s. 12; No. 77 of 2006 Sch. 1 cl. 147(2); No. 58 of 2010 s. 110.]</w:t>
      </w:r>
    </w:p>
    <w:p>
      <w:pPr>
        <w:pStyle w:val="Heading5"/>
        <w:rPr>
          <w:snapToGrid w:val="0"/>
        </w:rPr>
      </w:pPr>
      <w:bookmarkStart w:id="140" w:name="_Toc38006749"/>
      <w:r>
        <w:rPr>
          <w:rStyle w:val="CharSectno"/>
        </w:rPr>
        <w:t>119</w:t>
      </w:r>
      <w:r>
        <w:rPr>
          <w:snapToGrid w:val="0"/>
        </w:rPr>
        <w:t>.</w:t>
      </w:r>
      <w:r>
        <w:rPr>
          <w:snapToGrid w:val="0"/>
        </w:rPr>
        <w:tab/>
      </w:r>
      <w:r>
        <w:t>Subrogation of rights of claimant against account</w:t>
      </w:r>
      <w:bookmarkEnd w:id="140"/>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No. 59 of 1995 s. 42; No. 77 of 2006 Sch. 1 cl. 147(2); No. 58 of 2010 s. 111.]</w:t>
      </w:r>
    </w:p>
    <w:p>
      <w:pPr>
        <w:pStyle w:val="Heading5"/>
        <w:rPr>
          <w:snapToGrid w:val="0"/>
        </w:rPr>
      </w:pPr>
      <w:bookmarkStart w:id="141" w:name="_Toc38006750"/>
      <w:r>
        <w:rPr>
          <w:rStyle w:val="CharSectno"/>
        </w:rPr>
        <w:t>120</w:t>
      </w:r>
      <w:r>
        <w:rPr>
          <w:snapToGrid w:val="0"/>
        </w:rPr>
        <w:t>.</w:t>
      </w:r>
      <w:r>
        <w:rPr>
          <w:snapToGrid w:val="0"/>
        </w:rPr>
        <w:tab/>
        <w:t>Insufficiency in a</w:t>
      </w:r>
      <w:r>
        <w:t>ccount</w:t>
      </w:r>
      <w:bookmarkEnd w:id="141"/>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120 amended: No. 28 of 1982 s. 12; No. 59 of 1995 s. 25 and 42; No. 77 of 2006 Sch. 1 cl. 147(2); No. 58 of 2010 s. 112.]</w:t>
      </w:r>
    </w:p>
    <w:p>
      <w:pPr>
        <w:pStyle w:val="Heading5"/>
        <w:rPr>
          <w:snapToGrid w:val="0"/>
        </w:rPr>
      </w:pPr>
      <w:bookmarkStart w:id="142" w:name="_Toc38006751"/>
      <w:r>
        <w:rPr>
          <w:rStyle w:val="CharSectno"/>
        </w:rPr>
        <w:t>121</w:t>
      </w:r>
      <w:r>
        <w:rPr>
          <w:snapToGrid w:val="0"/>
        </w:rPr>
        <w:t>.</w:t>
      </w:r>
      <w:r>
        <w:rPr>
          <w:snapToGrid w:val="0"/>
        </w:rPr>
        <w:tab/>
      </w:r>
      <w:r>
        <w:t>State may insure against claims</w:t>
      </w:r>
      <w:bookmarkEnd w:id="142"/>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 No. 51 of 1986 s. 46(2); No. 58 of 2010 s. 113.]</w:t>
      </w:r>
    </w:p>
    <w:p>
      <w:pPr>
        <w:pStyle w:val="Heading5"/>
        <w:rPr>
          <w:snapToGrid w:val="0"/>
        </w:rPr>
      </w:pPr>
      <w:bookmarkStart w:id="143" w:name="_Toc38006752"/>
      <w:r>
        <w:rPr>
          <w:rStyle w:val="CharSectno"/>
        </w:rPr>
        <w:t>122</w:t>
      </w:r>
      <w:r>
        <w:rPr>
          <w:snapToGrid w:val="0"/>
        </w:rPr>
        <w:t>.</w:t>
      </w:r>
      <w:r>
        <w:rPr>
          <w:snapToGrid w:val="0"/>
        </w:rPr>
        <w:tab/>
        <w:t>Application of insurance payouts</w:t>
      </w:r>
      <w:bookmarkEnd w:id="143"/>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[Section 122 amended: No. 29 of 1982 s. 12; No. 59 of 1995 s. 42; No. 77 of 2006 Sch. 1 cl. 147(2).]</w:t>
      </w:r>
    </w:p>
    <w:p>
      <w:pPr>
        <w:pStyle w:val="Heading5"/>
        <w:rPr>
          <w:snapToGrid w:val="0"/>
        </w:rPr>
      </w:pPr>
      <w:bookmarkStart w:id="144" w:name="_Toc38006753"/>
      <w:r>
        <w:rPr>
          <w:rStyle w:val="CharSectno"/>
        </w:rPr>
        <w:t>123</w:t>
      </w:r>
      <w:r>
        <w:rPr>
          <w:snapToGrid w:val="0"/>
        </w:rPr>
        <w:t>.</w:t>
      </w:r>
      <w:r>
        <w:rPr>
          <w:snapToGrid w:val="0"/>
        </w:rPr>
        <w:tab/>
        <w:t>Advertising for claims in relation to defaulting licensee</w:t>
      </w:r>
      <w:bookmarkEnd w:id="144"/>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 No. 29 of 1982 s. 12; No. 77 of 2006 Sch. 1 cl. 147(2); No. 58 of 2010 s. 114.]</w:t>
      </w:r>
    </w:p>
    <w:p>
      <w:pPr>
        <w:pStyle w:val="Heading5"/>
        <w:rPr>
          <w:snapToGrid w:val="0"/>
        </w:rPr>
      </w:pPr>
      <w:bookmarkStart w:id="145" w:name="_Toc38006754"/>
      <w:r>
        <w:rPr>
          <w:rStyle w:val="CharSectno"/>
        </w:rPr>
        <w:t>124</w:t>
      </w:r>
      <w:r>
        <w:rPr>
          <w:snapToGrid w:val="0"/>
        </w:rPr>
        <w:t>.</w:t>
      </w:r>
      <w:r>
        <w:rPr>
          <w:snapToGrid w:val="0"/>
        </w:rPr>
        <w:tab/>
      </w:r>
      <w:r>
        <w:t>Documents etc. to support claims, CEO may require</w:t>
      </w:r>
      <w:bookmarkEnd w:id="145"/>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r>
        <w:tab/>
        <w:t>[Section 124 amended: No. 58 of 2010 s. 115.]</w:t>
      </w:r>
    </w:p>
    <w:p>
      <w:pPr>
        <w:pStyle w:val="Heading5"/>
      </w:pPr>
      <w:bookmarkStart w:id="146" w:name="_Toc38006755"/>
      <w:r>
        <w:rPr>
          <w:rStyle w:val="CharSectno"/>
        </w:rPr>
        <w:t>124AA</w:t>
      </w:r>
      <w:r>
        <w:t>.</w:t>
      </w:r>
      <w:r>
        <w:tab/>
        <w:t>Commissioner may investigate claims against Fidelity Account</w:t>
      </w:r>
      <w:bookmarkEnd w:id="146"/>
    </w:p>
    <w:p>
      <w:pPr>
        <w:pStyle w:val="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pPr>
        <w:pStyle w:val="Subsection"/>
      </w:pPr>
      <w:r>
        <w:tab/>
        <w:t>(2)</w:t>
      </w:r>
      <w:r>
        <w:tab/>
        <w:t>For the purposes of the investigation or inquiry, the administration of the Fidelity Account is taken to be a function of the Commissioner.</w:t>
      </w:r>
    </w:p>
    <w:p>
      <w:pPr>
        <w:pStyle w:val="Subsection"/>
      </w:pPr>
      <w:r>
        <w:tab/>
        <w:t>(3)</w:t>
      </w:r>
      <w:r>
        <w:tab/>
        <w:t>The Commissioner must, as soon as practicable after completing the investigation or inquiry, prepare a report on the findings of the investigation or inquiry and give it to the chief executive officer.</w:t>
      </w:r>
    </w:p>
    <w:p>
      <w:pPr>
        <w:pStyle w:val="Footnotesection"/>
      </w:pPr>
      <w:r>
        <w:tab/>
        <w:t>[Section 124AA inserted: No. 23 of 2014 s. 77.]</w:t>
      </w:r>
    </w:p>
    <w:p>
      <w:pPr>
        <w:pStyle w:val="Heading2"/>
      </w:pPr>
      <w:bookmarkStart w:id="147" w:name="_Toc38006559"/>
      <w:bookmarkStart w:id="148" w:name="_Toc38006756"/>
      <w:r>
        <w:rPr>
          <w:rStyle w:val="CharPartNo"/>
        </w:rPr>
        <w:t>Part VIIIA</w:t>
      </w:r>
      <w:r>
        <w:rPr>
          <w:rStyle w:val="CharDivNo"/>
        </w:rPr>
        <w:t> </w:t>
      </w:r>
      <w:r>
        <w:t>—</w:t>
      </w:r>
      <w:r>
        <w:rPr>
          <w:rStyle w:val="CharDivText"/>
        </w:rPr>
        <w:t> </w:t>
      </w:r>
      <w:r>
        <w:rPr>
          <w:rStyle w:val="CharPartText"/>
        </w:rPr>
        <w:t>Education and General Purpose Account</w:t>
      </w:r>
      <w:bookmarkEnd w:id="147"/>
      <w:bookmarkEnd w:id="148"/>
    </w:p>
    <w:p>
      <w:pPr>
        <w:pStyle w:val="Footnoteheading"/>
        <w:keepNext/>
        <w:tabs>
          <w:tab w:val="clear" w:pos="879"/>
          <w:tab w:val="left" w:pos="890"/>
        </w:tabs>
        <w:rPr>
          <w:snapToGrid w:val="0"/>
        </w:rPr>
      </w:pPr>
      <w:r>
        <w:rPr>
          <w:snapToGrid w:val="0"/>
        </w:rPr>
        <w:tab/>
        <w:t>[</w:t>
      </w:r>
      <w:r>
        <w:t>Heading</w:t>
      </w:r>
      <w:r>
        <w:rPr>
          <w:snapToGrid w:val="0"/>
        </w:rPr>
        <w:t xml:space="preserve"> inserted: No. 59 of 1995 s. 26; amended: No. 77 of 2006 </w:t>
      </w:r>
      <w:r>
        <w:t>Sch. 1 cl. 147(11)</w:t>
      </w:r>
      <w:r>
        <w:rPr>
          <w:snapToGrid w:val="0"/>
        </w:rPr>
        <w:t>.]</w:t>
      </w:r>
    </w:p>
    <w:p>
      <w:pPr>
        <w:pStyle w:val="Heading5"/>
        <w:rPr>
          <w:snapToGrid w:val="0"/>
        </w:rPr>
      </w:pPr>
      <w:bookmarkStart w:id="149" w:name="_Toc38006757"/>
      <w:r>
        <w:rPr>
          <w:rStyle w:val="CharSectno"/>
        </w:rPr>
        <w:t>124A</w:t>
      </w:r>
      <w:r>
        <w:rPr>
          <w:snapToGrid w:val="0"/>
        </w:rPr>
        <w:t>.</w:t>
      </w:r>
      <w:r>
        <w:rPr>
          <w:snapToGrid w:val="0"/>
        </w:rPr>
        <w:tab/>
        <w:t>Account established; administration of account</w:t>
      </w:r>
      <w:bookmarkEnd w:id="149"/>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chief executive officer.</w:t>
      </w:r>
    </w:p>
    <w:p>
      <w:pPr>
        <w:pStyle w:val="Footnotesection"/>
      </w:pPr>
      <w:r>
        <w:tab/>
        <w:t>[Section 124A inserted: No. 59 of 1995 s. 26; amended: No. 77 of 2006 Sch. 1 cl. 147(2) and (12); No. 58 of 2010 s. 134; No. 23 of 2014 s. 78.]</w:t>
      </w:r>
    </w:p>
    <w:p>
      <w:pPr>
        <w:pStyle w:val="Heading5"/>
        <w:rPr>
          <w:snapToGrid w:val="0"/>
        </w:rPr>
      </w:pPr>
      <w:bookmarkStart w:id="150" w:name="_Toc38006758"/>
      <w:r>
        <w:rPr>
          <w:rStyle w:val="CharSectno"/>
        </w:rPr>
        <w:t>124B</w:t>
      </w:r>
      <w:r>
        <w:rPr>
          <w:snapToGrid w:val="0"/>
        </w:rPr>
        <w:t>.</w:t>
      </w:r>
      <w:r>
        <w:rPr>
          <w:snapToGrid w:val="0"/>
        </w:rPr>
        <w:tab/>
        <w:t>Moneys to be credited to account</w:t>
      </w:r>
      <w:bookmarkEnd w:id="150"/>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pPr>
        <w:pStyle w:val="Indenta"/>
        <w:rPr>
          <w:snapToGrid w:val="0"/>
        </w:rPr>
      </w:pPr>
      <w:r>
        <w:rPr>
          <w:snapToGrid w:val="0"/>
        </w:rPr>
        <w:tab/>
        <w:t>(d)</w:t>
      </w:r>
      <w:r>
        <w:rPr>
          <w:snapToGrid w:val="0"/>
        </w:rPr>
        <w:tab/>
        <w:t>fines imposed under section 105; and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 No. 59 of 1995 s. 26; amended: No. 55 of 2004 s. 1015; No. 77 of 2006 Sch. 1 cl. 147(2); No. 58 of 2010 s. 134.]</w:t>
      </w:r>
    </w:p>
    <w:p>
      <w:pPr>
        <w:pStyle w:val="Heading5"/>
        <w:rPr>
          <w:snapToGrid w:val="0"/>
        </w:rPr>
      </w:pPr>
      <w:bookmarkStart w:id="151" w:name="_Toc38006759"/>
      <w:r>
        <w:rPr>
          <w:rStyle w:val="CharSectno"/>
        </w:rPr>
        <w:t>124C</w:t>
      </w:r>
      <w:r>
        <w:rPr>
          <w:snapToGrid w:val="0"/>
        </w:rPr>
        <w:t>.</w:t>
      </w:r>
      <w:r>
        <w:rPr>
          <w:snapToGrid w:val="0"/>
        </w:rPr>
        <w:tab/>
        <w:t>Expenditure from account</w:t>
      </w:r>
      <w:bookmarkEnd w:id="151"/>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 or the Commissioner’s functions under the </w:t>
      </w:r>
      <w:r>
        <w:rPr>
          <w:i/>
        </w:rPr>
        <w:t>Fair Trading Act 2010</w:t>
      </w:r>
      <w:r>
        <w:t xml:space="preserve"> section 57A that are performed for the purposes of this Act.</w:t>
      </w:r>
    </w:p>
    <w:p>
      <w:pPr>
        <w:pStyle w:val="Footnotesection"/>
      </w:pPr>
      <w:r>
        <w:tab/>
        <w:t>[Section 124C inserted: No. 59 of 1995 s. 26; amended: No. 34 of 1998 s. 18; No. 77 of 2006 Sch. 1 cl. 147(2); No. 58 of 2010 s. 116; No. 23 of 2014 s. 79.]</w:t>
      </w:r>
    </w:p>
    <w:p>
      <w:pPr>
        <w:pStyle w:val="Heading5"/>
        <w:rPr>
          <w:snapToGrid w:val="0"/>
        </w:rPr>
      </w:pPr>
      <w:bookmarkStart w:id="152" w:name="_Toc38006760"/>
      <w:r>
        <w:rPr>
          <w:rStyle w:val="CharSectno"/>
        </w:rPr>
        <w:t>124D</w:t>
      </w:r>
      <w:r>
        <w:rPr>
          <w:snapToGrid w:val="0"/>
        </w:rPr>
        <w:t>.</w:t>
      </w:r>
      <w:r>
        <w:rPr>
          <w:snapToGrid w:val="0"/>
        </w:rPr>
        <w:tab/>
        <w:t>Investment of moneys in account</w:t>
      </w:r>
      <w:bookmarkEnd w:id="152"/>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[Section 124D inserted: No. 59 of 1995 s. 26; amended: No. 77 of 2006 Sch. 1 cl. 147(2) and (13).]</w:t>
      </w:r>
    </w:p>
    <w:p>
      <w:pPr>
        <w:pStyle w:val="Heading2"/>
      </w:pPr>
      <w:bookmarkStart w:id="153" w:name="_Toc38006564"/>
      <w:bookmarkStart w:id="154" w:name="_Toc38006761"/>
      <w:r>
        <w:rPr>
          <w:rStyle w:val="CharPartNo"/>
        </w:rPr>
        <w:t>Part IX</w:t>
      </w:r>
      <w:r>
        <w:rPr>
          <w:rStyle w:val="CharDivNo"/>
        </w:rPr>
        <w:t> </w:t>
      </w:r>
      <w:r>
        <w:t>—</w:t>
      </w:r>
      <w:r>
        <w:rPr>
          <w:rStyle w:val="CharDivText"/>
        </w:rPr>
        <w:t> </w:t>
      </w:r>
      <w:r>
        <w:rPr>
          <w:rStyle w:val="CharPartText"/>
        </w:rPr>
        <w:t>Real Estate and Business Agents Interest Account</w:t>
      </w:r>
      <w:bookmarkEnd w:id="153"/>
      <w:bookmarkEnd w:id="154"/>
    </w:p>
    <w:p>
      <w:pPr>
        <w:pStyle w:val="Footnoteheading"/>
        <w:keepNext/>
        <w:tabs>
          <w:tab w:val="clear" w:pos="879"/>
          <w:tab w:val="left" w:pos="890"/>
        </w:tabs>
        <w:rPr>
          <w:snapToGrid w:val="0"/>
        </w:rPr>
      </w:pPr>
      <w:r>
        <w:rPr>
          <w:snapToGrid w:val="0"/>
        </w:rPr>
        <w:tab/>
        <w:t>[</w:t>
      </w:r>
      <w:r>
        <w:t>Heading</w:t>
      </w:r>
      <w:r>
        <w:rPr>
          <w:snapToGrid w:val="0"/>
        </w:rPr>
        <w:t xml:space="preserve"> inserted: No. 59 of 1995 s. 27; amended: </w:t>
      </w:r>
      <w:r>
        <w:t>No. 58 of 2010 s. 117</w:t>
      </w:r>
      <w:r>
        <w:rPr>
          <w:snapToGrid w:val="0"/>
        </w:rPr>
        <w:t>.]</w:t>
      </w:r>
    </w:p>
    <w:p>
      <w:pPr>
        <w:pStyle w:val="Heading5"/>
        <w:rPr>
          <w:snapToGrid w:val="0"/>
        </w:rPr>
      </w:pPr>
      <w:bookmarkStart w:id="155" w:name="_Toc38006762"/>
      <w:r>
        <w:rPr>
          <w:rStyle w:val="CharSectno"/>
        </w:rPr>
        <w:t>125</w:t>
      </w:r>
      <w:r>
        <w:rPr>
          <w:snapToGrid w:val="0"/>
        </w:rPr>
        <w:t>.</w:t>
      </w:r>
      <w:r>
        <w:rPr>
          <w:snapToGrid w:val="0"/>
        </w:rPr>
        <w:tab/>
      </w:r>
      <w:r>
        <w:t>Account established; administration of account</w:t>
      </w:r>
      <w:bookmarkEnd w:id="155"/>
    </w:p>
    <w:p>
      <w:pPr>
        <w:pStyle w:val="Subsection"/>
      </w:pPr>
      <w:r>
        <w:tab/>
        <w:t>(1)</w:t>
      </w:r>
      <w:r>
        <w:tab/>
        <w:t>An account called the Real Estate and Business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[Section 125 inserted: No. 59 of 1995 s. 27; amended: No. 77 of 2006 Sch. 1 cl. 147(14); No. 58 of 2010 s. 118</w:t>
      </w:r>
      <w:r>
        <w:rPr>
          <w:spacing w:val="-4"/>
        </w:rPr>
        <w:t>; No. 47 of 2011 s.</w:t>
      </w:r>
      <w:r>
        <w:t> 25(4).]</w:t>
      </w:r>
    </w:p>
    <w:p>
      <w:pPr>
        <w:pStyle w:val="Heading5"/>
        <w:rPr>
          <w:snapToGrid w:val="0"/>
        </w:rPr>
      </w:pPr>
      <w:bookmarkStart w:id="156" w:name="_Toc38006763"/>
      <w:r>
        <w:rPr>
          <w:rStyle w:val="CharSectno"/>
        </w:rPr>
        <w:t>126</w:t>
      </w:r>
      <w:r>
        <w:rPr>
          <w:snapToGrid w:val="0"/>
        </w:rPr>
        <w:t>.</w:t>
      </w:r>
      <w:r>
        <w:rPr>
          <w:snapToGrid w:val="0"/>
        </w:rPr>
        <w:tab/>
        <w:t>Moneys to be credited to account</w:t>
      </w:r>
      <w:bookmarkEnd w:id="156"/>
    </w:p>
    <w:p>
      <w:pPr>
        <w:pStyle w:val="Subsection"/>
        <w:keepNext/>
        <w:rPr>
          <w:snapToGrid w:val="0"/>
        </w:rPr>
      </w:pPr>
      <w:r>
        <w:rPr>
          <w:snapToGrid w:val="0"/>
        </w:rPr>
        <w:tab/>
      </w:r>
      <w:r>
        <w:rPr>
          <w:snapToGrid w:val="0"/>
        </w:rPr>
        <w:tab/>
        <w:t>There are to be credited to the </w:t>
      </w:r>
      <w:r>
        <w:t xml:space="preserve">Interest </w:t>
      </w:r>
      <w:r>
        <w:rPr>
          <w:snapToGrid w:val="0"/>
        </w:rPr>
        <w:t>Account —</w:t>
      </w:r>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 No. 59 of 1995 s. 27</w:t>
      </w:r>
      <w:r>
        <w:rPr>
          <w:spacing w:val="-4"/>
        </w:rPr>
        <w:t>; amended: No. 47 of 2011 s.</w:t>
      </w:r>
      <w:r>
        <w:t> 25(4).]</w:t>
      </w:r>
    </w:p>
    <w:p>
      <w:pPr>
        <w:pStyle w:val="Heading5"/>
      </w:pPr>
      <w:bookmarkStart w:id="157" w:name="_Toc38006764"/>
      <w:r>
        <w:rPr>
          <w:rStyle w:val="CharSectno"/>
        </w:rPr>
        <w:t>127</w:t>
      </w:r>
      <w:r>
        <w:rPr>
          <w:snapToGrid w:val="0"/>
        </w:rPr>
        <w:t>.</w:t>
      </w:r>
      <w:r>
        <w:rPr>
          <w:snapToGrid w:val="0"/>
        </w:rPr>
        <w:tab/>
        <w:t>E</w:t>
      </w:r>
      <w:r>
        <w:t>xpenditure from account</w:t>
      </w:r>
      <w:bookmarkEnd w:id="157"/>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No. 59 of 1995 s. 27; amended: No. 77 of 2006 Sch. 1 cl. 147(2)</w:t>
      </w:r>
      <w:r>
        <w:rPr>
          <w:spacing w:val="-4"/>
        </w:rPr>
        <w:t>; No. 47 of 2011 s.</w:t>
      </w:r>
      <w:r>
        <w:t> 25(4).]</w:t>
      </w:r>
    </w:p>
    <w:p>
      <w:pPr>
        <w:pStyle w:val="Heading5"/>
        <w:rPr>
          <w:snapToGrid w:val="0"/>
        </w:rPr>
      </w:pPr>
      <w:bookmarkStart w:id="158" w:name="_Toc38006765"/>
      <w:r>
        <w:rPr>
          <w:rStyle w:val="CharSectno"/>
        </w:rPr>
        <w:t>128</w:t>
      </w:r>
      <w:r>
        <w:rPr>
          <w:snapToGrid w:val="0"/>
        </w:rPr>
        <w:t>.</w:t>
      </w:r>
      <w:r>
        <w:rPr>
          <w:snapToGrid w:val="0"/>
        </w:rPr>
        <w:tab/>
        <w:t>I</w:t>
      </w:r>
      <w:r>
        <w:t>nvestment of moneys in account</w:t>
      </w:r>
      <w:bookmarkEnd w:id="158"/>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[Section 128 inserted: No. 59 of 1995 s. 27; amended: No. 77 of 2006 Sch. 1 cl. 147(15)</w:t>
      </w:r>
      <w:r>
        <w:rPr>
          <w:spacing w:val="-4"/>
        </w:rPr>
        <w:t>; No. 47 of 2011 s.</w:t>
      </w:r>
      <w:r>
        <w:t> 25(4).]</w:t>
      </w:r>
    </w:p>
    <w:p>
      <w:pPr>
        <w:pStyle w:val="Ednotesection"/>
      </w:pPr>
      <w:r>
        <w:t>[</w:t>
      </w:r>
      <w:r>
        <w:rPr>
          <w:b/>
        </w:rPr>
        <w:t>129, 130.</w:t>
      </w:r>
      <w:r>
        <w:tab/>
        <w:t>Deleted: No. 59 of 1995 s. 27.]</w:t>
      </w:r>
    </w:p>
    <w:p>
      <w:pPr>
        <w:pStyle w:val="Ednotesection"/>
      </w:pPr>
      <w:r>
        <w:t>[</w:t>
      </w:r>
      <w:r>
        <w:rPr>
          <w:b/>
        </w:rPr>
        <w:t>131.</w:t>
      </w:r>
      <w:r>
        <w:tab/>
        <w:t>Deleted: No. 98 of 1985 s. 3.]</w:t>
      </w:r>
    </w:p>
    <w:p>
      <w:pPr>
        <w:pStyle w:val="Heading2"/>
      </w:pPr>
      <w:bookmarkStart w:id="159" w:name="_Toc38006569"/>
      <w:bookmarkStart w:id="160" w:name="_Toc38006766"/>
      <w:r>
        <w:rPr>
          <w:rStyle w:val="CharPartNo"/>
        </w:rPr>
        <w:t>Part IXA</w:t>
      </w:r>
      <w:r>
        <w:rPr>
          <w:rStyle w:val="CharDivNo"/>
        </w:rPr>
        <w:t> </w:t>
      </w:r>
      <w:r>
        <w:t>—</w:t>
      </w:r>
      <w:r>
        <w:rPr>
          <w:rStyle w:val="CharDivText"/>
        </w:rPr>
        <w:t> </w:t>
      </w:r>
      <w:r>
        <w:rPr>
          <w:rStyle w:val="CharPartText"/>
        </w:rPr>
        <w:t>Assistance to home buyers</w:t>
      </w:r>
      <w:bookmarkEnd w:id="159"/>
      <w:bookmarkEnd w:id="160"/>
    </w:p>
    <w:p>
      <w:pPr>
        <w:pStyle w:val="Heading5"/>
        <w:rPr>
          <w:snapToGrid w:val="0"/>
        </w:rPr>
      </w:pPr>
      <w:bookmarkStart w:id="161" w:name="_Toc38006767"/>
      <w:r>
        <w:rPr>
          <w:rStyle w:val="CharSectno"/>
        </w:rPr>
        <w:t>131A</w:t>
      </w:r>
      <w:r>
        <w:rPr>
          <w:snapToGrid w:val="0"/>
        </w:rPr>
        <w:t>.</w:t>
      </w:r>
      <w:r>
        <w:rPr>
          <w:snapToGrid w:val="0"/>
        </w:rPr>
        <w:tab/>
        <w:t>Terms used</w:t>
      </w:r>
      <w:bookmarkEnd w:id="161"/>
    </w:p>
    <w:p>
      <w:pPr>
        <w:pStyle w:val="Subsection"/>
        <w:keepNext/>
        <w:rPr>
          <w:snapToGrid w:val="0"/>
        </w:rPr>
      </w:pPr>
      <w:r>
        <w:rPr>
          <w:snapToGrid w:val="0"/>
        </w:rPr>
        <w:tab/>
      </w:r>
      <w:r>
        <w:rPr>
          <w:snapToGrid w:val="0"/>
        </w:rPr>
        <w:tab/>
        <w:t>In this Part, unless the contrary intention appears —</w:t>
      </w:r>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p>
    <w:p>
      <w:pPr>
        <w:pStyle w:val="Defpara"/>
        <w:spacing w:before="100"/>
      </w:pPr>
      <w:r>
        <w:tab/>
        <w:t>(a)</w:t>
      </w:r>
      <w:r>
        <w:tab/>
        <w:t xml:space="preserve">lot within the meaning of the </w:t>
      </w:r>
      <w:r>
        <w:rPr>
          <w:i/>
        </w:rPr>
        <w:t>Strata Titles Act 1985</w:t>
      </w:r>
      <w:r>
        <w:t>; and</w:t>
      </w:r>
    </w:p>
    <w:p>
      <w:pPr>
        <w:pStyle w:val="Defpara"/>
        <w:spacing w:before="100"/>
      </w:pPr>
      <w:r>
        <w:tab/>
        <w:t>(b)</w:t>
      </w:r>
      <w:r>
        <w:tab/>
        <w:t>except in the case of a dwelling which is a lot referred to in paragraph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 and</w:t>
      </w:r>
    </w:p>
    <w:p>
      <w:pPr>
        <w:pStyle w:val="Defpara"/>
        <w:spacing w:before="100"/>
      </w:pPr>
      <w:r>
        <w:tab/>
        <w:t>(b)</w:t>
      </w:r>
      <w:r>
        <w:tab/>
        <w:t>registration fees; and</w:t>
      </w:r>
    </w:p>
    <w:p>
      <w:pPr>
        <w:pStyle w:val="Defpara"/>
        <w:spacing w:before="100"/>
      </w:pPr>
      <w:r>
        <w:tab/>
        <w:t>(c)</w:t>
      </w:r>
      <w:r>
        <w:tab/>
        <w:t xml:space="preserve">the remuneration of a real estate settlement agent within the meaning of the </w:t>
      </w:r>
      <w:r>
        <w:rPr>
          <w:i/>
        </w:rPr>
        <w:t>Settlement Agents Act 1981</w:t>
      </w:r>
      <w:r>
        <w:t>; and</w:t>
      </w:r>
    </w:p>
    <w:p>
      <w:pPr>
        <w:pStyle w:val="Defpara"/>
        <w:spacing w:before="100"/>
      </w:pPr>
      <w:r>
        <w:tab/>
        <w:t>(d)</w:t>
      </w:r>
      <w:r>
        <w:tab/>
        <w:t>the costs of a legal practitioner; and</w:t>
      </w:r>
    </w:p>
    <w:p>
      <w:pPr>
        <w:pStyle w:val="Defpara"/>
        <w:spacing w:before="100"/>
      </w:pPr>
      <w:r>
        <w:tab/>
        <w:t>(e)</w:t>
      </w:r>
      <w:r>
        <w:tab/>
        <w:t>valuation fees; and</w:t>
      </w:r>
    </w:p>
    <w:p>
      <w:pPr>
        <w:pStyle w:val="Defpara"/>
        <w:spacing w:before="100"/>
      </w:pPr>
      <w:r>
        <w:tab/>
        <w:t>(f)</w:t>
      </w:r>
      <w:r>
        <w:tab/>
        <w:t>inspection fees; and</w:t>
      </w:r>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tab/>
        <w:t>(h)</w:t>
      </w:r>
      <w:r>
        <w:tab/>
        <w:t>any mortgage guarantee fee or mortgage insurance premium;</w:t>
      </w:r>
    </w:p>
    <w:p>
      <w:pPr>
        <w:pStyle w:val="Defstart"/>
        <w:keepNext/>
        <w:spacing w:before="100"/>
      </w:pPr>
      <w:r>
        <w:rPr>
          <w:b/>
        </w:rPr>
        <w:tab/>
      </w:r>
      <w:r>
        <w:rPr>
          <w:rStyle w:val="CharDefText"/>
        </w:rPr>
        <w:t>lending institution</w:t>
      </w:r>
      <w:r>
        <w:t xml:space="preserve"> means —</w:t>
      </w:r>
    </w:p>
    <w:p>
      <w:pPr>
        <w:pStyle w:val="Defpara"/>
        <w:spacing w:before="100"/>
      </w:pPr>
      <w:r>
        <w:tab/>
        <w:t>(a)</w:t>
      </w:r>
      <w:r>
        <w:tab/>
        <w:t>a bank; or</w:t>
      </w:r>
    </w:p>
    <w:p>
      <w:pPr>
        <w:pStyle w:val="Ednotedefpara"/>
        <w:keepNext/>
        <w:rPr>
          <w:iCs/>
        </w:rPr>
      </w:pPr>
      <w:r>
        <w:tab/>
      </w:r>
      <w:r>
        <w:rPr>
          <w:iCs/>
        </w:rPr>
        <w:t>[(b), (c)</w:t>
      </w:r>
      <w:r>
        <w:rPr>
          <w:iCs/>
        </w:rPr>
        <w:tab/>
        <w:t>deleted]</w:t>
      </w:r>
    </w:p>
    <w:p>
      <w:pPr>
        <w:pStyle w:val="Defpara"/>
      </w:pPr>
      <w:r>
        <w:tab/>
        <w:t>(d)</w:t>
      </w:r>
      <w:r>
        <w:tab/>
        <w:t>a body that is prescribed, or that belongs to a class of bodies that is prescribed.</w:t>
      </w:r>
    </w:p>
    <w:p>
      <w:pPr>
        <w:pStyle w:val="Footnotesection"/>
      </w:pPr>
      <w:r>
        <w:tab/>
        <w:t>[Section 131A inserted: No. 29 of 1982 s. 10; amended: No. 59 of 1995 s. 28; No. 26 of 1999 s. 99(10); No. 12 of 2001 s. 51; No. 65 of 2003 s. 59(3); No. 17 of 2005 s. 29(2); No. 12 of 2008 Sch. 1 cl. 32.]</w:t>
      </w:r>
    </w:p>
    <w:p>
      <w:pPr>
        <w:pStyle w:val="Heading5"/>
      </w:pPr>
      <w:bookmarkStart w:id="162" w:name="_Toc38006768"/>
      <w:r>
        <w:rPr>
          <w:rStyle w:val="CharSectno"/>
        </w:rPr>
        <w:t>131B</w:t>
      </w:r>
      <w:r>
        <w:t>.</w:t>
      </w:r>
      <w:r>
        <w:tab/>
        <w:t>Home Buyers Assistance Account established</w:t>
      </w:r>
      <w:bookmarkEnd w:id="162"/>
    </w:p>
    <w:p>
      <w:pPr>
        <w:pStyle w:val="Subsection"/>
      </w:pPr>
      <w:r>
        <w:tab/>
      </w:r>
      <w:r>
        <w:tab/>
        <w:t>An account called the Home Buyers Assistance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131B inserted: No. 77 of 2006 Sch. 1 cl. 147(16).]</w:t>
      </w:r>
    </w:p>
    <w:p>
      <w:pPr>
        <w:pStyle w:val="Heading5"/>
        <w:rPr>
          <w:snapToGrid w:val="0"/>
        </w:rPr>
      </w:pPr>
      <w:bookmarkStart w:id="163" w:name="_Toc38006769"/>
      <w:r>
        <w:rPr>
          <w:rStyle w:val="CharSectno"/>
        </w:rPr>
        <w:t>131C</w:t>
      </w:r>
      <w:r>
        <w:rPr>
          <w:snapToGrid w:val="0"/>
        </w:rPr>
        <w:t>.</w:t>
      </w:r>
      <w:r>
        <w:rPr>
          <w:snapToGrid w:val="0"/>
        </w:rPr>
        <w:tab/>
        <w:t>Investment of moneys in account</w:t>
      </w:r>
      <w:bookmarkEnd w:id="163"/>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[Section 131C inserted: No. 59 of 1995 s. 30; amended: No. 77 of 2006 Sch. 1 cl. 147(2) and (17).]</w:t>
      </w:r>
    </w:p>
    <w:p>
      <w:pPr>
        <w:pStyle w:val="Heading5"/>
        <w:rPr>
          <w:snapToGrid w:val="0"/>
        </w:rPr>
      </w:pPr>
      <w:bookmarkStart w:id="164" w:name="_Toc38006770"/>
      <w:r>
        <w:rPr>
          <w:rStyle w:val="CharSectno"/>
        </w:rPr>
        <w:t>131D</w:t>
      </w:r>
      <w:r>
        <w:rPr>
          <w:snapToGrid w:val="0"/>
        </w:rPr>
        <w:t>.</w:t>
      </w:r>
      <w:r>
        <w:rPr>
          <w:snapToGrid w:val="0"/>
        </w:rPr>
        <w:tab/>
        <w:t>Moneys to be credited to account</w:t>
      </w:r>
      <w:bookmarkEnd w:id="164"/>
    </w:p>
    <w:p>
      <w:pPr>
        <w:pStyle w:val="Subsection"/>
        <w:keepNext/>
        <w:rPr>
          <w:snapToGrid w:val="0"/>
        </w:rPr>
      </w:pPr>
      <w:r>
        <w:rPr>
          <w:snapToGrid w:val="0"/>
        </w:rPr>
        <w:tab/>
      </w:r>
      <w:r>
        <w:rPr>
          <w:snapToGrid w:val="0"/>
        </w:rPr>
        <w:tab/>
        <w:t>There shall be credited to the Assistance</w:t>
      </w:r>
      <w:r>
        <w:t xml:space="preserve"> Account</w:t>
      </w:r>
      <w:r>
        <w:rPr>
          <w:snapToGrid w:val="0"/>
        </w:rPr>
        <w:t>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 No. 29 of 1982 s. 10; amended: No. 59 of 1995 s. 31 and 42; No. 77 of 2006 Sch. 1 cl. 147(2); No. 58 of 2010 s. 119.]</w:t>
      </w:r>
    </w:p>
    <w:p>
      <w:pPr>
        <w:pStyle w:val="Heading5"/>
        <w:rPr>
          <w:snapToGrid w:val="0"/>
        </w:rPr>
      </w:pPr>
      <w:bookmarkStart w:id="165" w:name="_Toc38006771"/>
      <w:r>
        <w:rPr>
          <w:rStyle w:val="CharSectno"/>
        </w:rPr>
        <w:t>131E</w:t>
      </w:r>
      <w:r>
        <w:rPr>
          <w:snapToGrid w:val="0"/>
        </w:rPr>
        <w:t>.</w:t>
      </w:r>
      <w:r>
        <w:rPr>
          <w:snapToGrid w:val="0"/>
        </w:rPr>
        <w:tab/>
        <w:t>Expenditure from account</w:t>
      </w:r>
      <w:bookmarkEnd w:id="165"/>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[Section 131E inserted: No. 29 of 1982 s. 10; amended: No. 59 of 1995 s. 32 and 42; No. 77 of 2006 Sch. 1 cl. 147(2); No. 58 of 2010 s. 120.]</w:t>
      </w:r>
    </w:p>
    <w:p>
      <w:pPr>
        <w:pStyle w:val="Ednotesection"/>
      </w:pPr>
      <w:r>
        <w:t>[</w:t>
      </w:r>
      <w:r>
        <w:rPr>
          <w:b/>
        </w:rPr>
        <w:t>131F.</w:t>
      </w:r>
      <w:r>
        <w:tab/>
        <w:t>Deleted: No. 98 of 1985 s. 3.]</w:t>
      </w:r>
    </w:p>
    <w:p>
      <w:pPr>
        <w:pStyle w:val="Heading5"/>
        <w:rPr>
          <w:snapToGrid w:val="0"/>
        </w:rPr>
      </w:pPr>
      <w:bookmarkStart w:id="166" w:name="_Toc38006772"/>
      <w:r>
        <w:rPr>
          <w:rStyle w:val="CharSectno"/>
        </w:rPr>
        <w:t>131G</w:t>
      </w:r>
      <w:r>
        <w:rPr>
          <w:snapToGrid w:val="0"/>
        </w:rPr>
        <w:t>.</w:t>
      </w:r>
      <w:r>
        <w:rPr>
          <w:snapToGrid w:val="0"/>
        </w:rPr>
        <w:tab/>
      </w:r>
      <w:r>
        <w:t>Administration of account</w:t>
      </w:r>
      <w:bookmarkEnd w:id="166"/>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[Section 131G inserted: No. 29 of 1982 s. 10; amended: No. 77 of 2006 Sch. 1 cl. 147(2); No. 58 of 2010 s. 121.]</w:t>
      </w:r>
    </w:p>
    <w:p>
      <w:pPr>
        <w:pStyle w:val="Ednotesection"/>
        <w:spacing w:before="260"/>
        <w:rPr>
          <w:b/>
        </w:rPr>
      </w:pPr>
      <w:r>
        <w:t>[</w:t>
      </w:r>
      <w:r>
        <w:rPr>
          <w:b/>
        </w:rPr>
        <w:t>131H-131KA.</w:t>
      </w:r>
      <w:r>
        <w:t xml:space="preserve">   Deleted: No. 58 of 2010 s. 122.]</w:t>
      </w:r>
    </w:p>
    <w:p>
      <w:pPr>
        <w:pStyle w:val="Heading5"/>
        <w:spacing w:before="260"/>
        <w:rPr>
          <w:snapToGrid w:val="0"/>
        </w:rPr>
      </w:pPr>
      <w:bookmarkStart w:id="167" w:name="_Toc38006773"/>
      <w:r>
        <w:rPr>
          <w:rStyle w:val="CharSectno"/>
        </w:rPr>
        <w:t>131L</w:t>
      </w:r>
      <w:r>
        <w:rPr>
          <w:snapToGrid w:val="0"/>
        </w:rPr>
        <w:t>.</w:t>
      </w:r>
      <w:r>
        <w:rPr>
          <w:snapToGrid w:val="0"/>
        </w:rPr>
        <w:tab/>
        <w:t>Applying for assistance for buyers of first homes</w:t>
      </w:r>
      <w:bookmarkEnd w:id="167"/>
    </w:p>
    <w:p>
      <w:pPr>
        <w:pStyle w:val="Subsection"/>
      </w:pPr>
      <w:r>
        <w:tab/>
        <w:t>(1AA)</w:t>
      </w:r>
      <w:r>
        <w:tab/>
        <w:t xml:space="preserve">In this section — </w:t>
      </w:r>
    </w:p>
    <w:p>
      <w:pPr>
        <w:pStyle w:val="Defstart"/>
      </w:pPr>
      <w:r>
        <w:tab/>
      </w:r>
      <w:r>
        <w:rPr>
          <w:rStyle w:val="CharDefText"/>
        </w:rPr>
        <w:t>settlement</w:t>
      </w:r>
      <w:r>
        <w:t xml:space="preserve"> has the meaning given in the </w:t>
      </w:r>
      <w:r>
        <w:rPr>
          <w:i/>
        </w:rPr>
        <w:t>Settlement Agents Act 1981</w:t>
      </w:r>
      <w:r>
        <w:t xml:space="preserve"> section 3(1).</w:t>
      </w:r>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w:t>
      </w:r>
      <w:r>
        <w:t>settlement of</w:t>
      </w:r>
      <w:r>
        <w:rPr>
          <w:snapToGrid w:val="0"/>
        </w:rPr>
        <w:t xml:space="preserve"> the contract to purchase the dwelling, on behalf of the person lodge with the </w:t>
      </w:r>
      <w:r>
        <w:t>chief executive officer</w:t>
      </w:r>
      <w:r>
        <w:rPr>
          <w:snapToGrid w:val="0"/>
        </w:rPr>
        <w:t xml:space="preserve"> an application in the </w:t>
      </w:r>
      <w:r>
        <w:t>approved form</w:t>
      </w:r>
      <w:r>
        <w:rPr>
          <w:snapToGrid w:val="0"/>
        </w:rPr>
        <w:t xml:space="preserve"> for the granting to the person of the whole or any part of 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No. 29 of 1982 s. 10; amended: No. 43 of 1994 s. 7; No. 59 of 1995 s. 35 and 40(2); No. 58 of 2010 s. 123; No. 25 of 2019 s. 58.]</w:t>
      </w:r>
    </w:p>
    <w:p>
      <w:pPr>
        <w:pStyle w:val="Heading5"/>
        <w:rPr>
          <w:snapToGrid w:val="0"/>
        </w:rPr>
      </w:pPr>
      <w:bookmarkStart w:id="168" w:name="_Toc38006774"/>
      <w:r>
        <w:rPr>
          <w:rStyle w:val="CharSectno"/>
        </w:rPr>
        <w:t>131M</w:t>
      </w:r>
      <w:r>
        <w:rPr>
          <w:snapToGrid w:val="0"/>
        </w:rPr>
        <w:t>.</w:t>
      </w:r>
      <w:r>
        <w:rPr>
          <w:snapToGrid w:val="0"/>
        </w:rPr>
        <w:tab/>
      </w:r>
      <w:r>
        <w:t>Deciding applications for assistance</w:t>
      </w:r>
      <w:bookmarkEnd w:id="168"/>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keepNext/>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No. 29 of 1982 s. 10; amended: No. 43 of 1994 s. 8; No. 59 of 1995 s. 36; No. 58 of 2010 s. 124.]</w:t>
      </w:r>
    </w:p>
    <w:p>
      <w:pPr>
        <w:pStyle w:val="Heading5"/>
        <w:rPr>
          <w:snapToGrid w:val="0"/>
        </w:rPr>
      </w:pPr>
      <w:bookmarkStart w:id="169" w:name="_Toc38006775"/>
      <w:r>
        <w:rPr>
          <w:rStyle w:val="CharSectno"/>
        </w:rPr>
        <w:t>131N</w:t>
      </w:r>
      <w:r>
        <w:rPr>
          <w:snapToGrid w:val="0"/>
        </w:rPr>
        <w:t>.</w:t>
      </w:r>
      <w:r>
        <w:rPr>
          <w:snapToGrid w:val="0"/>
        </w:rPr>
        <w:tab/>
        <w:t>Assistance, payment and application of</w:t>
      </w:r>
      <w:bookmarkEnd w:id="169"/>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No. 29 of 1982 s. 10; amended: No. 59 of 1995 s. 40(2); No. 77 of 2006 Sch. 1 cl. 147(2); No. 58 of 2010 s. 125.]</w:t>
      </w:r>
    </w:p>
    <w:p>
      <w:pPr>
        <w:pStyle w:val="Heading5"/>
        <w:rPr>
          <w:snapToGrid w:val="0"/>
        </w:rPr>
      </w:pPr>
      <w:bookmarkStart w:id="170" w:name="_Toc38006776"/>
      <w:r>
        <w:rPr>
          <w:rStyle w:val="CharSectno"/>
        </w:rPr>
        <w:t>131O</w:t>
      </w:r>
      <w:r>
        <w:rPr>
          <w:snapToGrid w:val="0"/>
        </w:rPr>
        <w:t>.</w:t>
      </w:r>
      <w:r>
        <w:rPr>
          <w:snapToGrid w:val="0"/>
        </w:rPr>
        <w:tab/>
      </w:r>
      <w:r>
        <w:t>Criteria for granting assistance, formulating</w:t>
      </w:r>
      <w:bookmarkEnd w:id="170"/>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pPr>
        <w:pStyle w:val="Ednotepara"/>
        <w:spacing w:before="80"/>
      </w:pPr>
      <w:r>
        <w:tab/>
        <w:t>[(a)</w:t>
      </w:r>
      <w:r>
        <w:tab/>
        <w:t>deleted]</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[Section 131O inserted: No. 29 of 1982 s. 10; amended: No. 6 of 1994 s. 13; No. 43 of 1994 s. 9; No. 14 of 1995 s. 44; No. 59 of 1995 s. 37; No. 12 of 2001 s. 50; No. 17 of 2005 s. 29(3); No. 58 of 2010 s. 126.]</w:t>
      </w:r>
    </w:p>
    <w:p>
      <w:pPr>
        <w:pStyle w:val="Heading2"/>
      </w:pPr>
      <w:bookmarkStart w:id="171" w:name="_Toc38006580"/>
      <w:bookmarkStart w:id="172" w:name="_Toc38006777"/>
      <w:r>
        <w:rPr>
          <w:rStyle w:val="CharPartNo"/>
        </w:rPr>
        <w:t>Part X</w:t>
      </w:r>
      <w:r>
        <w:rPr>
          <w:rStyle w:val="CharDivNo"/>
        </w:rPr>
        <w:t> </w:t>
      </w:r>
      <w:r>
        <w:t>—</w:t>
      </w:r>
      <w:r>
        <w:rPr>
          <w:rStyle w:val="CharDivText"/>
        </w:rPr>
        <w:t> </w:t>
      </w:r>
      <w:r>
        <w:rPr>
          <w:rStyle w:val="CharPartText"/>
        </w:rPr>
        <w:t>Miscellaneous</w:t>
      </w:r>
      <w:bookmarkEnd w:id="171"/>
      <w:bookmarkEnd w:id="172"/>
    </w:p>
    <w:p>
      <w:pPr>
        <w:pStyle w:val="Heading5"/>
        <w:rPr>
          <w:snapToGrid w:val="0"/>
        </w:rPr>
      </w:pPr>
      <w:bookmarkStart w:id="173" w:name="_Toc38006778"/>
      <w:r>
        <w:rPr>
          <w:rStyle w:val="CharSectno"/>
        </w:rPr>
        <w:t>132</w:t>
      </w:r>
      <w:r>
        <w:rPr>
          <w:snapToGrid w:val="0"/>
        </w:rPr>
        <w:t>.</w:t>
      </w:r>
      <w:r>
        <w:rPr>
          <w:snapToGrid w:val="0"/>
        </w:rPr>
        <w:tab/>
        <w:t>Unlicensed assistants to be supervised etc.</w:t>
      </w:r>
      <w:bookmarkEnd w:id="173"/>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pPr>
        <w:pStyle w:val="Indenta"/>
        <w:keepNext/>
        <w:rPr>
          <w:snapToGrid w:val="0"/>
        </w:rPr>
      </w:pPr>
      <w:r>
        <w:rPr>
          <w:snapToGrid w:val="0"/>
        </w:rPr>
        <w:tab/>
        <w:t>(a)</w:t>
      </w:r>
      <w:r>
        <w:rPr>
          <w:snapToGrid w:val="0"/>
        </w:rPr>
        <w:tab/>
        <w:t>where the licensee of the business involved is not a firm or a body corporate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74" w:name="_Toc38006779"/>
      <w:r>
        <w:rPr>
          <w:rStyle w:val="CharSectno"/>
        </w:rPr>
        <w:t>133</w:t>
      </w:r>
      <w:r>
        <w:rPr>
          <w:snapToGrid w:val="0"/>
        </w:rPr>
        <w:t>.</w:t>
      </w:r>
      <w:r>
        <w:rPr>
          <w:snapToGrid w:val="0"/>
        </w:rPr>
        <w:tab/>
      </w:r>
      <w:r>
        <w:t>Registers of licensees etc., Commissioner to keep etc.</w:t>
      </w:r>
      <w:bookmarkEnd w:id="174"/>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 No. 56 of 1995 s. 47; No. 58 of 2010 s. 134.]</w:t>
      </w:r>
    </w:p>
    <w:p>
      <w:pPr>
        <w:pStyle w:val="Heading5"/>
      </w:pPr>
      <w:bookmarkStart w:id="175" w:name="_Toc38006780"/>
      <w:r>
        <w:rPr>
          <w:rStyle w:val="CharSectno"/>
        </w:rPr>
        <w:t>134A</w:t>
      </w:r>
      <w:r>
        <w:t>.</w:t>
      </w:r>
      <w:r>
        <w:tab/>
        <w:t>Offence to give false or misleading information</w:t>
      </w:r>
      <w:bookmarkEnd w:id="175"/>
    </w:p>
    <w:p>
      <w:pPr>
        <w:pStyle w:val="Subsection"/>
      </w:pPr>
      <w:r>
        <w:tab/>
        <w:t>(1)</w:t>
      </w:r>
      <w:r>
        <w:tab/>
        <w:t>A person who gives false or misleading information to the Commissioner or the chief executive officer under this Act commits an offence.</w:t>
      </w:r>
    </w:p>
    <w:p>
      <w:pPr>
        <w:pStyle w:val="Penstart"/>
      </w:pPr>
      <w:r>
        <w:tab/>
        <w:t>Penalty for this subsection: a fine of $20 000.</w:t>
      </w:r>
    </w:p>
    <w:p>
      <w:pPr>
        <w:pStyle w:val="Subsection"/>
      </w:pPr>
      <w:r>
        <w:tab/>
        <w:t>(2)</w:t>
      </w:r>
      <w:r>
        <w:tab/>
        <w:t>For the purposes of subsection (1), a person gives false or misleading information to the Commissioner or the chief executive officer if the person does one or more of the following —</w:t>
      </w:r>
    </w:p>
    <w:p>
      <w:pPr>
        <w:pStyle w:val="Indenta"/>
      </w:pPr>
      <w:r>
        <w:tab/>
        <w:t>(a)</w:t>
      </w:r>
      <w:r>
        <w:tab/>
        <w:t>states anything that the person knows is false or misleading in a material particular;</w:t>
      </w:r>
    </w:p>
    <w:p>
      <w:pPr>
        <w:pStyle w:val="Indenta"/>
      </w:pPr>
      <w:r>
        <w:tab/>
        <w:t>(b)</w:t>
      </w:r>
      <w:r>
        <w:tab/>
        <w:t>omits anything from a statement without which the statement is, to the person’s knowledge, misleading in a material particular;</w:t>
      </w:r>
    </w:p>
    <w:p>
      <w:pPr>
        <w:pStyle w:val="Indenta"/>
      </w:pPr>
      <w:r>
        <w:tab/>
        <w:t>(c)</w:t>
      </w:r>
      <w:r>
        <w:tab/>
        <w:t>gives or produces any information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134A inserted: No. 44 of 2016 s. 35; amended: No. 25 of 2019 s. 59.]</w:t>
      </w:r>
    </w:p>
    <w:p>
      <w:pPr>
        <w:pStyle w:val="Heading5"/>
        <w:rPr>
          <w:snapToGrid w:val="0"/>
        </w:rPr>
      </w:pPr>
      <w:bookmarkStart w:id="176" w:name="_Toc38006781"/>
      <w:r>
        <w:rPr>
          <w:rStyle w:val="CharSectno"/>
        </w:rPr>
        <w:t>134</w:t>
      </w:r>
      <w:r>
        <w:rPr>
          <w:snapToGrid w:val="0"/>
        </w:rPr>
        <w:t>.</w:t>
      </w:r>
      <w:r>
        <w:rPr>
          <w:snapToGrid w:val="0"/>
        </w:rPr>
        <w:tab/>
        <w:t>Commissioner’s certificate</w:t>
      </w:r>
      <w:bookmarkEnd w:id="176"/>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134 amended: No. 58 of 2010 s. 134; No. 23 of 2014 s. 80.]</w:t>
      </w:r>
    </w:p>
    <w:p>
      <w:pPr>
        <w:pStyle w:val="Heading5"/>
        <w:rPr>
          <w:snapToGrid w:val="0"/>
        </w:rPr>
      </w:pPr>
      <w:bookmarkStart w:id="177" w:name="_Toc38006782"/>
      <w:r>
        <w:rPr>
          <w:rStyle w:val="CharSectno"/>
        </w:rPr>
        <w:t>135</w:t>
      </w:r>
      <w:r>
        <w:rPr>
          <w:snapToGrid w:val="0"/>
        </w:rPr>
        <w:t>.</w:t>
      </w:r>
      <w:r>
        <w:rPr>
          <w:snapToGrid w:val="0"/>
        </w:rPr>
        <w:tab/>
      </w:r>
      <w:r>
        <w:t>Annual report by department</w:t>
      </w:r>
      <w:bookmarkEnd w:id="177"/>
    </w:p>
    <w:p>
      <w:pPr>
        <w:pStyle w:val="Ednotesubsection"/>
        <w:keepNext/>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[Section 135 inserted: No. 98 of 1985 s. 3; amended: No. 59 of 1995 s. 38; No. 55 of 2004 s. 1016; No. 77 of 2006 Sch. 1 cl. 147(18); No. 58 of 2010 s. 127.]</w:t>
      </w:r>
    </w:p>
    <w:p>
      <w:pPr>
        <w:pStyle w:val="Heading5"/>
        <w:spacing w:before="200"/>
        <w:rPr>
          <w:snapToGrid w:val="0"/>
        </w:rPr>
      </w:pPr>
      <w:bookmarkStart w:id="178" w:name="_Toc38006783"/>
      <w:r>
        <w:t>136</w:t>
      </w:r>
      <w:r>
        <w:rPr>
          <w:snapToGrid w:val="0"/>
        </w:rPr>
        <w:t>.</w:t>
      </w:r>
      <w:r>
        <w:rPr>
          <w:snapToGrid w:val="0"/>
        </w:rPr>
        <w:tab/>
      </w:r>
      <w:r>
        <w:t>Commissioner to report to Minister on Act’s effectiveness as to protecting against defalcations</w:t>
      </w:r>
      <w:bookmarkEnd w:id="178"/>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spacing w:before="60"/>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r>
        <w:tab/>
        <w:t>[Section 136 amended: No. 58 of 2010 s. 134.]</w:t>
      </w:r>
    </w:p>
    <w:p>
      <w:pPr>
        <w:pStyle w:val="Heading5"/>
        <w:spacing w:before="200"/>
        <w:rPr>
          <w:snapToGrid w:val="0"/>
        </w:rPr>
      </w:pPr>
      <w:bookmarkStart w:id="179" w:name="_Toc38006784"/>
      <w:r>
        <w:t>136A</w:t>
      </w:r>
      <w:r>
        <w:rPr>
          <w:snapToGrid w:val="0"/>
        </w:rPr>
        <w:t>.</w:t>
      </w:r>
      <w:r>
        <w:rPr>
          <w:snapToGrid w:val="0"/>
        </w:rPr>
        <w:tab/>
        <w:t>Refunds of fees, Commissioner’s powers as to</w:t>
      </w:r>
      <w:bookmarkEnd w:id="179"/>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w:t>
      </w:r>
      <w:r>
        <w:t>licence, triennial certificate or certificate of registration</w:t>
      </w:r>
      <w:r>
        <w:rPr>
          <w:snapToGrid w:val="0"/>
        </w:rPr>
        <w:t xml:space="preserv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[Section 136A inserted: No. 74 of 1980 s. 12; amended: No. 29 of 1982 s. 12; No. 77 of 2006 Sch. 1 cl. 147(2); No. 58 of 2010 s. 134; No. 25 of 2019 s. 60.]</w:t>
      </w:r>
    </w:p>
    <w:p>
      <w:pPr>
        <w:pStyle w:val="Heading5"/>
        <w:spacing w:before="200"/>
      </w:pPr>
      <w:bookmarkStart w:id="180" w:name="_Toc38006785"/>
      <w:r>
        <w:rPr>
          <w:rStyle w:val="CharSectno"/>
        </w:rPr>
        <w:t>137</w:t>
      </w:r>
      <w:r>
        <w:t>.</w:t>
      </w:r>
      <w:r>
        <w:tab/>
        <w:t>Protection from personal liability</w:t>
      </w:r>
      <w:bookmarkEnd w:id="180"/>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 No. 58 of 2010 s. 128.]</w:t>
      </w:r>
    </w:p>
    <w:p>
      <w:pPr>
        <w:pStyle w:val="Heading5"/>
      </w:pPr>
      <w:bookmarkStart w:id="181" w:name="_Toc38006786"/>
      <w:r>
        <w:rPr>
          <w:rStyle w:val="CharSectno"/>
        </w:rPr>
        <w:t>138</w:t>
      </w:r>
      <w:r>
        <w:t>.</w:t>
      </w:r>
      <w:r>
        <w:tab/>
        <w:t>Confidentiality of information officially obtained</w:t>
      </w:r>
      <w:bookmarkEnd w:id="181"/>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 No. 58 of 2010 s. 129.]</w:t>
      </w:r>
    </w:p>
    <w:p>
      <w:pPr>
        <w:pStyle w:val="Heading5"/>
        <w:rPr>
          <w:snapToGrid w:val="0"/>
        </w:rPr>
      </w:pPr>
      <w:bookmarkStart w:id="182" w:name="_Toc38006787"/>
      <w:r>
        <w:rPr>
          <w:rStyle w:val="CharSectno"/>
        </w:rPr>
        <w:t>139</w:t>
      </w:r>
      <w:r>
        <w:rPr>
          <w:snapToGrid w:val="0"/>
        </w:rPr>
        <w:t>.</w:t>
      </w:r>
      <w:r>
        <w:rPr>
          <w:snapToGrid w:val="0"/>
        </w:rPr>
        <w:tab/>
        <w:t>Directors of body corporate, liability of</w:t>
      </w:r>
      <w:bookmarkEnd w:id="182"/>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No. 34 of 1998 s. 20; No. 55 of 2004 s. 1017 and 1020; No. 58 of 2010 s. 134.]</w:t>
      </w:r>
    </w:p>
    <w:p>
      <w:pPr>
        <w:pStyle w:val="Heading5"/>
        <w:rPr>
          <w:snapToGrid w:val="0"/>
        </w:rPr>
      </w:pPr>
      <w:bookmarkStart w:id="183" w:name="_Toc38006788"/>
      <w:r>
        <w:rPr>
          <w:rStyle w:val="CharSectno"/>
        </w:rPr>
        <w:t>140</w:t>
      </w:r>
      <w:r>
        <w:rPr>
          <w:snapToGrid w:val="0"/>
        </w:rPr>
        <w:t>.</w:t>
      </w:r>
      <w:r>
        <w:rPr>
          <w:snapToGrid w:val="0"/>
        </w:rPr>
        <w:tab/>
        <w:t>Other rights and remedies not affected by this Act</w:t>
      </w:r>
      <w:bookmarkEnd w:id="183"/>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84" w:name="_Toc38006789"/>
      <w:r>
        <w:rPr>
          <w:rStyle w:val="CharSectno"/>
        </w:rPr>
        <w:t>141</w:t>
      </w:r>
      <w:r>
        <w:rPr>
          <w:snapToGrid w:val="0"/>
        </w:rPr>
        <w:t>.</w:t>
      </w:r>
      <w:r>
        <w:rPr>
          <w:snapToGrid w:val="0"/>
        </w:rPr>
        <w:tab/>
        <w:t>Rights conferred by Act cannot be waived</w:t>
      </w:r>
      <w:bookmarkEnd w:id="184"/>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85" w:name="_Toc38006790"/>
      <w:r>
        <w:rPr>
          <w:rStyle w:val="CharSectno"/>
        </w:rPr>
        <w:t>142</w:t>
      </w:r>
      <w:r>
        <w:rPr>
          <w:snapToGrid w:val="0"/>
        </w:rPr>
        <w:t>.</w:t>
      </w:r>
      <w:r>
        <w:rPr>
          <w:snapToGrid w:val="0"/>
        </w:rPr>
        <w:tab/>
        <w:t>General penalty for offences</w:t>
      </w:r>
      <w:bookmarkEnd w:id="185"/>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142 amended: No. 43 of 1994 s. 11.]</w:t>
      </w:r>
    </w:p>
    <w:p>
      <w:pPr>
        <w:pStyle w:val="Heading5"/>
        <w:rPr>
          <w:snapToGrid w:val="0"/>
        </w:rPr>
      </w:pPr>
      <w:bookmarkStart w:id="186" w:name="_Toc38006791"/>
      <w:r>
        <w:rPr>
          <w:rStyle w:val="CharSectno"/>
        </w:rPr>
        <w:t>143</w:t>
      </w:r>
      <w:r>
        <w:rPr>
          <w:snapToGrid w:val="0"/>
        </w:rPr>
        <w:t>.</w:t>
      </w:r>
      <w:r>
        <w:rPr>
          <w:snapToGrid w:val="0"/>
        </w:rPr>
        <w:tab/>
        <w:t>Proceedings for offences</w:t>
      </w:r>
      <w:bookmarkEnd w:id="186"/>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No. 59 of 2004 s. 141; No. 84 of 2004 s. 80; No. 58 of 2010 s. 134.]</w:t>
      </w:r>
    </w:p>
    <w:p>
      <w:pPr>
        <w:pStyle w:val="Heading5"/>
        <w:rPr>
          <w:snapToGrid w:val="0"/>
        </w:rPr>
      </w:pPr>
      <w:bookmarkStart w:id="187" w:name="_Toc38006792"/>
      <w:r>
        <w:rPr>
          <w:rStyle w:val="CharSectno"/>
        </w:rPr>
        <w:t>144</w:t>
      </w:r>
      <w:r>
        <w:rPr>
          <w:snapToGrid w:val="0"/>
        </w:rPr>
        <w:t>.</w:t>
      </w:r>
      <w:r>
        <w:rPr>
          <w:snapToGrid w:val="0"/>
        </w:rPr>
        <w:tab/>
      </w:r>
      <w:r>
        <w:t>Forms</w:t>
      </w:r>
      <w:bookmarkEnd w:id="187"/>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144 amended: No. 58 of 2010 s. 134.]</w:t>
      </w:r>
    </w:p>
    <w:p>
      <w:pPr>
        <w:pStyle w:val="Heading5"/>
        <w:rPr>
          <w:snapToGrid w:val="0"/>
        </w:rPr>
      </w:pPr>
      <w:bookmarkStart w:id="188" w:name="_Toc38006793"/>
      <w:r>
        <w:rPr>
          <w:rStyle w:val="CharSectno"/>
        </w:rPr>
        <w:t>145</w:t>
      </w:r>
      <w:r>
        <w:rPr>
          <w:snapToGrid w:val="0"/>
        </w:rPr>
        <w:t>.</w:t>
      </w:r>
      <w:r>
        <w:rPr>
          <w:snapToGrid w:val="0"/>
        </w:rPr>
        <w:tab/>
        <w:t>Regulations</w:t>
      </w:r>
      <w:bookmarkEnd w:id="188"/>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145 amended: No. 29 of 1982 s. 11; No. 77 of 1984 s. 5; No. 65 of 1987 s. 42; No. 18 of 1988 s. 5; No. 43 of 1994 s. 10; No. 56 of 1995 s. 48; No. 59 of 1995 s. 39 and 41; No. 55 of 2004 s. 1018; No. 77 of 2006 Sch. 1 cl. 147(2); No. 58 of 2010 s. 130 and 134.]</w:t>
      </w:r>
    </w:p>
    <w:p>
      <w:pPr>
        <w:pStyle w:val="Heading2"/>
      </w:pPr>
      <w:bookmarkStart w:id="189" w:name="_Toc38006597"/>
      <w:bookmarkStart w:id="190" w:name="_Toc38006794"/>
      <w:r>
        <w:rPr>
          <w:rStyle w:val="CharPartNo"/>
        </w:rPr>
        <w:t>Part XI</w:t>
      </w:r>
      <w:r>
        <w:t> — </w:t>
      </w:r>
      <w:r>
        <w:rPr>
          <w:rStyle w:val="CharPartText"/>
        </w:rPr>
        <w:t>Savings and transitional</w:t>
      </w:r>
      <w:bookmarkEnd w:id="189"/>
      <w:bookmarkEnd w:id="190"/>
    </w:p>
    <w:p>
      <w:pPr>
        <w:pStyle w:val="Ednotedivision"/>
      </w:pPr>
      <w:r>
        <w:t>[Division 1 (s. 146, 147) deleted: No. 23 of 2014 s. 81.]</w:t>
      </w:r>
    </w:p>
    <w:p>
      <w:pPr>
        <w:pStyle w:val="Ednotedivision"/>
      </w:pPr>
      <w:r>
        <w:t>[Division heading deleted: No. 23 of 2014 s. 82.]</w:t>
      </w:r>
    </w:p>
    <w:p>
      <w:pPr>
        <w:pStyle w:val="Heading5"/>
      </w:pPr>
      <w:bookmarkStart w:id="191" w:name="_Toc38006795"/>
      <w:r>
        <w:rPr>
          <w:rStyle w:val="CharSectno"/>
        </w:rPr>
        <w:t>148</w:t>
      </w:r>
      <w:r>
        <w:t>.</w:t>
      </w:r>
      <w:r>
        <w:tab/>
        <w:t>Terms used</w:t>
      </w:r>
      <w:bookmarkEnd w:id="191"/>
    </w:p>
    <w:p>
      <w:pPr>
        <w:pStyle w:val="Subsection"/>
      </w:pPr>
      <w:r>
        <w:tab/>
      </w:r>
      <w:r>
        <w:tab/>
        <w:t>In this Division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Board</w:t>
      </w:r>
      <w:r>
        <w:t xml:space="preserve"> means the Real Estate and Business Agents Supervisory Board established by section 6 of the Act immediately prior to the commencement day;</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148 inserted: No. 58 of 2010 s. 132.]</w:t>
      </w:r>
    </w:p>
    <w:p>
      <w:pPr>
        <w:pStyle w:val="Heading5"/>
      </w:pPr>
      <w:bookmarkStart w:id="192" w:name="_Toc38006796"/>
      <w:r>
        <w:rPr>
          <w:rStyle w:val="CharSectno"/>
        </w:rPr>
        <w:t>149</w:t>
      </w:r>
      <w:r>
        <w:t>.</w:t>
      </w:r>
      <w:r>
        <w:tab/>
        <w:t>Former Board abolished</w:t>
      </w:r>
      <w:bookmarkEnd w:id="192"/>
    </w:p>
    <w:p>
      <w:pPr>
        <w:pStyle w:val="Subsection"/>
      </w:pPr>
      <w:r>
        <w:tab/>
      </w:r>
      <w:r>
        <w:tab/>
        <w:t>Subject to sections 156 and 157, at the beginning of the commencement day, the former Board is abolished and its members go out of office.</w:t>
      </w:r>
    </w:p>
    <w:p>
      <w:pPr>
        <w:pStyle w:val="Footnotesection"/>
      </w:pPr>
      <w:r>
        <w:tab/>
        <w:t>[Section 149 inserted: No. 58 of 2010 s. 132.]</w:t>
      </w:r>
    </w:p>
    <w:p>
      <w:pPr>
        <w:pStyle w:val="Heading5"/>
      </w:pPr>
      <w:bookmarkStart w:id="193" w:name="_Toc38006797"/>
      <w:r>
        <w:rPr>
          <w:rStyle w:val="CharSectno"/>
        </w:rPr>
        <w:t>150</w:t>
      </w:r>
      <w:r>
        <w:t>.</w:t>
      </w:r>
      <w:r>
        <w:tab/>
        <w:t>References to former Board</w:t>
      </w:r>
      <w:bookmarkEnd w:id="193"/>
    </w:p>
    <w:p>
      <w:pPr>
        <w:pStyle w:val="Subsection"/>
        <w:keepNext/>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[Section 150 inserted: No. 58 of 2010 s. 132.]</w:t>
      </w:r>
    </w:p>
    <w:p>
      <w:pPr>
        <w:pStyle w:val="Heading5"/>
      </w:pPr>
      <w:bookmarkStart w:id="194" w:name="_Toc38006798"/>
      <w:r>
        <w:rPr>
          <w:rStyle w:val="CharSectno"/>
        </w:rPr>
        <w:t>151</w:t>
      </w:r>
      <w:r>
        <w:t>.</w:t>
      </w:r>
      <w:r>
        <w:tab/>
        <w:t>Immunity continues</w:t>
      </w:r>
      <w:bookmarkEnd w:id="194"/>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 No. 58 of 2010 s. 132.]</w:t>
      </w:r>
    </w:p>
    <w:p>
      <w:pPr>
        <w:pStyle w:val="Heading5"/>
      </w:pPr>
      <w:bookmarkStart w:id="195" w:name="_Toc38006799"/>
      <w:r>
        <w:rPr>
          <w:rStyle w:val="CharSectno"/>
        </w:rPr>
        <w:t>152</w:t>
      </w:r>
      <w:r>
        <w:t>.</w:t>
      </w:r>
      <w:r>
        <w:tab/>
        <w:t>Notices by former Board</w:t>
      </w:r>
      <w:bookmarkEnd w:id="195"/>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 No. 58 of 2010 s. 132.]</w:t>
      </w:r>
    </w:p>
    <w:p>
      <w:pPr>
        <w:pStyle w:val="Heading5"/>
      </w:pPr>
      <w:bookmarkStart w:id="196" w:name="_Toc38006800"/>
      <w:r>
        <w:rPr>
          <w:rStyle w:val="CharSectno"/>
        </w:rPr>
        <w:t>153</w:t>
      </w:r>
      <w:r>
        <w:t>.</w:t>
      </w:r>
      <w:r>
        <w:tab/>
        <w:t>References to former Registrar</w:t>
      </w:r>
      <w:bookmarkEnd w:id="196"/>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spacing w:before="140"/>
        <w:ind w:left="890" w:hanging="890"/>
      </w:pPr>
      <w:r>
        <w:tab/>
        <w:t>[Section 153 inserted: No. 58 of 2010 s. 132.]</w:t>
      </w:r>
    </w:p>
    <w:p>
      <w:pPr>
        <w:pStyle w:val="Heading5"/>
        <w:spacing w:before="280"/>
      </w:pPr>
      <w:bookmarkStart w:id="197" w:name="_Toc38006801"/>
      <w:r>
        <w:rPr>
          <w:rStyle w:val="CharSectno"/>
        </w:rPr>
        <w:t>154</w:t>
      </w:r>
      <w:r>
        <w:t>.</w:t>
      </w:r>
      <w:r>
        <w:tab/>
        <w:t>Unfinished investigations by former Board</w:t>
      </w:r>
      <w:bookmarkEnd w:id="197"/>
    </w:p>
    <w:p>
      <w:pPr>
        <w:pStyle w:val="Subsection"/>
        <w:spacing w:before="180"/>
      </w:pPr>
      <w:r>
        <w:tab/>
      </w:r>
      <w:r>
        <w:tab/>
        <w:t>Investigations being carried out by the former Board under the Act as it was prior to the commencement day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 No. 58 of 2010 s. 132.]</w:t>
      </w:r>
    </w:p>
    <w:p>
      <w:pPr>
        <w:pStyle w:val="Heading5"/>
        <w:spacing w:before="280"/>
      </w:pPr>
      <w:bookmarkStart w:id="198" w:name="_Toc38006802"/>
      <w:r>
        <w:rPr>
          <w:rStyle w:val="CharSectno"/>
        </w:rPr>
        <w:t>155</w:t>
      </w:r>
      <w:r>
        <w:t>.</w:t>
      </w:r>
      <w:r>
        <w:tab/>
        <w:t>Unfinished proceedings by former Board</w:t>
      </w:r>
      <w:bookmarkEnd w:id="198"/>
    </w:p>
    <w:p>
      <w:pPr>
        <w:pStyle w:val="Subsection"/>
        <w:spacing w:before="180"/>
      </w:pPr>
      <w:r>
        <w:tab/>
        <w:t>(1)</w:t>
      </w:r>
      <w:r>
        <w:tab/>
        <w:t>Proceedings before the former Board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 No. 58 of 2010 s. 132.]</w:t>
      </w:r>
    </w:p>
    <w:p>
      <w:pPr>
        <w:pStyle w:val="Heading5"/>
      </w:pPr>
      <w:bookmarkStart w:id="199" w:name="_Toc38006803"/>
      <w:r>
        <w:rPr>
          <w:rStyle w:val="CharSectno"/>
        </w:rPr>
        <w:t>156</w:t>
      </w:r>
      <w:r>
        <w:t>.</w:t>
      </w:r>
      <w:r>
        <w:tab/>
        <w:t>Winding</w:t>
      </w:r>
      <w:r>
        <w:noBreakHyphen/>
        <w:t>up former Board</w:t>
      </w:r>
      <w:bookmarkEnd w:id="199"/>
    </w:p>
    <w:p>
      <w:pPr>
        <w:pStyle w:val="Subsection"/>
      </w:pPr>
      <w:r>
        <w:tab/>
      </w:r>
      <w:r>
        <w:tab/>
        <w:t>On and after the commencement day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spacing w:before="100"/>
        <w:ind w:left="890" w:hanging="890"/>
      </w:pPr>
      <w:r>
        <w:tab/>
        <w:t>[Section 156 inserted: No. 58 of 2010 s. 132.]</w:t>
      </w:r>
    </w:p>
    <w:p>
      <w:pPr>
        <w:pStyle w:val="Heading5"/>
      </w:pPr>
      <w:bookmarkStart w:id="200" w:name="_Toc38006804"/>
      <w:r>
        <w:rPr>
          <w:rStyle w:val="CharSectno"/>
        </w:rPr>
        <w:t>157</w:t>
      </w:r>
      <w:r>
        <w:t>.</w:t>
      </w:r>
      <w:r>
        <w:tab/>
        <w:t>Final report by former Board</w:t>
      </w:r>
      <w:bookmarkEnd w:id="200"/>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 No. 58 of 2010 s. 132.]</w:t>
      </w:r>
    </w:p>
    <w:p>
      <w:pPr>
        <w:pStyle w:val="Heading5"/>
      </w:pPr>
      <w:bookmarkStart w:id="201" w:name="_Toc38006805"/>
      <w:r>
        <w:rPr>
          <w:rStyle w:val="CharSectno"/>
        </w:rPr>
        <w:t>158</w:t>
      </w:r>
      <w:r>
        <w:t>.</w:t>
      </w:r>
      <w:r>
        <w:tab/>
        <w:t>Staff of former Board</w:t>
      </w:r>
      <w:bookmarkEnd w:id="201"/>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 No. 58 of 2010 s. 132.]</w:t>
      </w:r>
    </w:p>
    <w:p>
      <w:pPr>
        <w:pStyle w:val="Heading5"/>
      </w:pPr>
      <w:bookmarkStart w:id="202" w:name="_Toc38006806"/>
      <w:r>
        <w:rPr>
          <w:rStyle w:val="CharSectno"/>
        </w:rPr>
        <w:t>159</w:t>
      </w:r>
      <w:r>
        <w:t>.</w:t>
      </w:r>
      <w:r>
        <w:tab/>
        <w:t>Transitional regulations</w:t>
      </w:r>
      <w:bookmarkEnd w:id="202"/>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keepNext/>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 No. 58 of 2010 s. 132.]</w:t>
      </w:r>
    </w:p>
    <w:p>
      <w:pPr>
        <w:pStyle w:val="Subsection"/>
        <w:rPr>
          <w:snapToGrid w:val="0"/>
        </w:rPr>
      </w:pP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03" w:name="_Toc38006610"/>
      <w:bookmarkStart w:id="204" w:name="_Toc38006807"/>
      <w:r>
        <w:rPr>
          <w:rStyle w:val="CharSchNo"/>
          <w:rFonts w:eastAsia="MS Mincho"/>
        </w:rPr>
        <w:t>Schedule 1</w:t>
      </w:r>
      <w:r>
        <w:t> — </w:t>
      </w:r>
      <w:r>
        <w:rPr>
          <w:rStyle w:val="CharSchText"/>
          <w:rFonts w:eastAsia="MS Mincho"/>
        </w:rPr>
        <w:t>Qualifications for grant of licence and related matters</w:t>
      </w:r>
      <w:bookmarkEnd w:id="203"/>
      <w:bookmarkEnd w:id="204"/>
    </w:p>
    <w:p>
      <w:pPr>
        <w:pStyle w:val="yShoulderClause"/>
      </w:pPr>
      <w:r>
        <w:t>[s. 27]</w:t>
      </w:r>
    </w:p>
    <w:p>
      <w:pPr>
        <w:pStyle w:val="yFootnoteheading"/>
        <w:rPr>
          <w:rFonts w:eastAsia="MS Mincho"/>
        </w:rPr>
      </w:pPr>
      <w:r>
        <w:rPr>
          <w:rFonts w:eastAsia="MS Mincho"/>
        </w:rPr>
        <w:tab/>
        <w:t>[Heading inserted: No. 23 of 2014 s. 83(1).]</w:t>
      </w:r>
    </w:p>
    <w:p>
      <w:pPr>
        <w:pStyle w:val="yEdnotedivision"/>
        <w:rPr>
          <w:rFonts w:eastAsia="MS Mincho"/>
        </w:rPr>
      </w:pPr>
      <w:r>
        <w:rPr>
          <w:rFonts w:eastAsia="MS Mincho"/>
        </w:rPr>
        <w:t>[Division heading deleted: No. 23 of 2014 s. 83(2).]</w:t>
      </w:r>
    </w:p>
    <w:p>
      <w:pPr>
        <w:pStyle w:val="yHeading5"/>
        <w:rPr>
          <w:snapToGrid w:val="0"/>
        </w:rPr>
      </w:pPr>
      <w:bookmarkStart w:id="205" w:name="_Toc38006808"/>
      <w:r>
        <w:rPr>
          <w:rStyle w:val="CharSClsNo"/>
        </w:rPr>
        <w:t>1</w:t>
      </w:r>
      <w:r>
        <w:rPr>
          <w:snapToGrid w:val="0"/>
        </w:rPr>
        <w:t>.</w:t>
      </w:r>
      <w:r>
        <w:rPr>
          <w:snapToGrid w:val="0"/>
        </w:rPr>
        <w:tab/>
        <w:t>Qualifications</w:t>
      </w:r>
      <w:bookmarkEnd w:id="205"/>
    </w:p>
    <w:p>
      <w:pPr>
        <w:pStyle w:val="ySubsection"/>
        <w:rPr>
          <w:snapToGrid w:val="0"/>
        </w:rPr>
      </w:pPr>
      <w:r>
        <w:rPr>
          <w:snapToGrid w:val="0"/>
        </w:rPr>
        <w:tab/>
      </w:r>
      <w:r>
        <w:rPr>
          <w:snapToGrid w:val="0"/>
        </w:rPr>
        <w:tab/>
        <w:t>A person —</w:t>
      </w:r>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pPr>
        <w:pStyle w:val="yIndenta"/>
      </w:pPr>
      <w:r>
        <w:tab/>
        <w:t>(b)</w:t>
      </w:r>
      <w:r>
        <w:tab/>
        <w:t xml:space="preserve">who has, within the period of 5 years immediately preceding the application — </w:t>
      </w:r>
    </w:p>
    <w:p>
      <w:pPr>
        <w:pStyle w:val="yIndenti0"/>
      </w:pPr>
      <w:r>
        <w:tab/>
        <w:t>(i)</w:t>
      </w:r>
      <w:r>
        <w:tab/>
        <w:t>held a licence, other than a licence held because the person was qualified only under paragraph (c) or (d), under this Act for at least 2 years; and</w:t>
      </w:r>
    </w:p>
    <w:p>
      <w:pPr>
        <w:pStyle w:val="yIndenti0"/>
      </w:pPr>
      <w:r>
        <w:tab/>
        <w:t>(ii)</w:t>
      </w:r>
      <w:r>
        <w:tab/>
        <w:t>acted in the State as, and carried out the functions of, an agent for a period of at least 2 years, whether on the person’s own behalf or on behalf of a firm or body corporate;</w:t>
      </w:r>
    </w:p>
    <w:p>
      <w:pPr>
        <w:pStyle w:val="yIndenta"/>
      </w:pPr>
      <w:r>
        <w:tab/>
      </w:r>
      <w:r>
        <w:tab/>
        <w:t>or</w:t>
      </w:r>
    </w:p>
    <w:p>
      <w:pPr>
        <w:pStyle w:val="yIndenta"/>
      </w:pPr>
      <w:r>
        <w:tab/>
        <w:t>(ba)</w:t>
      </w:r>
      <w:r>
        <w:tab/>
        <w:t xml:space="preserve">who has, within the period of 5 years immediately preceding the application — </w:t>
      </w:r>
    </w:p>
    <w:p>
      <w:pPr>
        <w:pStyle w:val="yIndenti0"/>
      </w:pPr>
      <w:r>
        <w:tab/>
        <w:t>(i)</w:t>
      </w:r>
      <w:r>
        <w:tab/>
        <w:t xml:space="preserve">held for a period of at least 2 years a licence or similar authority under an approved corresponding enactment of a State or Territory to act as an agent or the approved equivalent, other than under a licence or authority held under that enactment only because the person was qualified under an equivalent provision in the enactment to paragraph (c) or (d); and </w:t>
      </w:r>
    </w:p>
    <w:p>
      <w:pPr>
        <w:pStyle w:val="yIndenti0"/>
      </w:pPr>
      <w:r>
        <w:tab/>
        <w:t>(ii)</w:t>
      </w:r>
      <w:r>
        <w:tab/>
        <w:t xml:space="preserve">acted as, and carried out the functions of, an agent or the approved equivalent for a period of at least 2 years in the State or Territory in which the licence or authority was held, whether on the person’s own behalf or on behalf of a firm or body corporate; </w:t>
      </w:r>
    </w:p>
    <w:p>
      <w:pPr>
        <w:pStyle w:val="yIndenta"/>
      </w:pPr>
      <w:r>
        <w:tab/>
      </w:r>
      <w:r>
        <w:tab/>
        <w:t>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No. 74 of 1980 s. 13(a); No. 28 of 2003 s. 177(1); No. 19 of 2010 s. 51; No. 25 of 2019 s. 61.]</w:t>
      </w:r>
    </w:p>
    <w:p>
      <w:pPr>
        <w:pStyle w:val="yHeading5"/>
        <w:rPr>
          <w:snapToGrid w:val="0"/>
        </w:rPr>
      </w:pPr>
      <w:bookmarkStart w:id="206" w:name="_Toc38006809"/>
      <w:r>
        <w:rPr>
          <w:rStyle w:val="CharSClsNo"/>
        </w:rPr>
        <w:t>2</w:t>
      </w:r>
      <w:r>
        <w:rPr>
          <w:snapToGrid w:val="0"/>
        </w:rPr>
        <w:t>.</w:t>
      </w:r>
      <w:r>
        <w:rPr>
          <w:snapToGrid w:val="0"/>
        </w:rPr>
        <w:tab/>
        <w:t>Sufficient practical experience defined</w:t>
      </w:r>
      <w:bookmarkEnd w:id="206"/>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No. 19 of 2010 s. 51.]</w:t>
      </w:r>
    </w:p>
    <w:p>
      <w:pPr>
        <w:pStyle w:val="yHeading5"/>
        <w:rPr>
          <w:snapToGrid w:val="0"/>
        </w:rPr>
      </w:pPr>
      <w:bookmarkStart w:id="207" w:name="_Toc38006810"/>
      <w:r>
        <w:rPr>
          <w:rStyle w:val="CharSClsNo"/>
        </w:rPr>
        <w:t>3</w:t>
      </w:r>
      <w:r>
        <w:rPr>
          <w:snapToGrid w:val="0"/>
        </w:rPr>
        <w:t>.</w:t>
      </w:r>
      <w:r>
        <w:rPr>
          <w:snapToGrid w:val="0"/>
        </w:rPr>
        <w:tab/>
        <w:t>Licence by reason of qualification under cl. 1(c)</w:t>
      </w:r>
      <w:bookmarkEnd w:id="207"/>
    </w:p>
    <w:p>
      <w:pPr>
        <w:pStyle w:val="ySubsection"/>
        <w:rPr>
          <w:snapToGrid w:val="0"/>
        </w:rPr>
      </w:pPr>
      <w:r>
        <w:rPr>
          <w:snapToGrid w:val="0"/>
        </w:rPr>
        <w:tab/>
      </w:r>
      <w:r>
        <w:rPr>
          <w:snapToGrid w:val="0"/>
        </w:rPr>
        <w:tab/>
      </w:r>
      <w:r>
        <w:rPr>
          <w:szCs w:val="22"/>
        </w:rPr>
        <w:t>A licence granted to a person who is qualified under clause 1(c)</w:t>
      </w:r>
      <w:r>
        <w:rPr>
          <w:snapToGrid w:val="0"/>
        </w:rPr>
        <w:t xml:space="preserv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No. 19 of 2010 s. 51; No. 23 of 2014 s. 83(3).]</w:t>
      </w:r>
    </w:p>
    <w:p>
      <w:pPr>
        <w:pStyle w:val="yHeading5"/>
        <w:rPr>
          <w:snapToGrid w:val="0"/>
        </w:rPr>
      </w:pPr>
      <w:bookmarkStart w:id="208" w:name="_Toc38006811"/>
      <w:r>
        <w:rPr>
          <w:rStyle w:val="CharSClsNo"/>
        </w:rPr>
        <w:t>4</w:t>
      </w:r>
      <w:r>
        <w:rPr>
          <w:snapToGrid w:val="0"/>
        </w:rPr>
        <w:t>.</w:t>
      </w:r>
      <w:r>
        <w:rPr>
          <w:snapToGrid w:val="0"/>
        </w:rPr>
        <w:tab/>
        <w:t>Licence by reason of qualification under cl. 1(d)</w:t>
      </w:r>
      <w:bookmarkEnd w:id="208"/>
    </w:p>
    <w:p>
      <w:pPr>
        <w:pStyle w:val="ySubsection"/>
        <w:rPr>
          <w:snapToGrid w:val="0"/>
        </w:rPr>
      </w:pPr>
      <w:r>
        <w:rPr>
          <w:snapToGrid w:val="0"/>
        </w:rPr>
        <w:tab/>
      </w:r>
      <w:r>
        <w:rPr>
          <w:snapToGrid w:val="0"/>
        </w:rPr>
        <w:tab/>
      </w:r>
      <w:r>
        <w:rPr>
          <w:szCs w:val="22"/>
        </w:rPr>
        <w:t xml:space="preserve">A licence applied for by a person who is qualified under clause 1(d)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No. 28 of 2003 s. 177(2); No. 19 of 2010 s. 51; No. 58 of 2010 s. 134; No. 23 of 2014 s. 83(4).]</w:t>
      </w:r>
    </w:p>
    <w:p>
      <w:pPr>
        <w:pStyle w:val="yHeading5"/>
        <w:rPr>
          <w:snapToGrid w:val="0"/>
        </w:rPr>
      </w:pPr>
      <w:bookmarkStart w:id="209" w:name="_Toc38006812"/>
      <w:r>
        <w:rPr>
          <w:rStyle w:val="CharSClsNo"/>
        </w:rPr>
        <w:t>5</w:t>
      </w:r>
      <w:r>
        <w:rPr>
          <w:snapToGrid w:val="0"/>
        </w:rPr>
        <w:t>.</w:t>
      </w:r>
      <w:r>
        <w:rPr>
          <w:snapToGrid w:val="0"/>
        </w:rPr>
        <w:tab/>
        <w:t>Dead or incapacitated licensee, conduct of business of</w:t>
      </w:r>
      <w:bookmarkEnd w:id="209"/>
    </w:p>
    <w:p>
      <w:pPr>
        <w:pStyle w:val="ySubsection"/>
        <w:rPr>
          <w:snapToGrid w:val="0"/>
        </w:rPr>
      </w:pPr>
      <w:r>
        <w:rPr>
          <w:snapToGrid w:val="0"/>
        </w:rPr>
        <w:tab/>
        <w:t>(1)</w:t>
      </w:r>
      <w:r>
        <w:rPr>
          <w:snapToGrid w:val="0"/>
        </w:rPr>
        <w:tab/>
        <w:t>A person who is not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No. 28 of 2003 s. 177(3); No. 19 of 2010 s. 51; No. 58 of 2010 s. 134.]</w:t>
      </w:r>
    </w:p>
    <w:p>
      <w:pPr>
        <w:pStyle w:val="yHeading5"/>
        <w:rPr>
          <w:snapToGrid w:val="0"/>
        </w:rPr>
      </w:pPr>
      <w:bookmarkStart w:id="210" w:name="_Toc38006813"/>
      <w:r>
        <w:rPr>
          <w:rStyle w:val="CharSClsNo"/>
        </w:rPr>
        <w:t>6</w:t>
      </w:r>
      <w:r>
        <w:rPr>
          <w:snapToGrid w:val="0"/>
        </w:rPr>
        <w:t>.</w:t>
      </w:r>
      <w:r>
        <w:rPr>
          <w:snapToGrid w:val="0"/>
        </w:rPr>
        <w:tab/>
        <w:t>Death or withdrawal of partner in firm or director of body corporate, Commissioner to be notified</w:t>
      </w:r>
      <w:bookmarkEnd w:id="210"/>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No. 74 of 1980 s. 13(c); No. 19 of 2010 s. 51; No. 58 of 2010 s. 134.]</w:t>
      </w:r>
    </w:p>
    <w:p>
      <w:pPr>
        <w:pStyle w:val="yEdnotedivision"/>
        <w:tabs>
          <w:tab w:val="left" w:pos="1418"/>
        </w:tabs>
      </w:pPr>
      <w:r>
        <w:rPr>
          <w:rFonts w:eastAsia="MS Mincho"/>
        </w:rPr>
        <w:t>[Division 2:</w:t>
      </w:r>
      <w:r>
        <w:rPr>
          <w:rFonts w:eastAsia="MS Mincho"/>
        </w:rPr>
        <w:tab/>
        <w:t xml:space="preserve">cl. 7, 9-12 and 15 </w:t>
      </w:r>
      <w:r>
        <w:t>deleted: No. 58 of 2010 s. 133;</w:t>
      </w:r>
      <w:r>
        <w:br/>
      </w:r>
      <w:r>
        <w:rPr>
          <w:rFonts w:eastAsia="MS Mincho"/>
        </w:rPr>
        <w:tab/>
        <w:t xml:space="preserve">balance deleted: No. 23 of 2014 s. 83(5); </w:t>
      </w:r>
      <w:r>
        <w:rPr>
          <w:rFonts w:eastAsia="MS Mincho"/>
        </w:rPr>
        <w:br/>
      </w:r>
      <w:r>
        <w:tab/>
        <w:t xml:space="preserve">Heading deleted: No. 55 of 2004 s. 1019; </w:t>
      </w:r>
      <w:r>
        <w:br/>
      </w:r>
      <w:r>
        <w:tab/>
        <w:t>cl. </w:t>
      </w:r>
      <w:r>
        <w:rPr>
          <w:bCs/>
        </w:rPr>
        <w:t>17</w:t>
      </w:r>
      <w:r>
        <w:rPr>
          <w:bCs/>
        </w:rPr>
        <w:noBreakHyphen/>
        <w:t>24 d</w:t>
      </w:r>
      <w:r>
        <w:t>eleted: No. 55 of 2004 s. 1019.]</w:t>
      </w:r>
    </w:p>
    <w:p>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212" w:name="_Toc38006617"/>
      <w:bookmarkStart w:id="213" w:name="_Toc38006814"/>
      <w:r>
        <w:t>Notes</w:t>
      </w:r>
      <w:bookmarkEnd w:id="212"/>
      <w:bookmarkEnd w:id="213"/>
    </w:p>
    <w:p>
      <w:pPr>
        <w:pStyle w:val="nStatement"/>
      </w:pPr>
      <w:r>
        <w:t xml:space="preserve">This is a compilation of the </w:t>
      </w:r>
      <w:r>
        <w:rPr>
          <w:i/>
          <w:noProof/>
        </w:rPr>
        <w:t>Real Estate and Business Agents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4" w:name="_Toc38006815"/>
      <w:r>
        <w:t>Compilation table</w:t>
      </w:r>
      <w:bookmarkEnd w:id="214"/>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Real Estate and Business Agents Act 1978</w:t>
            </w:r>
          </w:p>
        </w:tc>
        <w:tc>
          <w:tcPr>
            <w:tcW w:w="1135" w:type="dxa"/>
          </w:tcPr>
          <w:p>
            <w:pPr>
              <w:pStyle w:val="nTable"/>
              <w:spacing w:after="40"/>
            </w:pPr>
            <w:r>
              <w:t>72 of 1978</w:t>
            </w:r>
          </w:p>
        </w:tc>
        <w:tc>
          <w:tcPr>
            <w:tcW w:w="1135" w:type="dxa"/>
          </w:tcPr>
          <w:p>
            <w:pPr>
              <w:pStyle w:val="nTable"/>
              <w:spacing w:after="40"/>
            </w:pPr>
            <w:r>
              <w:t>20 Oct 1978</w:t>
            </w:r>
          </w:p>
        </w:tc>
        <w:tc>
          <w:tcPr>
            <w:tcW w:w="2551" w:type="dxa"/>
          </w:tcPr>
          <w:p>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trPr>
          <w:cantSplit/>
        </w:trPr>
        <w:tc>
          <w:tcPr>
            <w:tcW w:w="2268" w:type="dxa"/>
          </w:tcPr>
          <w:p>
            <w:pPr>
              <w:pStyle w:val="nTable"/>
              <w:spacing w:after="40"/>
              <w:ind w:right="113"/>
            </w:pPr>
            <w:r>
              <w:rPr>
                <w:i/>
              </w:rPr>
              <w:t>Real Estate and Business Agents Act Amendment Act 1979</w:t>
            </w:r>
          </w:p>
        </w:tc>
        <w:tc>
          <w:tcPr>
            <w:tcW w:w="1135" w:type="dxa"/>
          </w:tcPr>
          <w:p>
            <w:pPr>
              <w:pStyle w:val="nTable"/>
              <w:spacing w:after="40"/>
            </w:pPr>
            <w:r>
              <w:t>74 of 1979</w:t>
            </w:r>
          </w:p>
        </w:tc>
        <w:tc>
          <w:tcPr>
            <w:tcW w:w="1135" w:type="dxa"/>
          </w:tcPr>
          <w:p>
            <w:pPr>
              <w:pStyle w:val="nTable"/>
              <w:spacing w:after="40"/>
            </w:pPr>
            <w:r>
              <w:t>27 Nov 1979</w:t>
            </w:r>
          </w:p>
        </w:tc>
        <w:tc>
          <w:tcPr>
            <w:tcW w:w="2551" w:type="dxa"/>
          </w:tcPr>
          <w:p>
            <w:pPr>
              <w:pStyle w:val="nTable"/>
              <w:spacing w:after="40"/>
            </w:pPr>
            <w:r>
              <w:t>27 Nov 1979</w:t>
            </w:r>
          </w:p>
        </w:tc>
      </w:tr>
      <w:tr>
        <w:trPr>
          <w:cantSplit/>
        </w:trPr>
        <w:tc>
          <w:tcPr>
            <w:tcW w:w="2268" w:type="dxa"/>
          </w:tcPr>
          <w:p>
            <w:pPr>
              <w:pStyle w:val="nTable"/>
              <w:spacing w:after="40"/>
              <w:ind w:right="113"/>
            </w:pPr>
            <w:r>
              <w:rPr>
                <w:i/>
              </w:rPr>
              <w:t>Real Estate and Business Agents Amendment Act 1980</w:t>
            </w:r>
          </w:p>
        </w:tc>
        <w:tc>
          <w:tcPr>
            <w:tcW w:w="1135" w:type="dxa"/>
          </w:tcPr>
          <w:p>
            <w:pPr>
              <w:pStyle w:val="nTable"/>
              <w:spacing w:after="40"/>
            </w:pPr>
            <w:r>
              <w:t>74 of 1980</w:t>
            </w:r>
          </w:p>
        </w:tc>
        <w:tc>
          <w:tcPr>
            <w:tcW w:w="1135" w:type="dxa"/>
          </w:tcPr>
          <w:p>
            <w:pPr>
              <w:pStyle w:val="nTable"/>
              <w:spacing w:after="40"/>
            </w:pPr>
            <w:r>
              <w:t>5 Dec 1980</w:t>
            </w:r>
          </w:p>
        </w:tc>
        <w:tc>
          <w:tcPr>
            <w:tcW w:w="2551" w:type="dxa"/>
          </w:tcPr>
          <w:p>
            <w:pPr>
              <w:pStyle w:val="nTable"/>
              <w:spacing w:after="40"/>
            </w:pPr>
            <w:r>
              <w:t xml:space="preserve">s. 13: 1 Dec 1980 (see s. 2(2)); </w:t>
            </w:r>
            <w:r>
              <w:br/>
              <w:t>Act other than s. 13: 2 Jan 1981 (see s. 2(1))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trPr>
          <w:cantSplit/>
        </w:trPr>
        <w:tc>
          <w:tcPr>
            <w:tcW w:w="2268" w:type="dxa"/>
          </w:tcPr>
          <w:p>
            <w:pPr>
              <w:pStyle w:val="nTable"/>
              <w:spacing w:after="40"/>
              <w:ind w:right="113"/>
            </w:pPr>
            <w:r>
              <w:rPr>
                <w:i/>
              </w:rPr>
              <w:t>Companies (Consequential Amendments) Act 1982</w:t>
            </w:r>
            <w:r>
              <w:t xml:space="preserve"> s. 28</w:t>
            </w:r>
          </w:p>
        </w:tc>
        <w:tc>
          <w:tcPr>
            <w:tcW w:w="1135" w:type="dxa"/>
          </w:tcPr>
          <w:p>
            <w:pPr>
              <w:pStyle w:val="nTable"/>
              <w:spacing w:after="40"/>
            </w:pPr>
            <w:r>
              <w:t>10 of 1982</w:t>
            </w:r>
          </w:p>
        </w:tc>
        <w:tc>
          <w:tcPr>
            <w:tcW w:w="1135"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keepNext/>
              <w:keepLines/>
              <w:spacing w:after="40"/>
              <w:ind w:right="113"/>
            </w:pPr>
            <w:r>
              <w:rPr>
                <w:i/>
              </w:rPr>
              <w:t>Real Estate and Business Agents Amendment Act 1982</w:t>
            </w:r>
          </w:p>
        </w:tc>
        <w:tc>
          <w:tcPr>
            <w:tcW w:w="1135" w:type="dxa"/>
          </w:tcPr>
          <w:p>
            <w:pPr>
              <w:pStyle w:val="nTable"/>
              <w:keepNext/>
              <w:keepLines/>
              <w:spacing w:after="40"/>
            </w:pPr>
            <w:r>
              <w:t>29 of 1982</w:t>
            </w:r>
          </w:p>
        </w:tc>
        <w:tc>
          <w:tcPr>
            <w:tcW w:w="1135" w:type="dxa"/>
          </w:tcPr>
          <w:p>
            <w:pPr>
              <w:pStyle w:val="nTable"/>
              <w:keepNext/>
              <w:keepLines/>
              <w:spacing w:after="40"/>
            </w:pPr>
            <w:r>
              <w:t>27 May 1982</w:t>
            </w:r>
          </w:p>
        </w:tc>
        <w:tc>
          <w:tcPr>
            <w:tcW w:w="2551" w:type="dxa"/>
          </w:tcPr>
          <w:p>
            <w:pPr>
              <w:pStyle w:val="nTable"/>
              <w:keepNext/>
              <w:keepLines/>
              <w:spacing w:after="40"/>
            </w:pPr>
            <w:r>
              <w:t xml:space="preserve">25 Jun 1982 (see s. 2 and </w:t>
            </w:r>
            <w:r>
              <w:rPr>
                <w:i/>
              </w:rPr>
              <w:t>Gazette</w:t>
            </w:r>
            <w:r>
              <w:t xml:space="preserve"> 25 Jun 1982 p. 2091)</w:t>
            </w:r>
          </w:p>
        </w:tc>
      </w:tr>
      <w:tr>
        <w:trPr>
          <w:cantSplit/>
        </w:trPr>
        <w:tc>
          <w:tcPr>
            <w:tcW w:w="2268" w:type="dxa"/>
          </w:tcPr>
          <w:p>
            <w:pPr>
              <w:pStyle w:val="nTable"/>
              <w:spacing w:after="40"/>
              <w:ind w:right="113"/>
            </w:pPr>
            <w:r>
              <w:rPr>
                <w:i/>
              </w:rPr>
              <w:t>Real Estate and Business Agents Amendment Act 1984</w:t>
            </w:r>
          </w:p>
        </w:tc>
        <w:tc>
          <w:tcPr>
            <w:tcW w:w="1135" w:type="dxa"/>
          </w:tcPr>
          <w:p>
            <w:pPr>
              <w:pStyle w:val="nTable"/>
              <w:spacing w:after="40"/>
            </w:pPr>
            <w:r>
              <w:t>77 of 1984</w:t>
            </w:r>
          </w:p>
        </w:tc>
        <w:tc>
          <w:tcPr>
            <w:tcW w:w="1135" w:type="dxa"/>
          </w:tcPr>
          <w:p>
            <w:pPr>
              <w:pStyle w:val="nTable"/>
              <w:spacing w:after="40"/>
            </w:pPr>
            <w:r>
              <w:t>26 Nov 1984</w:t>
            </w:r>
          </w:p>
        </w:tc>
        <w:tc>
          <w:tcPr>
            <w:tcW w:w="2551" w:type="dxa"/>
          </w:tcPr>
          <w:p>
            <w:pPr>
              <w:pStyle w:val="nTable"/>
              <w:spacing w:after="40"/>
            </w:pPr>
            <w:r>
              <w:t>26 Nov 1984 (see s. 2)</w:t>
            </w:r>
          </w:p>
        </w:tc>
      </w:tr>
      <w:tr>
        <w:trPr>
          <w:cantSplit/>
        </w:trPr>
        <w:tc>
          <w:tcPr>
            <w:tcW w:w="2268" w:type="dxa"/>
          </w:tcPr>
          <w:p>
            <w:pPr>
              <w:pStyle w:val="nTable"/>
              <w:spacing w:after="40"/>
              <w:ind w:right="113"/>
            </w:pPr>
            <w:r>
              <w:rPr>
                <w:i/>
              </w:rPr>
              <w:t>Acts Amendment (Strata Titles) Act 1985</w:t>
            </w:r>
            <w:r>
              <w:t xml:space="preserve"> Pt. III</w:t>
            </w:r>
          </w:p>
        </w:tc>
        <w:tc>
          <w:tcPr>
            <w:tcW w:w="1135" w:type="dxa"/>
          </w:tcPr>
          <w:p>
            <w:pPr>
              <w:pStyle w:val="nTable"/>
              <w:spacing w:after="40"/>
            </w:pPr>
            <w:r>
              <w:t>40 of 1985</w:t>
            </w:r>
          </w:p>
        </w:tc>
        <w:tc>
          <w:tcPr>
            <w:tcW w:w="1135" w:type="dxa"/>
          </w:tcPr>
          <w:p>
            <w:pPr>
              <w:pStyle w:val="nTable"/>
              <w:spacing w:after="40"/>
            </w:pPr>
            <w:r>
              <w:t>13 May 1985</w:t>
            </w:r>
          </w:p>
        </w:tc>
        <w:tc>
          <w:tcPr>
            <w:tcW w:w="2551" w:type="dxa"/>
          </w:tcPr>
          <w:p>
            <w:pPr>
              <w:pStyle w:val="nTable"/>
              <w:spacing w:after="40"/>
            </w:pPr>
            <w:r>
              <w:t xml:space="preserve">30 Jun 1985 (see s. 2 and </w:t>
            </w:r>
            <w:r>
              <w:rPr>
                <w:i/>
              </w:rPr>
              <w:t>Gazette</w:t>
            </w:r>
            <w:r>
              <w:t xml:space="preserve"> 21 Jun 1985 p. 2188)</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7 Nov 1985</w:t>
            </w:r>
            <w:r>
              <w:t xml:space="preserve"> (includes amendments listed above)</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5"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State Government Insurance Commission Act 1986</w:t>
            </w:r>
            <w:r>
              <w:t xml:space="preserve"> s. 46(2)</w:t>
            </w:r>
          </w:p>
        </w:tc>
        <w:tc>
          <w:tcPr>
            <w:tcW w:w="1135" w:type="dxa"/>
          </w:tcPr>
          <w:p>
            <w:pPr>
              <w:pStyle w:val="nTable"/>
              <w:spacing w:after="40"/>
            </w:pPr>
            <w:r>
              <w:t>51 of 1986</w:t>
            </w:r>
          </w:p>
        </w:tc>
        <w:tc>
          <w:tcPr>
            <w:tcW w:w="1135"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ind w:right="113"/>
            </w:pPr>
            <w:r>
              <w:rPr>
                <w:i/>
              </w:rPr>
              <w:t>Acts Amendment (Legal Practitioners, Costs and Taxation) Act 1987</w:t>
            </w:r>
            <w:r>
              <w:t xml:space="preserve"> Pt. XV</w:t>
            </w:r>
          </w:p>
        </w:tc>
        <w:tc>
          <w:tcPr>
            <w:tcW w:w="1135" w:type="dxa"/>
          </w:tcPr>
          <w:p>
            <w:pPr>
              <w:pStyle w:val="nTable"/>
              <w:spacing w:after="40"/>
            </w:pPr>
            <w:r>
              <w:t>65 of 1987</w:t>
            </w:r>
          </w:p>
        </w:tc>
        <w:tc>
          <w:tcPr>
            <w:tcW w:w="1135"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Residential Tenancies Act 1987</w:t>
            </w:r>
            <w:r>
              <w:t xml:space="preserve"> s. 89</w:t>
            </w:r>
          </w:p>
        </w:tc>
        <w:tc>
          <w:tcPr>
            <w:tcW w:w="1135"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 xml:space="preserve">1 Oct 1989 (see s. 2 and </w:t>
            </w:r>
            <w:r>
              <w:rPr>
                <w:i/>
              </w:rPr>
              <w:t>Gazette</w:t>
            </w:r>
            <w:r>
              <w:t xml:space="preserve"> 18 Aug 1989 p. 2748)</w:t>
            </w:r>
          </w:p>
        </w:tc>
      </w:tr>
      <w:tr>
        <w:trPr>
          <w:cantSplit/>
        </w:trPr>
        <w:tc>
          <w:tcPr>
            <w:tcW w:w="2268" w:type="dxa"/>
          </w:tcPr>
          <w:p>
            <w:pPr>
              <w:pStyle w:val="nTable"/>
              <w:spacing w:after="40"/>
              <w:ind w:right="113"/>
            </w:pPr>
            <w:r>
              <w:rPr>
                <w:i/>
              </w:rPr>
              <w:t>Real Estate and Business Agents Amendment Act 1988</w:t>
            </w:r>
          </w:p>
        </w:tc>
        <w:tc>
          <w:tcPr>
            <w:tcW w:w="1135" w:type="dxa"/>
          </w:tcPr>
          <w:p>
            <w:pPr>
              <w:pStyle w:val="nTable"/>
              <w:spacing w:after="40"/>
            </w:pPr>
            <w:r>
              <w:t>18 of 1988</w:t>
            </w:r>
          </w:p>
        </w:tc>
        <w:tc>
          <w:tcPr>
            <w:tcW w:w="1135" w:type="dxa"/>
          </w:tcPr>
          <w:p>
            <w:pPr>
              <w:pStyle w:val="nTable"/>
              <w:spacing w:after="40"/>
            </w:pPr>
            <w:r>
              <w:t>9 Sep 1988</w:t>
            </w:r>
          </w:p>
        </w:tc>
        <w:tc>
          <w:tcPr>
            <w:tcW w:w="2551" w:type="dxa"/>
          </w:tcPr>
          <w:p>
            <w:pPr>
              <w:pStyle w:val="nTable"/>
              <w:spacing w:after="40"/>
            </w:pPr>
            <w:r>
              <w:t>s. 1 and 2: 9 Sep 1988;</w:t>
            </w:r>
            <w:r>
              <w:br/>
              <w:t xml:space="preserve">Act other than s. 1 and 2: 28 Oct 1988 (see s. 2 and </w:t>
            </w:r>
            <w:r>
              <w:rPr>
                <w:i/>
              </w:rPr>
              <w:t>Gazette</w:t>
            </w:r>
            <w:r>
              <w:t xml:space="preserve"> 28 Oct 1988 p. 4327)</w:t>
            </w:r>
          </w:p>
        </w:tc>
      </w:tr>
      <w:tr>
        <w:trPr>
          <w:cantSplit/>
        </w:trPr>
        <w:tc>
          <w:tcPr>
            <w:tcW w:w="2268" w:type="dxa"/>
          </w:tcPr>
          <w:p>
            <w:pPr>
              <w:pStyle w:val="nTable"/>
              <w:spacing w:after="40"/>
              <w:ind w:right="113"/>
            </w:pPr>
            <w:r>
              <w:rPr>
                <w:i/>
              </w:rPr>
              <w:t>R &amp; I Bank Act 1990</w:t>
            </w:r>
            <w:r>
              <w:t xml:space="preserve"> s. 45(1)</w:t>
            </w:r>
          </w:p>
        </w:tc>
        <w:tc>
          <w:tcPr>
            <w:tcW w:w="1135" w:type="dxa"/>
          </w:tcPr>
          <w:p>
            <w:pPr>
              <w:pStyle w:val="nTable"/>
              <w:spacing w:after="40"/>
            </w:pPr>
            <w:r>
              <w:t>73 of 1990</w:t>
            </w:r>
          </w:p>
        </w:tc>
        <w:tc>
          <w:tcPr>
            <w:tcW w:w="1135"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pPr>
            <w:r>
              <w:rPr>
                <w:i/>
              </w:rPr>
              <w:t>R &amp; I Bank Amendment Act 1994</w:t>
            </w:r>
            <w:r>
              <w:t xml:space="preserve"> s. 13</w:t>
            </w:r>
          </w:p>
        </w:tc>
        <w:tc>
          <w:tcPr>
            <w:tcW w:w="1135" w:type="dxa"/>
          </w:tcPr>
          <w:p>
            <w:pPr>
              <w:pStyle w:val="nTable"/>
              <w:spacing w:after="40"/>
            </w:pPr>
            <w:r>
              <w:t>6 of 1994</w:t>
            </w:r>
          </w:p>
        </w:tc>
        <w:tc>
          <w:tcPr>
            <w:tcW w:w="1135"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cantSplit/>
        </w:trPr>
        <w:tc>
          <w:tcPr>
            <w:tcW w:w="2268" w:type="dxa"/>
          </w:tcPr>
          <w:p>
            <w:pPr>
              <w:pStyle w:val="nTable"/>
              <w:spacing w:after="40"/>
              <w:ind w:right="113"/>
            </w:pPr>
            <w:r>
              <w:rPr>
                <w:i/>
              </w:rPr>
              <w:t>Acts Amendment (Public Sector Management) Act 1994</w:t>
            </w:r>
            <w:r>
              <w:t xml:space="preserve"> s. 3(2)</w:t>
            </w:r>
          </w:p>
        </w:tc>
        <w:tc>
          <w:tcPr>
            <w:tcW w:w="1135"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Real Estate and Business Agents Amendment Act 1994</w:t>
            </w:r>
          </w:p>
        </w:tc>
        <w:tc>
          <w:tcPr>
            <w:tcW w:w="1135" w:type="dxa"/>
          </w:tcPr>
          <w:p>
            <w:pPr>
              <w:pStyle w:val="nTable"/>
              <w:spacing w:after="40"/>
            </w:pPr>
            <w:r>
              <w:t>43 of 1994</w:t>
            </w:r>
          </w:p>
        </w:tc>
        <w:tc>
          <w:tcPr>
            <w:tcW w:w="1135" w:type="dxa"/>
          </w:tcPr>
          <w:p>
            <w:pPr>
              <w:pStyle w:val="nTable"/>
              <w:spacing w:after="40"/>
            </w:pPr>
            <w:r>
              <w:t>31 Aug 1994</w:t>
            </w:r>
          </w:p>
        </w:tc>
        <w:tc>
          <w:tcPr>
            <w:tcW w:w="2551" w:type="dxa"/>
          </w:tcPr>
          <w:p>
            <w:pPr>
              <w:pStyle w:val="nTable"/>
              <w:spacing w:after="40"/>
            </w:pPr>
            <w:r>
              <w:t>Act other than s. 7 and 8(b)(i): 31 Aug 1994 (see s. 2(1));</w:t>
            </w:r>
            <w:r>
              <w:br/>
              <w:t xml:space="preserve">s. 7 and 8(b)(i): 6 Oct 1994 (see s. 2(2) and </w:t>
            </w:r>
            <w:r>
              <w:rPr>
                <w:i/>
              </w:rPr>
              <w:t>Gazette</w:t>
            </w:r>
            <w:r>
              <w:t xml:space="preserve"> 30 Sep 1994 p. 4947)</w:t>
            </w:r>
          </w:p>
        </w:tc>
      </w:tr>
      <w:tr>
        <w:trPr>
          <w:cantSplit/>
        </w:trPr>
        <w:tc>
          <w:tcPr>
            <w:tcW w:w="2268" w:type="dxa"/>
          </w:tcPr>
          <w:p>
            <w:pPr>
              <w:pStyle w:val="nTable"/>
              <w:spacing w:after="40"/>
              <w:ind w:right="113"/>
            </w:pPr>
            <w:r>
              <w:rPr>
                <w:i/>
              </w:rPr>
              <w:t>Bank of Western Australia Act 1995</w:t>
            </w:r>
            <w:r>
              <w:t xml:space="preserve"> s. 44(1)</w:t>
            </w:r>
          </w:p>
        </w:tc>
        <w:tc>
          <w:tcPr>
            <w:tcW w:w="1135" w:type="dxa"/>
          </w:tcPr>
          <w:p>
            <w:pPr>
              <w:pStyle w:val="nTable"/>
              <w:spacing w:after="40"/>
            </w:pPr>
            <w:r>
              <w:t>14 of 1995</w:t>
            </w:r>
          </w:p>
        </w:tc>
        <w:tc>
          <w:tcPr>
            <w:tcW w:w="1135" w:type="dxa"/>
          </w:tcPr>
          <w:p>
            <w:pPr>
              <w:pStyle w:val="nTable"/>
              <w:spacing w:after="40"/>
            </w:pPr>
            <w:r>
              <w:t>4 Jul 1995</w:t>
            </w:r>
          </w:p>
        </w:tc>
        <w:tc>
          <w:tcPr>
            <w:tcW w:w="2551" w:type="dxa"/>
          </w:tcPr>
          <w:p>
            <w:pPr>
              <w:pStyle w:val="nTable"/>
              <w:spacing w:after="40"/>
            </w:pPr>
            <w:r>
              <w:t xml:space="preserve">1 Dec 1995 (see s. 2(3) and 9(1) and </w:t>
            </w:r>
            <w:r>
              <w:rPr>
                <w:i/>
              </w:rPr>
              <w:t>Gazette</w:t>
            </w:r>
            <w:r>
              <w:t xml:space="preserve"> 29 Nov 1995 p. 5529)</w:t>
            </w:r>
          </w:p>
        </w:tc>
      </w:tr>
      <w:tr>
        <w:trPr>
          <w:cantSplit/>
        </w:trPr>
        <w:tc>
          <w:tcPr>
            <w:tcW w:w="2268" w:type="dxa"/>
          </w:tcPr>
          <w:p>
            <w:pPr>
              <w:pStyle w:val="nTable"/>
              <w:spacing w:after="40"/>
              <w:ind w:right="113"/>
              <w:rPr>
                <w:vertAlign w:val="superscript"/>
              </w:rPr>
            </w:pPr>
            <w:r>
              <w:rPr>
                <w:i/>
              </w:rPr>
              <w:t>Business Licensing Amendment Act 1995</w:t>
            </w:r>
            <w:r>
              <w:t xml:space="preserve"> Pt. 8</w:t>
            </w:r>
            <w:r>
              <w:rPr>
                <w:vertAlign w:val="superscript"/>
              </w:rPr>
              <w:t> 6</w:t>
            </w:r>
          </w:p>
        </w:tc>
        <w:tc>
          <w:tcPr>
            <w:tcW w:w="1135" w:type="dxa"/>
          </w:tcPr>
          <w:p>
            <w:pPr>
              <w:pStyle w:val="nTable"/>
              <w:spacing w:after="40"/>
            </w:pPr>
            <w:r>
              <w:t>56 of 1995</w:t>
            </w:r>
          </w:p>
        </w:tc>
        <w:tc>
          <w:tcPr>
            <w:tcW w:w="1135" w:type="dxa"/>
          </w:tcPr>
          <w:p>
            <w:pPr>
              <w:pStyle w:val="nTable"/>
              <w:spacing w:after="40"/>
            </w:pPr>
            <w:r>
              <w:t>20 Dec 1995</w:t>
            </w:r>
          </w:p>
        </w:tc>
        <w:tc>
          <w:tcPr>
            <w:tcW w:w="2551" w:type="dxa"/>
          </w:tcPr>
          <w:p>
            <w:pPr>
              <w:pStyle w:val="nTable"/>
              <w:spacing w:after="40"/>
            </w:pPr>
            <w:r>
              <w:t xml:space="preserve">1 Jul 1996 (see s. 2(2) and </w:t>
            </w:r>
            <w:r>
              <w:rPr>
                <w:i/>
              </w:rPr>
              <w:t>Gazette</w:t>
            </w:r>
            <w:r>
              <w:t xml:space="preserve"> 1 Jul 1996 p. 3179)</w:t>
            </w:r>
          </w:p>
        </w:tc>
      </w:tr>
      <w:tr>
        <w:trPr>
          <w:cantSplit/>
        </w:trPr>
        <w:tc>
          <w:tcPr>
            <w:tcW w:w="2268" w:type="dxa"/>
          </w:tcPr>
          <w:p>
            <w:pPr>
              <w:pStyle w:val="nTable"/>
              <w:spacing w:after="40"/>
              <w:ind w:right="113"/>
            </w:pPr>
            <w:r>
              <w:rPr>
                <w:i/>
              </w:rPr>
              <w:t>Real Estate Legislation Amendment Act 1995</w:t>
            </w:r>
            <w:r>
              <w:t xml:space="preserve"> Pt. 2</w:t>
            </w:r>
            <w:r>
              <w:rPr>
                <w:vertAlign w:val="superscript"/>
              </w:rPr>
              <w:t> 7</w:t>
            </w:r>
          </w:p>
        </w:tc>
        <w:tc>
          <w:tcPr>
            <w:tcW w:w="1135"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trPr>
          <w:cantSplit/>
        </w:trPr>
        <w:tc>
          <w:tcPr>
            <w:tcW w:w="2268" w:type="dxa"/>
          </w:tcPr>
          <w:p>
            <w:pPr>
              <w:pStyle w:val="nTable"/>
              <w:spacing w:after="40"/>
              <w:ind w:right="113"/>
              <w:rPr>
                <w:i/>
              </w:rPr>
            </w:pPr>
            <w:r>
              <w:rPr>
                <w:i/>
              </w:rPr>
              <w:t>Real Estate and Business Agents Amendment Act 1998</w:t>
            </w:r>
          </w:p>
        </w:tc>
        <w:tc>
          <w:tcPr>
            <w:tcW w:w="1135" w:type="dxa"/>
          </w:tcPr>
          <w:p>
            <w:pPr>
              <w:pStyle w:val="nTable"/>
              <w:spacing w:after="40"/>
            </w:pPr>
            <w:r>
              <w:t>34 of 1998</w:t>
            </w:r>
          </w:p>
        </w:tc>
        <w:tc>
          <w:tcPr>
            <w:tcW w:w="1135" w:type="dxa"/>
          </w:tcPr>
          <w:p>
            <w:pPr>
              <w:pStyle w:val="nTable"/>
              <w:spacing w:after="40"/>
            </w:pPr>
            <w:r>
              <w:t>6 Jul 1998</w:t>
            </w:r>
          </w:p>
        </w:tc>
        <w:tc>
          <w:tcPr>
            <w:tcW w:w="2551" w:type="dxa"/>
          </w:tcPr>
          <w:p>
            <w:pPr>
              <w:pStyle w:val="nTable"/>
              <w:spacing w:after="40"/>
            </w:pPr>
            <w:r>
              <w:t>s. 1 and 2: 6 Jul 1998;</w:t>
            </w:r>
            <w:r>
              <w:br/>
              <w:t xml:space="preserve">Act other than s. 1 and 2: 1 Nov 1998 (see s. 2 and </w:t>
            </w:r>
            <w:r>
              <w:rPr>
                <w:i/>
              </w:rPr>
              <w:t>Gazette</w:t>
            </w:r>
            <w:r>
              <w:t xml:space="preserve"> 16 Oct 1998 p. 5729)</w:t>
            </w:r>
          </w:p>
        </w:tc>
      </w:tr>
      <w:tr>
        <w:trPr>
          <w:cantSplit/>
        </w:trPr>
        <w:tc>
          <w:tcPr>
            <w:tcW w:w="2268" w:type="dxa"/>
          </w:tcPr>
          <w:p>
            <w:pPr>
              <w:pStyle w:val="nTable"/>
              <w:spacing w:after="40"/>
              <w:ind w:right="113"/>
            </w:pPr>
            <w:r>
              <w:rPr>
                <w:i/>
              </w:rPr>
              <w:t>Acts Amendment and Repeal (Financial Sector Reform) Act 1999</w:t>
            </w:r>
            <w:r>
              <w:t xml:space="preserve"> s. 99</w:t>
            </w:r>
          </w:p>
        </w:tc>
        <w:tc>
          <w:tcPr>
            <w:tcW w:w="1135"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ind w:right="113"/>
            </w:pPr>
            <w:r>
              <w:rPr>
                <w:i/>
              </w:rPr>
              <w:t>Real Estate Legislation (Fidelity Guarantee Funds) Amendment Act 2000</w:t>
            </w:r>
            <w:r>
              <w:t xml:space="preserve"> Pt. 2</w:t>
            </w:r>
            <w:r>
              <w:rPr>
                <w:vertAlign w:val="superscript"/>
              </w:rPr>
              <w:t> 8</w:t>
            </w:r>
          </w:p>
        </w:tc>
        <w:tc>
          <w:tcPr>
            <w:tcW w:w="1135" w:type="dxa"/>
          </w:tcPr>
          <w:p>
            <w:pPr>
              <w:pStyle w:val="nTable"/>
              <w:spacing w:after="40"/>
            </w:pPr>
            <w:r>
              <w:t>3 of 2000</w:t>
            </w:r>
          </w:p>
        </w:tc>
        <w:tc>
          <w:tcPr>
            <w:tcW w:w="1135" w:type="dxa"/>
          </w:tcPr>
          <w:p>
            <w:pPr>
              <w:pStyle w:val="nTable"/>
              <w:spacing w:after="40"/>
            </w:pPr>
            <w:r>
              <w:t>12 Apr 2000</w:t>
            </w:r>
          </w:p>
        </w:tc>
        <w:tc>
          <w:tcPr>
            <w:tcW w:w="2551" w:type="dxa"/>
          </w:tcPr>
          <w:p>
            <w:pPr>
              <w:pStyle w:val="nTable"/>
              <w:spacing w:after="40"/>
            </w:pPr>
            <w:r>
              <w:t>12 Apr 2000 (see s. 2)</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trPr>
          <w:cantSplit/>
        </w:trPr>
        <w:tc>
          <w:tcPr>
            <w:tcW w:w="2268" w:type="dxa"/>
          </w:tcPr>
          <w:p>
            <w:pPr>
              <w:pStyle w:val="nTable"/>
              <w:spacing w:after="40"/>
              <w:ind w:right="113"/>
              <w:rPr>
                <w:i/>
              </w:rPr>
            </w:pPr>
            <w:r>
              <w:rPr>
                <w:i/>
              </w:rPr>
              <w:t>Corporations (Consequential Amendments) Act 2001</w:t>
            </w:r>
            <w:r>
              <w:t xml:space="preserve"> s. 220 and 222</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 xml:space="preserve">Building Societies Amendment Act 2001 </w:t>
            </w:r>
            <w:r>
              <w:t>s. 50 and 51</w:t>
            </w:r>
          </w:p>
        </w:tc>
        <w:tc>
          <w:tcPr>
            <w:tcW w:w="1135" w:type="dxa"/>
          </w:tcPr>
          <w:p>
            <w:pPr>
              <w:pStyle w:val="nTable"/>
              <w:spacing w:after="40"/>
            </w:pPr>
            <w:r>
              <w:t>12 of 2001</w:t>
            </w:r>
          </w:p>
        </w:tc>
        <w:tc>
          <w:tcPr>
            <w:tcW w:w="1135" w:type="dxa"/>
          </w:tcPr>
          <w:p>
            <w:pPr>
              <w:pStyle w:val="nTable"/>
              <w:spacing w:after="40"/>
            </w:pPr>
            <w:r>
              <w:t>13 Jul 2001</w:t>
            </w:r>
          </w:p>
        </w:tc>
        <w:tc>
          <w:tcPr>
            <w:tcW w:w="2551" w:type="dxa"/>
          </w:tcPr>
          <w:p>
            <w:pPr>
              <w:pStyle w:val="nTable"/>
              <w:spacing w:after="40"/>
            </w:pPr>
            <w:r>
              <w:t>13 Jul 2001 (see s. 2)</w:t>
            </w:r>
          </w:p>
        </w:tc>
      </w:tr>
      <w:tr>
        <w:trPr>
          <w:cantSplit/>
        </w:trPr>
        <w:tc>
          <w:tcPr>
            <w:tcW w:w="2268" w:type="dxa"/>
          </w:tcPr>
          <w:p>
            <w:pPr>
              <w:pStyle w:val="nTable"/>
              <w:spacing w:after="40"/>
              <w:ind w:right="170"/>
              <w:rPr>
                <w:i/>
              </w:rPr>
            </w:pPr>
            <w:r>
              <w:rPr>
                <w:i/>
              </w:rPr>
              <w:t xml:space="preserve">Corporations (Consequential Amendments) Act (No. 3) 2003 </w:t>
            </w:r>
            <w:r>
              <w:t>Pt. 12 </w:t>
            </w:r>
            <w:r>
              <w:rPr>
                <w:vertAlign w:val="superscript"/>
              </w:rPr>
              <w:t>9</w:t>
            </w:r>
          </w:p>
        </w:tc>
        <w:tc>
          <w:tcPr>
            <w:tcW w:w="1135" w:type="dxa"/>
          </w:tcPr>
          <w:p>
            <w:pPr>
              <w:pStyle w:val="nTable"/>
              <w:spacing w:after="40"/>
            </w:pPr>
            <w:r>
              <w:t>21 of 2003</w:t>
            </w:r>
          </w:p>
        </w:tc>
        <w:tc>
          <w:tcPr>
            <w:tcW w:w="1135" w:type="dxa"/>
          </w:tcPr>
          <w:p>
            <w:pPr>
              <w:pStyle w:val="nTable"/>
              <w:spacing w:after="40"/>
            </w:pPr>
            <w:r>
              <w:t>23 Apr 2003</w:t>
            </w:r>
          </w:p>
        </w:tc>
        <w:tc>
          <w:tcPr>
            <w:tcW w:w="2551"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ind w:right="170"/>
            </w:pPr>
            <w:r>
              <w:rPr>
                <w:i/>
              </w:rPr>
              <w:t>Acts Amendment (Equality of Status) Act 2003</w:t>
            </w:r>
            <w:r>
              <w:t xml:space="preserve"> Pt. 51</w:t>
            </w:r>
          </w:p>
        </w:tc>
        <w:tc>
          <w:tcPr>
            <w:tcW w:w="1135"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70"/>
              <w:rPr>
                <w:i/>
              </w:rPr>
            </w:pPr>
            <w:r>
              <w:rPr>
                <w:i/>
              </w:rPr>
              <w:t xml:space="preserve">Sentencing Legislation Amendment and Repeal Act 2003 </w:t>
            </w:r>
            <w:r>
              <w:t>s. 88</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Acts Amendment and Repeal (Courts and Legal Practice) Act 2003</w:t>
            </w:r>
            <w:r>
              <w:t xml:space="preserve"> s. 59</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101</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5"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10</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8" w:type="dxa"/>
          </w:tcPr>
          <w:p>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trPr>
          <w:cantSplit/>
        </w:trPr>
        <w:tc>
          <w:tcPr>
            <w:tcW w:w="2268" w:type="dxa"/>
          </w:tcPr>
          <w:p>
            <w:pPr>
              <w:pStyle w:val="nTable"/>
              <w:spacing w:after="40"/>
              <w:ind w:right="113"/>
              <w:rPr>
                <w:i/>
              </w:rPr>
            </w:pPr>
            <w:r>
              <w:rPr>
                <w:i/>
              </w:rPr>
              <w:t>Housing Societies Repeal Act 2005</w:t>
            </w:r>
            <w:r>
              <w:t xml:space="preserve"> s. 29</w:t>
            </w:r>
          </w:p>
        </w:tc>
        <w:tc>
          <w:tcPr>
            <w:tcW w:w="1135" w:type="dxa"/>
          </w:tcPr>
          <w:p>
            <w:pPr>
              <w:pStyle w:val="nTable"/>
              <w:spacing w:after="40"/>
            </w:pPr>
            <w:r>
              <w:t>17 of 2005</w:t>
            </w:r>
          </w:p>
        </w:tc>
        <w:tc>
          <w:tcPr>
            <w:tcW w:w="1135" w:type="dxa"/>
          </w:tcPr>
          <w:p>
            <w:pPr>
              <w:pStyle w:val="nTable"/>
              <w:spacing w:after="40"/>
            </w:pPr>
            <w:r>
              <w:t>5 Oct 2005</w:t>
            </w:r>
          </w:p>
        </w:tc>
        <w:tc>
          <w:tcPr>
            <w:tcW w:w="2551" w:type="dxa"/>
          </w:tcPr>
          <w:p>
            <w:pPr>
              <w:pStyle w:val="nTable"/>
              <w:spacing w:after="40"/>
            </w:pPr>
            <w:r>
              <w:t xml:space="preserve">10 Jul 2010 (see s. 2(3) and </w:t>
            </w:r>
            <w:r>
              <w:rPr>
                <w:i/>
                <w:iCs/>
              </w:rPr>
              <w:t>Gazette</w:t>
            </w:r>
            <w:r>
              <w:t xml:space="preserve"> 9 Jul 2010 p. 3239)</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s. 63</w:t>
            </w:r>
          </w:p>
        </w:tc>
        <w:tc>
          <w:tcPr>
            <w:tcW w:w="1135" w:type="dxa"/>
          </w:tcPr>
          <w:p>
            <w:pPr>
              <w:pStyle w:val="nTable"/>
              <w:spacing w:after="40"/>
            </w:pPr>
            <w:r>
              <w:t>24 of 2005</w:t>
            </w:r>
          </w:p>
        </w:tc>
        <w:tc>
          <w:tcPr>
            <w:tcW w:w="1135"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 xml:space="preserve">Machinery of Government (Miscellaneous Amendments) Act 2006 </w:t>
            </w:r>
            <w:r>
              <w:t>Pt. 4 Div. 19</w:t>
            </w:r>
          </w:p>
        </w:tc>
        <w:tc>
          <w:tcPr>
            <w:tcW w:w="1135" w:type="dxa"/>
          </w:tcPr>
          <w:p>
            <w:pPr>
              <w:pStyle w:val="nTable"/>
              <w:spacing w:after="40"/>
            </w:pPr>
            <w: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pPr>
              <w:pStyle w:val="nTable"/>
              <w:spacing w:after="40"/>
            </w:pPr>
            <w:r>
              <w:t>69 of 2006</w:t>
            </w:r>
          </w:p>
        </w:tc>
        <w:tc>
          <w:tcPr>
            <w:tcW w:w="1135" w:type="dxa"/>
          </w:tcPr>
          <w:p>
            <w:pPr>
              <w:pStyle w:val="nTable"/>
              <w:spacing w:after="40"/>
            </w:pPr>
            <w:r>
              <w:rPr>
                <w:snapToGrid w:val="0"/>
              </w:rPr>
              <w:t>13 Dec 2006</w:t>
            </w:r>
          </w:p>
        </w:tc>
        <w:tc>
          <w:tcPr>
            <w:tcW w:w="2551" w:type="dxa"/>
          </w:tcPr>
          <w:p>
            <w:pPr>
              <w:pStyle w:val="nTable"/>
              <w:spacing w:after="40"/>
            </w:pPr>
            <w:r>
              <w:rPr>
                <w:snapToGrid w:val="0"/>
              </w:rPr>
              <w:t xml:space="preserve">25 Jul 2007 (see s. 2 and </w:t>
            </w:r>
            <w:r>
              <w:rPr>
                <w:i/>
                <w:iCs/>
                <w:snapToGrid w:val="0"/>
              </w:rPr>
              <w:t>Gazette</w:t>
            </w:r>
            <w:r>
              <w:rPr>
                <w:snapToGrid w:val="0"/>
              </w:rPr>
              <w:t xml:space="preserve"> 24 Jul 2007 p. 3657)</w:t>
            </w:r>
          </w:p>
        </w:tc>
      </w:tr>
      <w:tr>
        <w:trPr>
          <w:cantSplit/>
        </w:trPr>
        <w:tc>
          <w:tcPr>
            <w:tcW w:w="2268" w:type="dxa"/>
          </w:tcPr>
          <w:p>
            <w:pPr>
              <w:pStyle w:val="nTable"/>
              <w:spacing w:after="40"/>
              <w:ind w:right="113"/>
              <w:rPr>
                <w:i/>
              </w:rPr>
            </w:pPr>
            <w:r>
              <w:rPr>
                <w:i/>
                <w:snapToGrid w:val="0"/>
              </w:rPr>
              <w:t>Financial Legislation Amendment and Repeal Act 2006</w:t>
            </w:r>
            <w:r>
              <w:rPr>
                <w:snapToGrid w:val="0"/>
              </w:rPr>
              <w:t xml:space="preserve"> Sch. 1 cl. 147</w:t>
            </w:r>
          </w:p>
        </w:tc>
        <w:tc>
          <w:tcPr>
            <w:tcW w:w="1135" w:type="dxa"/>
          </w:tcPr>
          <w:p>
            <w:pPr>
              <w:pStyle w:val="nTable"/>
              <w:spacing w:after="40"/>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32</w:t>
            </w:r>
          </w:p>
        </w:tc>
        <w:tc>
          <w:tcPr>
            <w:tcW w:w="1135" w:type="dxa"/>
          </w:tcPr>
          <w:p>
            <w:pPr>
              <w:pStyle w:val="nTable"/>
              <w:spacing w:after="40"/>
            </w:pPr>
            <w:r>
              <w:t>12 of 2008</w:t>
            </w:r>
          </w:p>
        </w:tc>
        <w:tc>
          <w:tcPr>
            <w:tcW w:w="1135"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696</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74</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pPr>
              <w:pStyle w:val="nTable"/>
              <w:spacing w:after="40"/>
              <w:rPr>
                <w:snapToGrid w:val="0"/>
              </w:rPr>
            </w:pPr>
            <w:r>
              <w:rPr>
                <w:snapToGrid w:val="0"/>
              </w:rPr>
              <w:t>58 of 2010</w:t>
            </w:r>
          </w:p>
        </w:tc>
        <w:tc>
          <w:tcPr>
            <w:tcW w:w="1135"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trPr>
          <w:cantSplit/>
        </w:trPr>
        <w:tc>
          <w:tcPr>
            <w:tcW w:w="2268" w:type="dxa"/>
            <w:shd w:val="clear" w:color="auto" w:fill="auto"/>
          </w:tcPr>
          <w:p>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pPr>
              <w:pStyle w:val="nTable"/>
              <w:spacing w:after="40"/>
              <w:rPr>
                <w:snapToGrid w:val="0"/>
              </w:rPr>
            </w:pPr>
            <w:r>
              <w:rPr>
                <w:snapToGrid w:val="0"/>
              </w:rPr>
              <w:t>47 of 2011</w:t>
            </w:r>
          </w:p>
        </w:tc>
        <w:tc>
          <w:tcPr>
            <w:tcW w:w="1135"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7089" w:type="dxa"/>
            <w:gridSpan w:val="4"/>
            <w:shd w:val="clear" w:color="auto" w:fill="auto"/>
          </w:tcPr>
          <w:p>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r>
        <w:trPr>
          <w:cantSplit/>
        </w:trPr>
        <w:tc>
          <w:tcPr>
            <w:tcW w:w="2268" w:type="dxa"/>
            <w:shd w:val="clear" w:color="auto" w:fill="auto"/>
          </w:tcPr>
          <w:p>
            <w:pPr>
              <w:pStyle w:val="nTable"/>
              <w:spacing w:after="40"/>
              <w:ind w:right="113"/>
              <w:rPr>
                <w:i/>
                <w:iCs/>
                <w:snapToGrid w:val="0"/>
              </w:rPr>
            </w:pPr>
            <w:r>
              <w:rPr>
                <w:i/>
                <w:iCs/>
                <w:snapToGrid w:val="0"/>
              </w:rPr>
              <w:t>Consumer Protection Legislation Amendment Act 2014</w:t>
            </w:r>
            <w:r>
              <w:rPr>
                <w:iCs/>
                <w:snapToGrid w:val="0"/>
              </w:rPr>
              <w:t xml:space="preserve"> Pt. 10</w:t>
            </w:r>
          </w:p>
        </w:tc>
        <w:tc>
          <w:tcPr>
            <w:tcW w:w="1135" w:type="dxa"/>
            <w:shd w:val="clear" w:color="auto" w:fill="auto"/>
          </w:tcPr>
          <w:p>
            <w:pPr>
              <w:pStyle w:val="nTable"/>
              <w:spacing w:after="40"/>
              <w:rPr>
                <w:snapToGrid w:val="0"/>
              </w:rPr>
            </w:pPr>
            <w:r>
              <w:rPr>
                <w:snapToGrid w:val="0"/>
              </w:rPr>
              <w:t>23 of 2014</w:t>
            </w:r>
          </w:p>
        </w:tc>
        <w:tc>
          <w:tcPr>
            <w:tcW w:w="1135" w:type="dxa"/>
            <w:shd w:val="clear" w:color="auto" w:fill="auto"/>
          </w:tcPr>
          <w:p>
            <w:pPr>
              <w:pStyle w:val="nTable"/>
              <w:spacing w:after="40"/>
              <w:rPr>
                <w:snapToGrid w:val="0"/>
              </w:rPr>
            </w:pPr>
            <w:r>
              <w:rPr>
                <w:snapToGrid w:val="0"/>
              </w:rPr>
              <w:t>9 Oct 2014</w:t>
            </w:r>
          </w:p>
        </w:tc>
        <w:tc>
          <w:tcPr>
            <w:tcW w:w="2551"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2268" w:type="dxa"/>
            <w:shd w:val="clear" w:color="auto" w:fill="auto"/>
          </w:tcPr>
          <w:p>
            <w:pPr>
              <w:pStyle w:val="nTable"/>
              <w:spacing w:after="40"/>
              <w:ind w:right="113"/>
              <w:rPr>
                <w:i/>
                <w:iCs/>
                <w:snapToGrid w:val="0"/>
              </w:rPr>
            </w:pPr>
            <w:r>
              <w:rPr>
                <w:i/>
              </w:rPr>
              <w:t>Licensing Provisions Amendment Act 2016</w:t>
            </w:r>
            <w:r>
              <w:t xml:space="preserve"> Pt. 7</w:t>
            </w:r>
            <w:r>
              <w:rPr>
                <w:vertAlign w:val="superscript"/>
              </w:rPr>
              <w:t> </w:t>
            </w:r>
          </w:p>
        </w:tc>
        <w:tc>
          <w:tcPr>
            <w:tcW w:w="1135" w:type="dxa"/>
            <w:shd w:val="clear" w:color="auto" w:fill="auto"/>
          </w:tcPr>
          <w:p>
            <w:pPr>
              <w:pStyle w:val="nTable"/>
              <w:spacing w:after="40"/>
              <w:rPr>
                <w:snapToGrid w:val="0"/>
              </w:rPr>
            </w:pPr>
            <w:r>
              <w:t>44 of 2016</w:t>
            </w:r>
          </w:p>
        </w:tc>
        <w:tc>
          <w:tcPr>
            <w:tcW w:w="1135" w:type="dxa"/>
            <w:shd w:val="clear" w:color="auto" w:fill="auto"/>
          </w:tcPr>
          <w:p>
            <w:pPr>
              <w:pStyle w:val="nTable"/>
              <w:spacing w:after="40"/>
              <w:rPr>
                <w:snapToGrid w:val="0"/>
              </w:rPr>
            </w:pPr>
            <w:r>
              <w:t>1 Dec 2016</w:t>
            </w:r>
          </w:p>
        </w:tc>
        <w:tc>
          <w:tcPr>
            <w:tcW w:w="2551"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30 Jun 2017 p. 3551)</w:t>
            </w:r>
          </w:p>
        </w:tc>
      </w:tr>
      <w:tr>
        <w:trPr>
          <w:cantSplit/>
        </w:trPr>
        <w:tc>
          <w:tcPr>
            <w:tcW w:w="2268" w:type="dxa"/>
            <w:tcBorders>
              <w:bottom w:val="single" w:sz="4" w:space="0" w:color="auto"/>
            </w:tcBorders>
            <w:shd w:val="clear" w:color="auto" w:fill="auto"/>
          </w:tcPr>
          <w:p>
            <w:pPr>
              <w:pStyle w:val="nTable"/>
              <w:spacing w:after="40"/>
              <w:ind w:right="113"/>
              <w:rPr>
                <w:i/>
              </w:rPr>
            </w:pPr>
            <w:r>
              <w:rPr>
                <w:i/>
              </w:rPr>
              <w:t xml:space="preserve">Consumer Protection Legislation Amendment Act 2019 </w:t>
            </w:r>
            <w:r>
              <w:t>Pt. 8</w:t>
            </w:r>
          </w:p>
        </w:tc>
        <w:tc>
          <w:tcPr>
            <w:tcW w:w="1135" w:type="dxa"/>
            <w:tcBorders>
              <w:bottom w:val="single" w:sz="4" w:space="0" w:color="auto"/>
            </w:tcBorders>
            <w:shd w:val="clear" w:color="auto" w:fill="auto"/>
          </w:tcPr>
          <w:p>
            <w:pPr>
              <w:pStyle w:val="nTable"/>
              <w:spacing w:after="40"/>
            </w:pPr>
            <w:r>
              <w:t>25 of 2019</w:t>
            </w:r>
          </w:p>
        </w:tc>
        <w:tc>
          <w:tcPr>
            <w:tcW w:w="1135" w:type="dxa"/>
            <w:tcBorders>
              <w:bottom w:val="single" w:sz="4" w:space="0" w:color="auto"/>
            </w:tcBorders>
            <w:shd w:val="clear" w:color="auto" w:fill="auto"/>
          </w:tcPr>
          <w:p>
            <w:pPr>
              <w:pStyle w:val="nTable"/>
              <w:spacing w:after="40"/>
            </w:pPr>
            <w:r>
              <w:t>24 Oct 2019</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bl>
    <w:p>
      <w:pPr>
        <w:pStyle w:val="nHeading3"/>
      </w:pPr>
      <w:bookmarkStart w:id="215" w:name="_Toc38006816"/>
      <w:r>
        <w:t>Uncommenced provisions table</w:t>
      </w:r>
      <w:bookmarkEnd w:id="21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5"/>
        <w:gridCol w:w="23"/>
        <w:gridCol w:w="1116"/>
        <w:gridCol w:w="18"/>
        <w:gridCol w:w="1120"/>
        <w:gridCol w:w="14"/>
        <w:gridCol w:w="2552"/>
      </w:tblGrid>
      <w:tr>
        <w:trPr>
          <w:cantSplit/>
          <w:tblHeader/>
        </w:trPr>
        <w:tc>
          <w:tcPr>
            <w:tcW w:w="2245" w:type="dxa"/>
          </w:tcPr>
          <w:p>
            <w:pPr>
              <w:pStyle w:val="nTable"/>
              <w:spacing w:after="40"/>
              <w:rPr>
                <w:b/>
              </w:rPr>
            </w:pPr>
            <w:r>
              <w:rPr>
                <w:b/>
              </w:rPr>
              <w:t>Short title</w:t>
            </w:r>
          </w:p>
        </w:tc>
        <w:tc>
          <w:tcPr>
            <w:tcW w:w="1139"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66" w:type="dxa"/>
            <w:gridSpan w:val="2"/>
          </w:tcPr>
          <w:p>
            <w:pPr>
              <w:pStyle w:val="nTable"/>
              <w:spacing w:after="40"/>
              <w:rPr>
                <w:b/>
              </w:rPr>
            </w:pPr>
            <w:r>
              <w:rPr>
                <w:b/>
              </w:rPr>
              <w:t>Commencement</w:t>
            </w:r>
          </w:p>
        </w:tc>
      </w:tr>
      <w:tr>
        <w:trPr>
          <w:cantSplit/>
        </w:trPr>
        <w:tc>
          <w:tcPr>
            <w:tcW w:w="2245" w:type="dxa"/>
            <w:tcBorders>
              <w:top w:val="nil"/>
              <w:bottom w:val="nil"/>
            </w:tcBorders>
          </w:tcPr>
          <w:p>
            <w:pPr>
              <w:pStyle w:val="nTable"/>
              <w:spacing w:after="40"/>
            </w:pPr>
            <w:r>
              <w:rPr>
                <w:i/>
              </w:rPr>
              <w:t>Strata Titles Amendment Act 2018</w:t>
            </w:r>
            <w:r>
              <w:t xml:space="preserve"> Pt. 3 Div. 17</w:t>
            </w:r>
          </w:p>
        </w:tc>
        <w:tc>
          <w:tcPr>
            <w:tcW w:w="1139" w:type="dxa"/>
            <w:gridSpan w:val="2"/>
            <w:tcBorders>
              <w:top w:val="nil"/>
              <w:bottom w:val="nil"/>
            </w:tcBorders>
          </w:tcPr>
          <w:p>
            <w:pPr>
              <w:pStyle w:val="nTable"/>
              <w:spacing w:after="40"/>
            </w:pPr>
            <w:r>
              <w:t>30 of 2018</w:t>
            </w:r>
          </w:p>
        </w:tc>
        <w:tc>
          <w:tcPr>
            <w:tcW w:w="1138" w:type="dxa"/>
            <w:gridSpan w:val="2"/>
            <w:tcBorders>
              <w:top w:val="nil"/>
              <w:bottom w:val="nil"/>
            </w:tcBorders>
          </w:tcPr>
          <w:p>
            <w:pPr>
              <w:pStyle w:val="nTable"/>
              <w:spacing w:after="40"/>
            </w:pPr>
            <w:r>
              <w:t>19 Nov 2018</w:t>
            </w:r>
          </w:p>
        </w:tc>
        <w:tc>
          <w:tcPr>
            <w:tcW w:w="2566" w:type="dxa"/>
            <w:gridSpan w:val="2"/>
            <w:tcBorders>
              <w:top w:val="nil"/>
              <w:bottom w:val="nil"/>
            </w:tcBorders>
          </w:tcPr>
          <w:p>
            <w:pPr>
              <w:pStyle w:val="nTable"/>
              <w:spacing w:after="40"/>
            </w:pPr>
            <w:r>
              <w:t>1 May 2020 (see s. 2(b) and SL 2020/39 cl. 2)</w:t>
            </w:r>
          </w:p>
        </w:tc>
      </w:tr>
      <w:tr>
        <w:tblPrEx>
          <w:tblCellMar>
            <w:left w:w="57" w:type="dxa"/>
            <w:right w:w="57" w:type="dxa"/>
          </w:tblCellMar>
        </w:tblPrEx>
        <w:trPr>
          <w:cantSplit/>
        </w:trPr>
        <w:tc>
          <w:tcPr>
            <w:tcW w:w="2268" w:type="dxa"/>
            <w:gridSpan w:val="2"/>
            <w:tcBorders>
              <w:top w:val="nil"/>
              <w:bottom w:val="single" w:sz="4" w:space="0" w:color="auto"/>
            </w:tcBorders>
          </w:tcPr>
          <w:p>
            <w:pPr>
              <w:pStyle w:val="nTable"/>
              <w:keepLines/>
              <w:spacing w:after="40"/>
            </w:pPr>
            <w:r>
              <w:rPr>
                <w:i/>
              </w:rPr>
              <w:t>Community Titles Act 2018</w:t>
            </w:r>
            <w:r>
              <w:t xml:space="preserve"> Pt. 14 Div. 17</w:t>
            </w:r>
          </w:p>
        </w:tc>
        <w:tc>
          <w:tcPr>
            <w:tcW w:w="1134" w:type="dxa"/>
            <w:gridSpan w:val="2"/>
            <w:tcBorders>
              <w:top w:val="nil"/>
              <w:bottom w:val="single" w:sz="4" w:space="0" w:color="auto"/>
            </w:tcBorders>
          </w:tcPr>
          <w:p>
            <w:pPr>
              <w:pStyle w:val="nTable"/>
              <w:spacing w:after="40"/>
            </w:pPr>
            <w:r>
              <w:t>32 of 2018</w:t>
            </w:r>
          </w:p>
        </w:tc>
        <w:tc>
          <w:tcPr>
            <w:tcW w:w="1134" w:type="dxa"/>
            <w:gridSpan w:val="2"/>
            <w:tcBorders>
              <w:top w:val="nil"/>
              <w:bottom w:val="single" w:sz="4" w:space="0" w:color="auto"/>
            </w:tcBorders>
          </w:tcPr>
          <w:p>
            <w:pPr>
              <w:pStyle w:val="nTable"/>
              <w:spacing w:after="40"/>
            </w:pPr>
            <w:r>
              <w:t>19 Nov 2018</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216" w:name="_Toc38006817"/>
      <w:r>
        <w:t>Other notes</w:t>
      </w:r>
      <w:bookmarkEnd w:id="216"/>
    </w:p>
    <w:p>
      <w:pPr>
        <w:pStyle w:val="nNote"/>
        <w:rPr>
          <w:snapToGrid w:val="0"/>
        </w:rPr>
      </w:pPr>
      <w:r>
        <w:rPr>
          <w:snapToGrid w:val="0"/>
          <w:vertAlign w:val="superscript"/>
        </w:rPr>
        <w:t>1</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“appointed day” was 1 December 1979. See </w:t>
      </w:r>
      <w:r>
        <w:rPr>
          <w:i/>
          <w:snapToGrid w:val="0"/>
        </w:rPr>
        <w:t>Gazette</w:t>
      </w:r>
      <w:r>
        <w:rPr>
          <w:snapToGrid w:val="0"/>
        </w:rPr>
        <w:t xml:space="preserve"> 31 August 1979 p. 2615.</w:t>
      </w:r>
    </w:p>
    <w:p>
      <w:pPr>
        <w:pStyle w:val="nNote"/>
        <w:rPr>
          <w:snapToGrid w:val="0"/>
        </w:rPr>
      </w:pPr>
      <w:r>
        <w:rPr>
          <w:snapToGrid w:val="0"/>
          <w:vertAlign w:val="superscript"/>
        </w:rPr>
        <w:t>3</w:t>
      </w:r>
      <w:r>
        <w:rPr>
          <w:snapToGrid w:val="0"/>
        </w:rPr>
        <w:tab/>
        <w:t xml:space="preserve">The </w:t>
      </w:r>
      <w:r>
        <w:rPr>
          <w:i/>
          <w:snapToGrid w:val="0"/>
        </w:rPr>
        <w:t>Land Agents Act 1921</w:t>
      </w:r>
      <w:r>
        <w:rPr>
          <w:snapToGrid w:val="0"/>
        </w:rPr>
        <w:t>.</w:t>
      </w:r>
    </w:p>
    <w:p>
      <w:pPr>
        <w:pStyle w:val="nNote"/>
        <w:rPr>
          <w:snapToGrid w:val="0"/>
        </w:rPr>
      </w:pPr>
      <w:r>
        <w:rPr>
          <w:snapToGrid w:val="0"/>
          <w:vertAlign w:val="superscript"/>
        </w:rPr>
        <w:t>4</w:t>
      </w:r>
      <w:r>
        <w:rPr>
          <w:snapToGrid w:val="0"/>
        </w:rPr>
        <w:tab/>
        <w:t xml:space="preserve">Repealed by the </w:t>
      </w:r>
      <w:r>
        <w:rPr>
          <w:i/>
          <w:snapToGrid w:val="0"/>
        </w:rPr>
        <w:t>Interpretation Act 1984</w:t>
      </w:r>
      <w:r>
        <w:rPr>
          <w:snapToGrid w:val="0"/>
        </w:rPr>
        <w:t>.</w:t>
      </w:r>
    </w:p>
    <w:p>
      <w:pPr>
        <w:pStyle w:val="nNote"/>
        <w:spacing w:before="120"/>
        <w:rPr>
          <w:rFonts w:ascii="Arial" w:hAnsi="Arial"/>
        </w:rPr>
      </w:pPr>
      <w:r>
        <w:rPr>
          <w:snapToGrid w:val="0"/>
          <w:vertAlign w:val="superscript"/>
        </w:rPr>
        <w:t>5</w:t>
      </w:r>
      <w:r>
        <w:rPr>
          <w:snapToGrid w:val="0"/>
        </w:rPr>
        <w:tab/>
        <w:t xml:space="preserve">Repealed by the </w:t>
      </w:r>
      <w:r>
        <w:rPr>
          <w:i/>
          <w:snapToGrid w:val="0"/>
        </w:rPr>
        <w:t>Planning and Development (Consequential and Transitional Provisions) Act 2005</w:t>
      </w:r>
      <w:r>
        <w:rPr>
          <w:rFonts w:ascii="Arial" w:hAnsi="Arial"/>
        </w:rPr>
        <w:t>.</w:t>
      </w:r>
    </w:p>
    <w:p>
      <w:pPr>
        <w:pStyle w:val="nNote"/>
        <w:rPr>
          <w:snapToGrid w:val="0"/>
        </w:rPr>
      </w:pPr>
      <w:r>
        <w:rPr>
          <w:snapToGrid w:val="0"/>
          <w:vertAlign w:val="superscript"/>
        </w:rPr>
        <w:t>6</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Note"/>
        <w:keepNext/>
        <w:rPr>
          <w:snapToGrid w:val="0"/>
        </w:rPr>
      </w:pPr>
      <w:r>
        <w:rPr>
          <w:snapToGrid w:val="0"/>
          <w:vertAlign w:val="superscript"/>
        </w:rPr>
        <w:t>7</w:t>
      </w:r>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Note"/>
      </w:pPr>
      <w:r>
        <w:rPr>
          <w:vertAlign w:val="superscript"/>
        </w:rPr>
        <w:t>9</w:t>
      </w:r>
      <w:r>
        <w:tab/>
        <w:t xml:space="preserve">The </w:t>
      </w:r>
      <w:r>
        <w:rPr>
          <w:i/>
        </w:rPr>
        <w:t>Corporations (Consequential Amendments) Act (No. 3) 2003</w:t>
      </w:r>
      <w:r>
        <w:t xml:space="preserve"> s. 2</w:t>
      </w:r>
      <w:r>
        <w:noBreakHyphen/>
        <w:t>4 contain validation provisions which may be relevant to this Act.</w:t>
      </w:r>
    </w:p>
    <w:p>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18" w:name="_Toc38006621"/>
      <w:bookmarkStart w:id="219" w:name="_Toc38006818"/>
      <w:r>
        <w:rPr>
          <w:sz w:val="28"/>
        </w:rPr>
        <w:t>Defined terms</w:t>
      </w:r>
      <w:bookmarkEnd w:id="218"/>
      <w:bookmarkEnd w:id="2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4(1), 92(5)</w:t>
      </w:r>
    </w:p>
    <w:p>
      <w:pPr>
        <w:pStyle w:val="DefinedTerms"/>
      </w:pPr>
      <w:r>
        <w:t>applicant</w:t>
      </w:r>
      <w:r>
        <w:tab/>
        <w:t>131A</w:t>
      </w:r>
    </w:p>
    <w:p>
      <w:pPr>
        <w:pStyle w:val="DefinedTerms"/>
      </w:pPr>
      <w:r>
        <w:t>appointed day</w:t>
      </w:r>
      <w:r>
        <w:tab/>
        <w:t>4(1)</w:t>
      </w:r>
    </w:p>
    <w:p>
      <w:pPr>
        <w:pStyle w:val="DefinedTerms"/>
      </w:pPr>
      <w:r>
        <w:t>approved</w:t>
      </w:r>
      <w:r>
        <w:tab/>
        <w:t>4(1)</w:t>
      </w:r>
    </w:p>
    <w:p>
      <w:pPr>
        <w:pStyle w:val="DefinedTerms"/>
      </w:pPr>
      <w:r>
        <w:t>Assistance Account</w:t>
      </w:r>
      <w:r>
        <w:tab/>
        <w:t>4(1)</w:t>
      </w:r>
    </w:p>
    <w:p>
      <w:pPr>
        <w:pStyle w:val="DefinedTerms"/>
      </w:pPr>
      <w:r>
        <w:t>assisted person</w:t>
      </w:r>
      <w:r>
        <w:tab/>
        <w:t>131A</w:t>
      </w:r>
    </w:p>
    <w:p>
      <w:pPr>
        <w:pStyle w:val="DefinedTerms"/>
      </w:pPr>
      <w:r>
        <w:t>auditor</w:t>
      </w:r>
      <w:r>
        <w:tab/>
        <w:t>4(1)</w:t>
      </w:r>
    </w:p>
    <w:p>
      <w:pPr>
        <w:pStyle w:val="DefinedTerms"/>
      </w:pPr>
      <w:r>
        <w:t>authorised financial institution</w:t>
      </w:r>
      <w:r>
        <w:tab/>
        <w:t>67</w:t>
      </w:r>
    </w:p>
    <w:p>
      <w:pPr>
        <w:pStyle w:val="DefinedTerms"/>
      </w:pPr>
      <w:r>
        <w:t>bank</w:t>
      </w:r>
      <w:r>
        <w:tab/>
        <w:t>4(1)</w:t>
      </w:r>
    </w:p>
    <w:p>
      <w:pPr>
        <w:pStyle w:val="DefinedTerms"/>
      </w:pPr>
      <w:r>
        <w:t>bank account</w:t>
      </w:r>
      <w:r>
        <w:tab/>
        <w:t>67</w:t>
      </w:r>
    </w:p>
    <w:p>
      <w:pPr>
        <w:pStyle w:val="DefinedTerms"/>
      </w:pPr>
      <w:r>
        <w:t>banker</w:t>
      </w:r>
      <w:r>
        <w:tab/>
        <w:t>67</w:t>
      </w:r>
    </w:p>
    <w:p>
      <w:pPr>
        <w:pStyle w:val="DefinedTerms"/>
      </w:pPr>
      <w:r>
        <w:t>business</w:t>
      </w:r>
      <w:r>
        <w:tab/>
        <w:t>4(1)</w:t>
      </w:r>
    </w:p>
    <w:p>
      <w:pPr>
        <w:pStyle w:val="DefinedTerms"/>
      </w:pPr>
      <w:r>
        <w:t>business agent</w:t>
      </w:r>
      <w:r>
        <w:tab/>
        <w:t>4(1)</w:t>
      </w:r>
    </w:p>
    <w:p>
      <w:pPr>
        <w:pStyle w:val="DefinedTerms"/>
      </w:pPr>
      <w:r>
        <w:t>business day</w:t>
      </w:r>
      <w:r>
        <w:tab/>
        <w:t>67</w:t>
      </w:r>
    </w:p>
    <w:p>
      <w:pPr>
        <w:pStyle w:val="DefinedTerms"/>
      </w:pPr>
      <w:r>
        <w:t>business sales representative</w:t>
      </w:r>
      <w:r>
        <w:tab/>
        <w:t>4(1)</w:t>
      </w:r>
    </w:p>
    <w:p>
      <w:pPr>
        <w:pStyle w:val="DefinedTerms"/>
      </w:pPr>
      <w:r>
        <w:t>business transaction</w:t>
      </w:r>
      <w:r>
        <w:tab/>
        <w:t>4(1)</w:t>
      </w:r>
    </w:p>
    <w:p>
      <w:pPr>
        <w:pStyle w:val="DefinedTerms"/>
      </w:pPr>
      <w:r>
        <w:t>certificate of registration</w:t>
      </w:r>
      <w:r>
        <w:tab/>
        <w:t>4(1)</w:t>
      </w:r>
    </w:p>
    <w:p>
      <w:pPr>
        <w:pStyle w:val="DefinedTerms"/>
      </w:pPr>
      <w:r>
        <w:t>code of conduct for agents</w:t>
      </w:r>
      <w:r>
        <w:tab/>
        <w:t>4(1)</w:t>
      </w:r>
    </w:p>
    <w:p>
      <w:pPr>
        <w:pStyle w:val="DefinedTerms"/>
      </w:pPr>
      <w:r>
        <w:t>code of conduct for sales representatives</w:t>
      </w:r>
      <w:r>
        <w:tab/>
        <w:t>4(1)</w:t>
      </w:r>
    </w:p>
    <w:p>
      <w:pPr>
        <w:pStyle w:val="DefinedTerms"/>
      </w:pPr>
      <w:r>
        <w:t>commencement day</w:t>
      </w:r>
      <w:r>
        <w:tab/>
        <w:t>148</w:t>
      </w:r>
    </w:p>
    <w:p>
      <w:pPr>
        <w:pStyle w:val="DefinedTerms"/>
      </w:pPr>
      <w:r>
        <w:t>Commissioner</w:t>
      </w:r>
      <w:r>
        <w:tab/>
        <w:t>4(1)</w:t>
      </w:r>
    </w:p>
    <w:p>
      <w:pPr>
        <w:pStyle w:val="DefinedTerms"/>
      </w:pPr>
      <w:r>
        <w:t>committee</w:t>
      </w:r>
      <w:r>
        <w:tab/>
        <w:t>23A(1)</w:t>
      </w:r>
    </w:p>
    <w:p>
      <w:pPr>
        <w:pStyle w:val="DefinedTerms"/>
      </w:pPr>
      <w:r>
        <w:t>defalcation by a licensee</w:t>
      </w:r>
      <w:r>
        <w:tab/>
        <w:t>4(1)</w:t>
      </w:r>
    </w:p>
    <w:p>
      <w:pPr>
        <w:pStyle w:val="DefinedTerms"/>
      </w:pPr>
      <w:r>
        <w:t>department</w:t>
      </w:r>
      <w:r>
        <w:tab/>
        <w:t>4(1)</w:t>
      </w:r>
    </w:p>
    <w:p>
      <w:pPr>
        <w:pStyle w:val="DefinedTerms"/>
      </w:pPr>
      <w:r>
        <w:t>developer</w:t>
      </w:r>
      <w:r>
        <w:tab/>
        <w:t>4(1)</w:t>
      </w:r>
    </w:p>
    <w:p>
      <w:pPr>
        <w:pStyle w:val="DefinedTerms"/>
      </w:pPr>
      <w:r>
        <w:t>dwelling</w:t>
      </w:r>
      <w:r>
        <w:tab/>
        <w:t>131A</w:t>
      </w:r>
    </w:p>
    <w:p>
      <w:pPr>
        <w:pStyle w:val="DefinedTerms"/>
      </w:pPr>
      <w:r>
        <w:t>Fidelity Account</w:t>
      </w:r>
      <w:r>
        <w:tab/>
        <w:t>4(1)</w:t>
      </w:r>
    </w:p>
    <w:p>
      <w:pPr>
        <w:pStyle w:val="DefinedTerms"/>
      </w:pPr>
      <w:r>
        <w:t>fit and proper</w:t>
      </w:r>
      <w:r>
        <w:tab/>
        <w:t>27(2), 47(2)</w:t>
      </w:r>
    </w:p>
    <w:p>
      <w:pPr>
        <w:pStyle w:val="DefinedTerms"/>
      </w:pPr>
      <w:r>
        <w:t>former Board</w:t>
      </w:r>
      <w:r>
        <w:tab/>
        <w:t>148</w:t>
      </w:r>
    </w:p>
    <w:p>
      <w:pPr>
        <w:pStyle w:val="DefinedTerms"/>
      </w:pPr>
      <w:r>
        <w:t>former Registrar</w:t>
      </w:r>
      <w:r>
        <w:tab/>
        <w:t>148</w:t>
      </w:r>
    </w:p>
    <w:p>
      <w:pPr>
        <w:pStyle w:val="DefinedTerms"/>
      </w:pPr>
      <w:r>
        <w:t>franchising agreement</w:t>
      </w:r>
      <w:r>
        <w:tab/>
        <w:t>4(1)</w:t>
      </w:r>
    </w:p>
    <w:p>
      <w:pPr>
        <w:pStyle w:val="DefinedTerms"/>
      </w:pPr>
      <w:r>
        <w:t>General Purpose Account</w:t>
      </w:r>
      <w:r>
        <w:tab/>
        <w:t>4(1)</w:t>
      </w:r>
    </w:p>
    <w:p>
      <w:pPr>
        <w:pStyle w:val="DefinedTerms"/>
      </w:pPr>
      <w:r>
        <w:t>incidental expenses</w:t>
      </w:r>
      <w:r>
        <w:tab/>
        <w:t>131A</w:t>
      </w:r>
    </w:p>
    <w:p>
      <w:pPr>
        <w:pStyle w:val="DefinedTerms"/>
      </w:pPr>
      <w:r>
        <w:t>Interest Account</w:t>
      </w:r>
      <w:r>
        <w:tab/>
        <w:t>4(1)</w:t>
      </w:r>
    </w:p>
    <w:p>
      <w:pPr>
        <w:pStyle w:val="DefinedTerms"/>
      </w:pPr>
      <w:r>
        <w:t>legal practitioner</w:t>
      </w:r>
      <w:r>
        <w:tab/>
        <w:t>4(1)</w:t>
      </w:r>
    </w:p>
    <w:p>
      <w:pPr>
        <w:pStyle w:val="DefinedTerms"/>
      </w:pPr>
      <w:r>
        <w:t>lending institution</w:t>
      </w:r>
      <w:r>
        <w:tab/>
        <w:t>131A</w:t>
      </w:r>
    </w:p>
    <w:p>
      <w:pPr>
        <w:pStyle w:val="DefinedTerms"/>
      </w:pPr>
      <w:r>
        <w:t>liability</w:t>
      </w:r>
      <w:r>
        <w:tab/>
        <w:t>148</w:t>
      </w:r>
    </w:p>
    <w:p>
      <w:pPr>
        <w:pStyle w:val="DefinedTerms"/>
      </w:pPr>
      <w:r>
        <w:t>licence</w:t>
      </w:r>
      <w:r>
        <w:tab/>
        <w:t>4(1)</w:t>
      </w:r>
    </w:p>
    <w:p>
      <w:pPr>
        <w:pStyle w:val="DefinedTerms"/>
      </w:pPr>
      <w:r>
        <w:t>licensed</w:t>
      </w:r>
      <w:r>
        <w:tab/>
        <w:t>4(1)</w:t>
      </w:r>
    </w:p>
    <w:p>
      <w:pPr>
        <w:pStyle w:val="DefinedTerms"/>
      </w:pPr>
      <w:r>
        <w:t>licensee</w:t>
      </w:r>
      <w:r>
        <w:tab/>
        <w:t>4(1), 34AA(1)</w:t>
      </w:r>
    </w:p>
    <w:p>
      <w:pPr>
        <w:pStyle w:val="DefinedTerms"/>
      </w:pPr>
      <w:r>
        <w:t>member</w:t>
      </w:r>
      <w:r>
        <w:tab/>
        <w:t>4(1)</w:t>
      </w:r>
    </w:p>
    <w:p>
      <w:pPr>
        <w:pStyle w:val="DefinedTerms"/>
      </w:pPr>
      <w:r>
        <w:t>party</w:t>
      </w:r>
      <w:r>
        <w:tab/>
        <w:t>23C(7)</w:t>
      </w:r>
    </w:p>
    <w:p>
      <w:pPr>
        <w:pStyle w:val="DefinedTerms"/>
      </w:pPr>
      <w:r>
        <w:t>person aggrieved</w:t>
      </w:r>
      <w:r>
        <w:tab/>
        <w:t>23(2)</w:t>
      </w:r>
    </w:p>
    <w:p>
      <w:pPr>
        <w:pStyle w:val="DefinedTerms"/>
      </w:pPr>
      <w:r>
        <w:t>prescribed transaction</w:t>
      </w:r>
      <w:r>
        <w:tab/>
        <w:t>61(4a)</w:t>
      </w:r>
    </w:p>
    <w:p>
      <w:pPr>
        <w:pStyle w:val="DefinedTerms"/>
      </w:pPr>
      <w:r>
        <w:t>real estate</w:t>
      </w:r>
      <w:r>
        <w:tab/>
        <w:t>4(1)</w:t>
      </w:r>
    </w:p>
    <w:p>
      <w:pPr>
        <w:pStyle w:val="DefinedTerms"/>
      </w:pPr>
      <w:r>
        <w:t>real estate agent</w:t>
      </w:r>
      <w:r>
        <w:tab/>
        <w:t>4(1)</w:t>
      </w:r>
    </w:p>
    <w:p>
      <w:pPr>
        <w:pStyle w:val="DefinedTerms"/>
      </w:pPr>
      <w:r>
        <w:t>real estate sales representative</w:t>
      </w:r>
      <w:r>
        <w:tab/>
        <w:t>4(1)</w:t>
      </w:r>
    </w:p>
    <w:p>
      <w:pPr>
        <w:pStyle w:val="DefinedTerms"/>
      </w:pPr>
      <w:r>
        <w:t>real estate transaction</w:t>
      </w:r>
      <w:r>
        <w:tab/>
        <w:t>4(1)</w:t>
      </w:r>
    </w:p>
    <w:p>
      <w:pPr>
        <w:pStyle w:val="DefinedTerms"/>
      </w:pPr>
      <w:r>
        <w:t>registered</w:t>
      </w:r>
      <w:r>
        <w:tab/>
        <w:t>4(1)</w:t>
      </w:r>
    </w:p>
    <w:p>
      <w:pPr>
        <w:pStyle w:val="DefinedTerms"/>
      </w:pPr>
      <w:r>
        <w:t>registered sales representative</w:t>
      </w:r>
      <w:r>
        <w:tab/>
        <w:t>4(1), 50AA(1)</w:t>
      </w:r>
    </w:p>
    <w:p>
      <w:pPr>
        <w:pStyle w:val="DefinedTerms"/>
      </w:pPr>
      <w:r>
        <w:t>registration</w:t>
      </w:r>
      <w:r>
        <w:tab/>
        <w:t>4(1)</w:t>
      </w:r>
    </w:p>
    <w:p>
      <w:pPr>
        <w:pStyle w:val="DefinedTerms"/>
      </w:pPr>
      <w:r>
        <w:t>renewal</w:t>
      </w:r>
      <w:r>
        <w:tab/>
        <w:t>4(1)</w:t>
      </w:r>
    </w:p>
    <w:p>
      <w:pPr>
        <w:pStyle w:val="DefinedTerms"/>
      </w:pPr>
      <w:r>
        <w:t>repealed Act</w:t>
      </w:r>
      <w:r>
        <w:tab/>
        <w:t>4(1)</w:t>
      </w:r>
    </w:p>
    <w:p>
      <w:pPr>
        <w:pStyle w:val="DefinedTerms"/>
      </w:pPr>
      <w:r>
        <w:t>request</w:t>
      </w:r>
      <w:r>
        <w:tab/>
        <w:t>68A(7)</w:t>
      </w:r>
    </w:p>
    <w:p>
      <w:pPr>
        <w:pStyle w:val="DefinedTerms"/>
      </w:pPr>
      <w:r>
        <w:t>residential premises</w:t>
      </w:r>
      <w:r>
        <w:tab/>
        <w:t>61A(3)</w:t>
      </w:r>
    </w:p>
    <w:p>
      <w:pPr>
        <w:pStyle w:val="DefinedTerms"/>
      </w:pPr>
      <w:r>
        <w:t>reviewable decision</w:t>
      </w:r>
      <w:r>
        <w:tab/>
        <w:t>23(2)</w:t>
      </w:r>
    </w:p>
    <w:p>
      <w:pPr>
        <w:pStyle w:val="DefinedTerms"/>
      </w:pPr>
      <w:r>
        <w:t>right</w:t>
      </w:r>
      <w:r>
        <w:tab/>
        <w:t>148</w:t>
      </w:r>
    </w:p>
    <w:p>
      <w:pPr>
        <w:pStyle w:val="DefinedTerms"/>
      </w:pPr>
      <w:r>
        <w:t>sales representative</w:t>
      </w:r>
      <w:r>
        <w:tab/>
        <w:t>4(1)</w:t>
      </w:r>
    </w:p>
    <w:p>
      <w:pPr>
        <w:pStyle w:val="DefinedTerms"/>
      </w:pPr>
      <w:r>
        <w:t>separate account</w:t>
      </w:r>
      <w:r>
        <w:tab/>
        <w:t>67</w:t>
      </w:r>
    </w:p>
    <w:p>
      <w:pPr>
        <w:pStyle w:val="DefinedTerms"/>
      </w:pPr>
      <w:r>
        <w:t>settlement</w:t>
      </w:r>
      <w:r>
        <w:tab/>
        <w:t>61(4a), 131L(1AA)</w:t>
      </w:r>
    </w:p>
    <w:p>
      <w:pPr>
        <w:pStyle w:val="DefinedTerms"/>
      </w:pPr>
      <w:r>
        <w:t>specified</w:t>
      </w:r>
      <w:r>
        <w:tab/>
        <w:t>159(6)</w:t>
      </w:r>
    </w:p>
    <w:p>
      <w:pPr>
        <w:pStyle w:val="DefinedTerms"/>
      </w:pPr>
      <w:r>
        <w:t>strata company</w:t>
      </w:r>
      <w:r>
        <w:tab/>
        <w:t>4(1)</w:t>
      </w:r>
    </w:p>
    <w:p>
      <w:pPr>
        <w:pStyle w:val="DefinedTerms"/>
      </w:pPr>
      <w:r>
        <w:t>subsection</w:t>
      </w:r>
      <w:r>
        <w:tab/>
        <w:t>103(1)</w:t>
      </w:r>
    </w:p>
    <w:p>
      <w:pPr>
        <w:pStyle w:val="DefinedTerms"/>
      </w:pPr>
      <w:r>
        <w:t>supervisor</w:t>
      </w:r>
      <w:r>
        <w:tab/>
        <w:t>4(1)</w:t>
      </w:r>
    </w:p>
    <w:p>
      <w:pPr>
        <w:pStyle w:val="DefinedTerms"/>
      </w:pPr>
      <w:r>
        <w:t>tenancy</w:t>
      </w:r>
      <w:r>
        <w:tab/>
        <w:t>61A(3)</w:t>
      </w:r>
    </w:p>
    <w:p>
      <w:pPr>
        <w:pStyle w:val="DefinedTerms"/>
      </w:pPr>
      <w:r>
        <w:t>tenant</w:t>
      </w:r>
      <w:r>
        <w:tab/>
        <w:t>61A(3)</w:t>
      </w:r>
    </w:p>
    <w:p>
      <w:pPr>
        <w:pStyle w:val="DefinedTerms"/>
      </w:pPr>
      <w:r>
        <w:t>transaction</w:t>
      </w:r>
      <w:r>
        <w:tab/>
        <w:t>4(1), 61(4a)</w:t>
      </w:r>
    </w:p>
    <w:p>
      <w:pPr>
        <w:pStyle w:val="DefinedTerms"/>
      </w:pPr>
      <w:r>
        <w:t>transitional matter</w:t>
      </w:r>
      <w:r>
        <w:tab/>
        <w:t>159(2)</w:t>
      </w:r>
    </w:p>
    <w:p>
      <w:pPr>
        <w:pStyle w:val="DefinedTerms"/>
      </w:pPr>
      <w:r>
        <w:t>Treasurer</w:t>
      </w:r>
      <w:r>
        <w:tab/>
        <w:t>4(1)</w:t>
      </w:r>
    </w:p>
    <w:p>
      <w:pPr>
        <w:pStyle w:val="DefinedTerms"/>
      </w:pPr>
      <w:r>
        <w:t>Treasury</w:t>
      </w:r>
      <w:r>
        <w:tab/>
        <w:t>4(1)</w:t>
      </w:r>
    </w:p>
    <w:p>
      <w:pPr>
        <w:pStyle w:val="DefinedTerms"/>
      </w:pPr>
      <w:r>
        <w:t>triennial certificate</w:t>
      </w:r>
      <w:r>
        <w:tab/>
        <w:t>4(1)</w:t>
      </w:r>
    </w:p>
    <w:p>
      <w:pPr>
        <w:pStyle w:val="DefinedTerms"/>
      </w:pPr>
      <w:r>
        <w:t>trust account</w:t>
      </w:r>
      <w:r>
        <w:tab/>
        <w:t>92(5)</w:t>
      </w:r>
    </w:p>
    <w:p>
      <w:pPr>
        <w:pStyle w:val="DefinedTerms"/>
      </w:pPr>
      <w:r>
        <w:t>trust accounts</w:t>
      </w:r>
      <w:r>
        <w:tab/>
        <w:t>67</w:t>
      </w:r>
    </w:p>
    <w:p>
      <w:pPr>
        <w:pStyle w:val="DefinedTerms"/>
      </w:pPr>
      <w:r>
        <w:t>year</w:t>
      </w:r>
      <w:r>
        <w:tab/>
        <w:t>67</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1" w:name="Schedule"/>
    <w:bookmarkEnd w:id="2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7" w:name="Compilation"/>
    <w:bookmarkEnd w:id="2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0" w:name="DefinedTerms"/>
    <w:bookmarkEnd w:id="22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1" w:name="Coversheet"/>
    <w:bookmarkEnd w:id="2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85438"/>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 w:name="WAFER_20181121101132" w:val="RemoveTocBookmarks,RemoveUnusedBookmarks,RemoveLanguageTags,UsedStyles,ResetPageSize"/>
    <w:docVar w:name="WAFER_20181121101132_GUID" w:val="78665724-923b-47f6-89c2-c17da2943936"/>
    <w:docVar w:name="WAFER_20191219142157" w:val="RemoveTocBookmarks,RemoveUnusedBookmarks,RemoveLanguageTags,ResetPageSize,RunningHeaders,UpdateStyles,UsedStyles"/>
    <w:docVar w:name="WAFER_20191219142157_GUID" w:val="2d4dd49b-4d96-4846-b69a-b701ea42ab0e"/>
    <w:docVar w:name="WAFER_202002101611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120_GUID" w:val="4a0ffcd4-4ba6-4ba9-921f-449d6d78dd27"/>
    <w:docVar w:name="WAFER_20200417085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438_GUID" w:val="fc5cd16f-d810-42ae-b7ae-cd2fb71474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147</Pages>
  <Words>37628</Words>
  <Characters>177983</Characters>
  <Application>Microsoft Office Word</Application>
  <DocSecurity>0</DocSecurity>
  <Lines>4683</Lines>
  <Paragraphs>2395</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213216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1978 - 07-h0-03</dc:title>
  <dc:subject/>
  <dc:creator/>
  <cp:keywords/>
  <dc:description/>
  <cp:lastModifiedBy>svcMRProcess</cp:lastModifiedBy>
  <cp:revision>4</cp:revision>
  <cp:lastPrinted>2017-06-30T03:32:00Z</cp:lastPrinted>
  <dcterms:created xsi:type="dcterms:W3CDTF">2020-04-17T09:45:00Z</dcterms:created>
  <dcterms:modified xsi:type="dcterms:W3CDTF">2020-04-17T09:45:00Z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DocumentType">
    <vt:lpwstr>Act</vt:lpwstr>
  </property>
  <property fmtid="{D5CDD505-2E9C-101B-9397-08002B2CF9AE}" pid="4" name="OwlsUID">
    <vt:i4>672</vt:i4>
  </property>
  <property fmtid="{D5CDD505-2E9C-101B-9397-08002B2CF9AE}" pid="5" name="ReprintNo">
    <vt:lpwstr>7</vt:lpwstr>
  </property>
  <property fmtid="{D5CDD505-2E9C-101B-9397-08002B2CF9AE}" pid="6" name="ReprintedAsAt">
    <vt:filetime>2011-11-17T16:00:00Z</vt:filetime>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07-h0-03</vt:lpwstr>
  </property>
</Properties>
</file>