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_Toc32308560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_Toc32308561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_Toc32308562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_Toc32308563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_Toc32308564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_Toc32308565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for licensees who are individuals (Act s. 40B)</w:t>
      </w:r>
      <w:r>
        <w:tab/>
      </w:r>
      <w:r>
        <w:fldChar w:fldCharType="begin"/>
      </w:r>
      <w:r>
        <w:instrText xml:space="preserve"> PAGEREF _Toc32308566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for sales representatives (Act s. 50C)</w:t>
      </w:r>
      <w:r>
        <w:tab/>
      </w:r>
      <w:r>
        <w:fldChar w:fldCharType="begin"/>
      </w:r>
      <w:r>
        <w:instrText xml:space="preserve"> PAGEREF _Toc32308567 \h </w:instrText>
      </w:r>
      <w:r>
        <w:fldChar w:fldCharType="separate"/>
      </w:r>
      <w:r>
        <w:t>6</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_Toc32308568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_Toc32308569 \h </w:instrText>
      </w:r>
      <w:r>
        <w:fldChar w:fldCharType="separate"/>
      </w:r>
      <w:r>
        <w:t>7</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_Toc32308570 \h </w:instrText>
      </w:r>
      <w:r>
        <w:fldChar w:fldCharType="separate"/>
      </w:r>
      <w:r>
        <w:t>8</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_Toc32308571 \h </w:instrText>
      </w:r>
      <w:r>
        <w:fldChar w:fldCharType="separate"/>
      </w:r>
      <w:r>
        <w:t>10</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_Toc32308572 \h </w:instrText>
      </w:r>
      <w:r>
        <w:fldChar w:fldCharType="separate"/>
      </w:r>
      <w:r>
        <w:t>10</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_Toc32308573 \h </w:instrText>
      </w:r>
      <w:r>
        <w:fldChar w:fldCharType="separate"/>
      </w:r>
      <w:r>
        <w:t>12</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_Toc32308574 \h </w:instrText>
      </w:r>
      <w:r>
        <w:fldChar w:fldCharType="separate"/>
      </w:r>
      <w:r>
        <w:t>12</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_Toc32308575 \h </w:instrText>
      </w:r>
      <w:r>
        <w:fldChar w:fldCharType="separate"/>
      </w:r>
      <w:r>
        <w:t>12</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_Toc32308576 \h </w:instrText>
      </w:r>
      <w:r>
        <w:fldChar w:fldCharType="separate"/>
      </w:r>
      <w:r>
        <w:t>13</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_Toc32308577 \h </w:instrText>
      </w:r>
      <w:r>
        <w:fldChar w:fldCharType="separate"/>
      </w:r>
      <w:r>
        <w:t>14</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_Toc32308578 \h </w:instrText>
      </w:r>
      <w:r>
        <w:fldChar w:fldCharType="separate"/>
      </w:r>
      <w:r>
        <w:t>14</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_Toc32308579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_Toc32308580 \h </w:instrText>
      </w:r>
      <w:r>
        <w:fldChar w:fldCharType="separate"/>
      </w:r>
      <w:r>
        <w:t>15</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_Toc32308581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_Toc32308582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_Toc32308583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_Toc32308584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_Toc32308585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_Toc32308586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_Toc32308587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_Toc32308588 \h </w:instrText>
      </w:r>
      <w:r>
        <w:fldChar w:fldCharType="separate"/>
      </w:r>
      <w:r>
        <w:t>20</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_Toc32308589 \h </w:instrText>
      </w:r>
      <w:r>
        <w:fldChar w:fldCharType="separate"/>
      </w:r>
      <w:r>
        <w:t>20</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_Toc32308590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_Toc32308596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_Toc32308597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32308560"/>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32308561"/>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 24 Dec 2019 p. 4417-18.]</w:t>
      </w:r>
    </w:p>
    <w:p>
      <w:pPr>
        <w:pStyle w:val="Ednotesection"/>
      </w:pPr>
      <w:r>
        <w:t>[</w:t>
      </w:r>
      <w:r>
        <w:rPr>
          <w:b/>
        </w:rPr>
        <w:t>3.</w:t>
      </w:r>
      <w:r>
        <w:tab/>
        <w:t>Deleted: Gazette 30 Jun 2011 p. 2669.]</w:t>
      </w:r>
    </w:p>
    <w:p>
      <w:pPr>
        <w:pStyle w:val="Heading5"/>
      </w:pPr>
      <w:bookmarkStart w:id="5" w:name="_Toc32308562"/>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32308563"/>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32308564"/>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8" w:name="_Toc32308565"/>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9" w:name="_Toc32308566"/>
      <w:r>
        <w:rPr>
          <w:rStyle w:val="CharSectno"/>
        </w:rPr>
        <w:t>4AB</w:t>
      </w:r>
      <w:r>
        <w:t>.</w:t>
      </w:r>
      <w:r>
        <w:tab/>
        <w:t>Prescribed educational requirement for licensees who are individuals (Act s. 40B)</w:t>
      </w:r>
      <w:bookmarkEnd w:id="9"/>
    </w:p>
    <w:p>
      <w:pPr>
        <w:pStyle w:val="Subsection"/>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10" w:name="_Toc32308567"/>
      <w:r>
        <w:rPr>
          <w:rStyle w:val="CharSectno"/>
        </w:rPr>
        <w:t>4AC</w:t>
      </w:r>
      <w:r>
        <w:t>.</w:t>
      </w:r>
      <w:r>
        <w:tab/>
        <w:t>Prescribed educational requirement for sales representatives (Act s. 50C)</w:t>
      </w:r>
      <w:bookmarkEnd w:id="10"/>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11" w:name="_Toc32308568"/>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32308569"/>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3" w:name="_Toc32308570"/>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4" w:name="_Toc32308571"/>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15" w:name="_Toc32308572"/>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32308573"/>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32308574"/>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32308575"/>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32308576"/>
      <w:r>
        <w:rPr>
          <w:rStyle w:val="CharSectno"/>
        </w:rPr>
        <w:t>6E</w:t>
      </w:r>
      <w:r>
        <w:t>.</w:t>
      </w:r>
      <w:r>
        <w:tab/>
        <w:t>Separate trust accounts, requests for, requirements prescribed (Act s. 68A(4))</w:t>
      </w:r>
      <w:bookmarkEnd w:id="1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32308577"/>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32308578"/>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32308579"/>
      <w:r>
        <w:rPr>
          <w:rStyle w:val="CharSectno"/>
        </w:rPr>
        <w:t>6H</w:t>
      </w:r>
      <w:r>
        <w:rPr>
          <w:snapToGrid w:val="0"/>
        </w:rPr>
        <w:t>.</w:t>
      </w:r>
      <w:r>
        <w:rPr>
          <w:snapToGrid w:val="0"/>
        </w:rPr>
        <w:tab/>
        <w:t>Record keeping requirements</w:t>
      </w:r>
      <w:bookmarkEnd w:id="22"/>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32308580"/>
      <w:r>
        <w:rPr>
          <w:rStyle w:val="CharSectno"/>
        </w:rPr>
        <w:t>7</w:t>
      </w:r>
      <w:r>
        <w:rPr>
          <w:snapToGrid w:val="0"/>
        </w:rPr>
        <w:t>.</w:t>
      </w:r>
      <w:r>
        <w:rPr>
          <w:snapToGrid w:val="0"/>
        </w:rPr>
        <w:tab/>
        <w:t>Registers (Act s. 133(2))</w:t>
      </w:r>
      <w:bookmarkEnd w:id="23"/>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32308581"/>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32308582"/>
      <w:r>
        <w:rPr>
          <w:rStyle w:val="CharSectno"/>
        </w:rPr>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32308583"/>
      <w:r>
        <w:rPr>
          <w:rStyle w:val="CharSectno"/>
        </w:rPr>
        <w:t>8</w:t>
      </w:r>
      <w:r>
        <w:rPr>
          <w:snapToGrid w:val="0"/>
        </w:rPr>
        <w:t>.</w:t>
      </w:r>
      <w:r>
        <w:rPr>
          <w:snapToGrid w:val="0"/>
        </w:rPr>
        <w:tab/>
        <w:t>Changes in particulars, licensees to notify Commissioner of</w:t>
      </w:r>
      <w:bookmarkEnd w:id="26"/>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27" w:name="_Toc32308584"/>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32308585"/>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29" w:name="_Toc3230858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32308587"/>
      <w:r>
        <w:rPr>
          <w:rStyle w:val="CharSectno"/>
        </w:rPr>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32308588"/>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32308589"/>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32308590"/>
      <w:r>
        <w:rPr>
          <w:rStyle w:val="CharSectno"/>
        </w:rPr>
        <w:t>15</w:t>
      </w:r>
      <w:r>
        <w:t>.</w:t>
      </w:r>
      <w:r>
        <w:tab/>
        <w:t>Forms (Sch. 2)</w:t>
      </w:r>
      <w:bookmarkEnd w:id="33"/>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4" w:name="_Toc32308591"/>
      <w:r>
        <w:rPr>
          <w:rStyle w:val="CharSchNo"/>
        </w:rPr>
        <w:t>Schedule 1</w:t>
      </w:r>
      <w:r>
        <w:t> — </w:t>
      </w:r>
      <w:r>
        <w:rPr>
          <w:rStyle w:val="CharSchText"/>
        </w:rPr>
        <w:t>Fees</w:t>
      </w:r>
      <w:bookmarkEnd w:id="34"/>
    </w:p>
    <w:p>
      <w:pPr>
        <w:pStyle w:val="yShoulderClause"/>
      </w:pPr>
      <w:r>
        <w:t>[r. 4 and 4A]</w:t>
      </w:r>
    </w:p>
    <w:p>
      <w:pPr>
        <w:pStyle w:val="Footnoteheading"/>
      </w:pPr>
      <w:r>
        <w:tab/>
        <w:t>[Heading inserted: Gazette 18 Jun 2019 p. 2110.]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yTableNAm"/>
              <w:rPr>
                <w:b/>
              </w:rPr>
            </w:pPr>
            <w:r>
              <w:rPr>
                <w:b/>
              </w:rPr>
              <w:t>Item</w:t>
            </w:r>
          </w:p>
        </w:tc>
        <w:tc>
          <w:tcPr>
            <w:tcW w:w="5042" w:type="dxa"/>
          </w:tcPr>
          <w:p>
            <w:pPr>
              <w:pStyle w:val="yTableNAm"/>
              <w:rPr>
                <w:b/>
              </w:rPr>
            </w:pPr>
            <w:r>
              <w:rPr>
                <w:b/>
              </w:rPr>
              <w:t>Type of fee</w:t>
            </w:r>
          </w:p>
        </w:tc>
        <w:tc>
          <w:tcPr>
            <w:tcW w:w="1187" w:type="dxa"/>
          </w:tcPr>
          <w:p>
            <w:pPr>
              <w:pStyle w:val="yTableNAm"/>
              <w:jc w:val="center"/>
              <w:rPr>
                <w:b/>
              </w:rPr>
            </w:pPr>
            <w:r>
              <w:rPr>
                <w:b/>
              </w:rPr>
              <w:t>Fee</w:t>
            </w:r>
          </w:p>
        </w:tc>
      </w:tr>
      <w:tr>
        <w:tc>
          <w:tcPr>
            <w:tcW w:w="851" w:type="dxa"/>
          </w:tcPr>
          <w:p>
            <w:pPr>
              <w:pStyle w:val="yTableNAm"/>
              <w:rPr>
                <w:szCs w:val="22"/>
              </w:rPr>
            </w:pPr>
            <w:r>
              <w:rPr>
                <w:szCs w:val="22"/>
              </w:rPr>
              <w:t>1.</w:t>
            </w:r>
          </w:p>
        </w:tc>
        <w:tc>
          <w:tcPr>
            <w:tcW w:w="5042" w:type="dxa"/>
          </w:tcPr>
          <w:p>
            <w:pPr>
              <w:pStyle w:val="yTableNAm"/>
              <w:tabs>
                <w:tab w:val="right" w:leader="dot" w:pos="4536"/>
              </w:tabs>
              <w:rPr>
                <w:szCs w:val="22"/>
              </w:rPr>
            </w:pPr>
            <w:r>
              <w:rPr>
                <w:szCs w:val="22"/>
              </w:rPr>
              <w:t>Application for licence</w:t>
            </w:r>
          </w:p>
        </w:tc>
        <w:tc>
          <w:tcPr>
            <w:tcW w:w="1187" w:type="dxa"/>
            <w:vAlign w:val="bottom"/>
          </w:tcPr>
          <w:p>
            <w:pPr>
              <w:pStyle w:val="yTableNAm"/>
              <w:tabs>
                <w:tab w:val="left" w:pos="1103"/>
              </w:tabs>
              <w:jc w:val="right"/>
              <w:rPr>
                <w:szCs w:val="22"/>
              </w:rPr>
            </w:pPr>
            <w:r>
              <w:rPr>
                <w:szCs w:val="22"/>
              </w:rPr>
              <w:t>$81.00</w:t>
            </w:r>
          </w:p>
        </w:tc>
      </w:tr>
      <w:tr>
        <w:tc>
          <w:tcPr>
            <w:tcW w:w="851" w:type="dxa"/>
          </w:tcPr>
          <w:p>
            <w:pPr>
              <w:pStyle w:val="yTableNAm"/>
              <w:rPr>
                <w:szCs w:val="22"/>
              </w:rPr>
            </w:pPr>
            <w:r>
              <w:rPr>
                <w:szCs w:val="22"/>
              </w:rPr>
              <w:t>2.</w:t>
            </w:r>
          </w:p>
        </w:tc>
        <w:tc>
          <w:tcPr>
            <w:tcW w:w="5042" w:type="dxa"/>
          </w:tcPr>
          <w:p>
            <w:pPr>
              <w:pStyle w:val="yTableNAm"/>
              <w:tabs>
                <w:tab w:val="right" w:leader="dot" w:pos="4536"/>
              </w:tabs>
              <w:rPr>
                <w:szCs w:val="22"/>
              </w:rPr>
            </w:pPr>
            <w:r>
              <w:rPr>
                <w:szCs w:val="22"/>
              </w:rPr>
              <w:t>Grant of licence</w:t>
            </w:r>
          </w:p>
        </w:tc>
        <w:tc>
          <w:tcPr>
            <w:tcW w:w="1187" w:type="dxa"/>
            <w:vAlign w:val="bottom"/>
          </w:tcPr>
          <w:p>
            <w:pPr>
              <w:pStyle w:val="yTableNAm"/>
              <w:tabs>
                <w:tab w:val="left" w:pos="1103"/>
              </w:tabs>
              <w:jc w:val="right"/>
              <w:rPr>
                <w:szCs w:val="22"/>
              </w:rPr>
            </w:pPr>
            <w:r>
              <w:rPr>
                <w:szCs w:val="22"/>
              </w:rPr>
              <w:t>$860.00</w:t>
            </w:r>
          </w:p>
        </w:tc>
      </w:tr>
      <w:tr>
        <w:tc>
          <w:tcPr>
            <w:tcW w:w="851" w:type="dxa"/>
          </w:tcPr>
          <w:p>
            <w:pPr>
              <w:pStyle w:val="yTableNAm"/>
              <w:rPr>
                <w:szCs w:val="22"/>
              </w:rPr>
            </w:pPr>
            <w:r>
              <w:rPr>
                <w:szCs w:val="22"/>
              </w:rPr>
              <w:t>3.</w:t>
            </w:r>
          </w:p>
        </w:tc>
        <w:tc>
          <w:tcPr>
            <w:tcW w:w="5042" w:type="dxa"/>
          </w:tcPr>
          <w:p>
            <w:pPr>
              <w:pStyle w:val="yTableNAm"/>
              <w:tabs>
                <w:tab w:val="right" w:leader="dot" w:pos="4536"/>
              </w:tabs>
              <w:rPr>
                <w:szCs w:val="22"/>
              </w:rPr>
            </w:pPr>
            <w:r>
              <w:rPr>
                <w:szCs w:val="22"/>
              </w:rPr>
              <w:t>Grant of licence to firm</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4.</w:t>
            </w:r>
          </w:p>
        </w:tc>
        <w:tc>
          <w:tcPr>
            <w:tcW w:w="5042" w:type="dxa"/>
          </w:tcPr>
          <w:p>
            <w:pPr>
              <w:pStyle w:val="yTableNAm"/>
              <w:tabs>
                <w:tab w:val="right" w:leader="dot" w:pos="4536"/>
              </w:tabs>
              <w:rPr>
                <w:szCs w:val="22"/>
              </w:rPr>
            </w:pPr>
            <w:r>
              <w:rPr>
                <w:szCs w:val="22"/>
              </w:rPr>
              <w:t>Grant of licence to body corporate</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5.</w:t>
            </w:r>
          </w:p>
        </w:tc>
        <w:tc>
          <w:tcPr>
            <w:tcW w:w="5042" w:type="dxa"/>
          </w:tcPr>
          <w:p>
            <w:pPr>
              <w:pStyle w:val="yTableNAm"/>
              <w:tabs>
                <w:tab w:val="right" w:leader="dot" w:pos="4536"/>
              </w:tabs>
              <w:rPr>
                <w:szCs w:val="22"/>
              </w:rPr>
            </w:pPr>
            <w:r>
              <w:rPr>
                <w:szCs w:val="22"/>
              </w:rPr>
              <w:t>Renewal of triennial certificate</w:t>
            </w:r>
          </w:p>
        </w:tc>
        <w:tc>
          <w:tcPr>
            <w:tcW w:w="1187" w:type="dxa"/>
            <w:vAlign w:val="bottom"/>
          </w:tcPr>
          <w:p>
            <w:pPr>
              <w:pStyle w:val="yTableNAm"/>
              <w:tabs>
                <w:tab w:val="left" w:pos="1103"/>
              </w:tabs>
              <w:jc w:val="right"/>
              <w:rPr>
                <w:szCs w:val="22"/>
              </w:rPr>
            </w:pPr>
            <w:r>
              <w:rPr>
                <w:szCs w:val="22"/>
              </w:rPr>
              <w:t>$711.00</w:t>
            </w:r>
          </w:p>
        </w:tc>
      </w:tr>
      <w:tr>
        <w:tc>
          <w:tcPr>
            <w:tcW w:w="851" w:type="dxa"/>
          </w:tcPr>
          <w:p>
            <w:pPr>
              <w:pStyle w:val="yTableNAm"/>
              <w:rPr>
                <w:szCs w:val="22"/>
              </w:rPr>
            </w:pPr>
            <w:r>
              <w:rPr>
                <w:szCs w:val="22"/>
              </w:rPr>
              <w:t>6.</w:t>
            </w:r>
          </w:p>
        </w:tc>
        <w:tc>
          <w:tcPr>
            <w:tcW w:w="5042" w:type="dxa"/>
          </w:tcPr>
          <w:p>
            <w:pPr>
              <w:pStyle w:val="yTableNAm"/>
              <w:tabs>
                <w:tab w:val="right" w:leader="dot" w:pos="4536"/>
              </w:tabs>
              <w:rPr>
                <w:szCs w:val="22"/>
              </w:rPr>
            </w:pPr>
            <w:r>
              <w:rPr>
                <w:szCs w:val="22"/>
              </w:rPr>
              <w:t>Grant of certificate of registration</w:t>
            </w:r>
          </w:p>
        </w:tc>
        <w:tc>
          <w:tcPr>
            <w:tcW w:w="1187" w:type="dxa"/>
            <w:vAlign w:val="bottom"/>
          </w:tcPr>
          <w:p>
            <w:pPr>
              <w:pStyle w:val="yTableNAm"/>
              <w:tabs>
                <w:tab w:val="left" w:pos="1103"/>
              </w:tabs>
              <w:jc w:val="right"/>
              <w:rPr>
                <w:szCs w:val="22"/>
              </w:rPr>
            </w:pPr>
            <w:r>
              <w:rPr>
                <w:szCs w:val="22"/>
              </w:rPr>
              <w:t>$218.00</w:t>
            </w:r>
          </w:p>
        </w:tc>
      </w:tr>
      <w:tr>
        <w:tc>
          <w:tcPr>
            <w:tcW w:w="851" w:type="dxa"/>
          </w:tcPr>
          <w:p>
            <w:pPr>
              <w:pStyle w:val="yTableNAm"/>
              <w:rPr>
                <w:szCs w:val="22"/>
              </w:rPr>
            </w:pPr>
            <w:r>
              <w:rPr>
                <w:szCs w:val="22"/>
              </w:rPr>
              <w:t>7.</w:t>
            </w:r>
          </w:p>
        </w:tc>
        <w:tc>
          <w:tcPr>
            <w:tcW w:w="5042" w:type="dxa"/>
          </w:tcPr>
          <w:p>
            <w:pPr>
              <w:pStyle w:val="yTableNAm"/>
              <w:tabs>
                <w:tab w:val="right" w:leader="dot" w:pos="4536"/>
              </w:tabs>
              <w:rPr>
                <w:szCs w:val="22"/>
              </w:rPr>
            </w:pPr>
            <w:r>
              <w:rPr>
                <w:szCs w:val="22"/>
              </w:rPr>
              <w:t>Renewal of certificate of registration</w:t>
            </w:r>
          </w:p>
        </w:tc>
        <w:tc>
          <w:tcPr>
            <w:tcW w:w="1187" w:type="dxa"/>
            <w:vAlign w:val="bottom"/>
          </w:tcPr>
          <w:p>
            <w:pPr>
              <w:pStyle w:val="yTableNAm"/>
              <w:tabs>
                <w:tab w:val="left" w:pos="1103"/>
              </w:tabs>
              <w:jc w:val="right"/>
              <w:rPr>
                <w:szCs w:val="22"/>
              </w:rPr>
            </w:pPr>
            <w:r>
              <w:rPr>
                <w:szCs w:val="22"/>
              </w:rPr>
              <w:t>$180.00</w:t>
            </w:r>
          </w:p>
        </w:tc>
      </w:tr>
      <w:tr>
        <w:tc>
          <w:tcPr>
            <w:tcW w:w="851" w:type="dxa"/>
          </w:tcPr>
          <w:p>
            <w:pPr>
              <w:pStyle w:val="yTableNAm"/>
              <w:rPr>
                <w:szCs w:val="22"/>
              </w:rPr>
            </w:pPr>
            <w:r>
              <w:rPr>
                <w:szCs w:val="22"/>
              </w:rPr>
              <w:t>8.</w:t>
            </w:r>
          </w:p>
        </w:tc>
        <w:tc>
          <w:tcPr>
            <w:tcW w:w="5042" w:type="dxa"/>
          </w:tcPr>
          <w:p>
            <w:pPr>
              <w:pStyle w:val="yTableNAm"/>
              <w:tabs>
                <w:tab w:val="right" w:leader="dot" w:pos="4536"/>
              </w:tabs>
              <w:rPr>
                <w:szCs w:val="22"/>
              </w:rPr>
            </w:pPr>
            <w:r>
              <w:rPr>
                <w:szCs w:val="22"/>
              </w:rPr>
              <w:t>Inspection of a register</w:t>
            </w:r>
          </w:p>
        </w:tc>
        <w:tc>
          <w:tcPr>
            <w:tcW w:w="1187" w:type="dxa"/>
            <w:vAlign w:val="bottom"/>
          </w:tcPr>
          <w:p>
            <w:pPr>
              <w:pStyle w:val="yTableNAm"/>
              <w:tabs>
                <w:tab w:val="left" w:pos="1103"/>
              </w:tabs>
              <w:jc w:val="right"/>
              <w:rPr>
                <w:szCs w:val="22"/>
              </w:rPr>
            </w:pPr>
            <w:r>
              <w:rPr>
                <w:szCs w:val="22"/>
              </w:rPr>
              <w:t>$11.80</w:t>
            </w:r>
          </w:p>
        </w:tc>
      </w:tr>
      <w:tr>
        <w:tc>
          <w:tcPr>
            <w:tcW w:w="851" w:type="dxa"/>
          </w:tcPr>
          <w:p>
            <w:pPr>
              <w:pStyle w:val="yTableNAm"/>
              <w:rPr>
                <w:szCs w:val="22"/>
              </w:rPr>
            </w:pPr>
            <w:r>
              <w:rPr>
                <w:szCs w:val="22"/>
              </w:rPr>
              <w:t>9.</w:t>
            </w:r>
          </w:p>
        </w:tc>
        <w:tc>
          <w:tcPr>
            <w:tcW w:w="5042" w:type="dxa"/>
          </w:tcPr>
          <w:p>
            <w:pPr>
              <w:pStyle w:val="yTableNAm"/>
              <w:tabs>
                <w:tab w:val="right" w:leader="dot" w:pos="4536"/>
              </w:tabs>
              <w:rPr>
                <w:szCs w:val="22"/>
              </w:rPr>
            </w:pPr>
            <w:r>
              <w:rPr>
                <w:szCs w:val="22"/>
              </w:rPr>
              <w:t>Issue of duplicate licence, duplicate certificate of registration or duplicate triennial certificate</w:t>
            </w:r>
          </w:p>
        </w:tc>
        <w:tc>
          <w:tcPr>
            <w:tcW w:w="1187" w:type="dxa"/>
            <w:vAlign w:val="bottom"/>
          </w:tcPr>
          <w:p>
            <w:pPr>
              <w:pStyle w:val="yTableNAm"/>
              <w:tabs>
                <w:tab w:val="left" w:pos="1103"/>
              </w:tabs>
              <w:jc w:val="right"/>
              <w:rPr>
                <w:szCs w:val="22"/>
              </w:rPr>
            </w:pPr>
            <w:r>
              <w:rPr>
                <w:szCs w:val="22"/>
              </w:rPr>
              <w:t>$29.50</w:t>
            </w:r>
          </w:p>
        </w:tc>
      </w:tr>
      <w:tr>
        <w:tc>
          <w:tcPr>
            <w:tcW w:w="851" w:type="dxa"/>
          </w:tcPr>
          <w:p>
            <w:pPr>
              <w:pStyle w:val="yTableNAm"/>
              <w:rPr>
                <w:szCs w:val="22"/>
              </w:rPr>
            </w:pPr>
            <w:r>
              <w:rPr>
                <w:szCs w:val="22"/>
              </w:rPr>
              <w:t>10.</w:t>
            </w:r>
          </w:p>
        </w:tc>
        <w:tc>
          <w:tcPr>
            <w:tcW w:w="5042" w:type="dxa"/>
          </w:tcPr>
          <w:p>
            <w:pPr>
              <w:pStyle w:val="yTableNAm"/>
              <w:rPr>
                <w:szCs w:val="22"/>
              </w:rPr>
            </w:pPr>
            <w:r>
              <w:rPr>
                <w:szCs w:val="22"/>
              </w:rPr>
              <w:t>Copy (certified or uncertified) or an extract of an individual registration —</w:t>
            </w:r>
          </w:p>
          <w:p>
            <w:pPr>
              <w:pStyle w:val="yTableNAm"/>
              <w:tabs>
                <w:tab w:val="right" w:leader="dot" w:pos="4536"/>
              </w:tabs>
              <w:rPr>
                <w:szCs w:val="22"/>
              </w:rPr>
            </w:pPr>
            <w:r>
              <w:rPr>
                <w:szCs w:val="22"/>
              </w:rPr>
              <w:t>first page</w:t>
            </w:r>
          </w:p>
          <w:p>
            <w:pPr>
              <w:pStyle w:val="yTableNAm"/>
              <w:tabs>
                <w:tab w:val="right" w:leader="dot" w:pos="4536"/>
              </w:tabs>
              <w:rPr>
                <w:szCs w:val="22"/>
              </w:rPr>
            </w:pPr>
            <w:r>
              <w:rPr>
                <w:szCs w:val="22"/>
              </w:rPr>
              <w:t>each subsequent page</w:t>
            </w:r>
          </w:p>
        </w:tc>
        <w:tc>
          <w:tcPr>
            <w:tcW w:w="1187" w:type="dxa"/>
            <w:vAlign w:val="bottom"/>
          </w:tcPr>
          <w:p>
            <w:pPr>
              <w:pStyle w:val="yTableNAm"/>
              <w:tabs>
                <w:tab w:val="left" w:pos="1103"/>
              </w:tabs>
              <w:jc w:val="right"/>
              <w:rPr>
                <w:szCs w:val="22"/>
              </w:rPr>
            </w:pPr>
            <w:r>
              <w:rPr>
                <w:szCs w:val="22"/>
              </w:rPr>
              <w:t>$12.20</w:t>
            </w:r>
          </w:p>
          <w:p>
            <w:pPr>
              <w:pStyle w:val="yTableNAm"/>
              <w:tabs>
                <w:tab w:val="left" w:pos="1103"/>
              </w:tabs>
              <w:jc w:val="right"/>
              <w:rPr>
                <w:szCs w:val="22"/>
              </w:rPr>
            </w:pPr>
            <w:r>
              <w:rPr>
                <w:szCs w:val="22"/>
              </w:rPr>
              <w:t>$2.30</w:t>
            </w:r>
          </w:p>
        </w:tc>
      </w:tr>
      <w:tr>
        <w:tc>
          <w:tcPr>
            <w:tcW w:w="851" w:type="dxa"/>
          </w:tcPr>
          <w:p>
            <w:pPr>
              <w:pStyle w:val="yTableNAm"/>
              <w:rPr>
                <w:szCs w:val="22"/>
              </w:rPr>
            </w:pPr>
            <w:r>
              <w:rPr>
                <w:szCs w:val="22"/>
              </w:rPr>
              <w:t>11.</w:t>
            </w:r>
          </w:p>
        </w:tc>
        <w:tc>
          <w:tcPr>
            <w:tcW w:w="5042" w:type="dxa"/>
          </w:tcPr>
          <w:p>
            <w:pPr>
              <w:pStyle w:val="yTableNAm"/>
              <w:tabs>
                <w:tab w:val="right" w:leader="dot" w:pos="4536"/>
              </w:tabs>
              <w:rPr>
                <w:szCs w:val="22"/>
              </w:rPr>
            </w:pPr>
            <w:r>
              <w:rPr>
                <w:szCs w:val="22"/>
              </w:rPr>
              <w:t>Copy (certified or uncertified) or an extract of all registrations in a register</w:t>
            </w:r>
          </w:p>
        </w:tc>
        <w:tc>
          <w:tcPr>
            <w:tcW w:w="1187" w:type="dxa"/>
            <w:vAlign w:val="bottom"/>
          </w:tcPr>
          <w:p>
            <w:pPr>
              <w:pStyle w:val="yTableNAm"/>
              <w:tabs>
                <w:tab w:val="left" w:pos="1103"/>
              </w:tabs>
              <w:jc w:val="right"/>
              <w:rPr>
                <w:szCs w:val="22"/>
              </w:rPr>
            </w:pPr>
            <w:r>
              <w:rPr>
                <w:szCs w:val="22"/>
              </w:rPr>
              <w:t>$121.00</w:t>
            </w:r>
          </w:p>
        </w:tc>
      </w:tr>
      <w:tr>
        <w:tc>
          <w:tcPr>
            <w:tcW w:w="851" w:type="dxa"/>
          </w:tcPr>
          <w:p>
            <w:pPr>
              <w:pStyle w:val="yTableNAm"/>
              <w:rPr>
                <w:szCs w:val="22"/>
              </w:rPr>
            </w:pPr>
            <w:r>
              <w:rPr>
                <w:szCs w:val="22"/>
              </w:rPr>
              <w:t>12.</w:t>
            </w:r>
          </w:p>
        </w:tc>
        <w:tc>
          <w:tcPr>
            <w:tcW w:w="5042" w:type="dxa"/>
          </w:tcPr>
          <w:p>
            <w:pPr>
              <w:pStyle w:val="yTableNAm"/>
              <w:tabs>
                <w:tab w:val="right" w:leader="dot" w:pos="4536"/>
              </w:tabs>
              <w:rPr>
                <w:szCs w:val="22"/>
              </w:rPr>
            </w:pPr>
            <w:r>
              <w:rPr>
                <w:szCs w:val="22"/>
              </w:rPr>
              <w:t>For the purposes of section 30(2a) (the holding fee)</w:t>
            </w:r>
          </w:p>
        </w:tc>
        <w:tc>
          <w:tcPr>
            <w:tcW w:w="1187" w:type="dxa"/>
            <w:vAlign w:val="bottom"/>
          </w:tcPr>
          <w:p>
            <w:pPr>
              <w:pStyle w:val="yTableNAm"/>
              <w:tabs>
                <w:tab w:val="left" w:pos="1103"/>
              </w:tabs>
              <w:jc w:val="right"/>
              <w:rPr>
                <w:szCs w:val="22"/>
              </w:rPr>
            </w:pPr>
            <w:r>
              <w:rPr>
                <w:szCs w:val="22"/>
              </w:rPr>
              <w:t>$258.00</w:t>
            </w:r>
          </w:p>
        </w:tc>
      </w:tr>
    </w:tbl>
    <w:p>
      <w:pPr>
        <w:pStyle w:val="Footnotesection"/>
      </w:pPr>
      <w:r>
        <w:tab/>
        <w:t>[Schedule 1 inserted: Gazette 18 Jun 2019 p. 2110-11.]</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6" w:name="_Toc32308592"/>
      <w:r>
        <w:rPr>
          <w:rStyle w:val="CharSchNo"/>
        </w:rPr>
        <w:t>Schedule 1A</w:t>
      </w:r>
      <w:r>
        <w:rPr>
          <w:rStyle w:val="CharSDivNo"/>
        </w:rPr>
        <w:t> </w:t>
      </w:r>
      <w:r>
        <w:t>—</w:t>
      </w:r>
      <w:r>
        <w:rPr>
          <w:rStyle w:val="CharSDivText"/>
        </w:rPr>
        <w:t> </w:t>
      </w:r>
      <w:r>
        <w:rPr>
          <w:rStyle w:val="CharSchText"/>
        </w:rPr>
        <w:t>Professional development subjects</w:t>
      </w:r>
      <w:bookmarkEnd w:id="36"/>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37" w:name="_Toc32308593"/>
      <w:r>
        <w:rPr>
          <w:rStyle w:val="CharSchNo"/>
        </w:rPr>
        <w:t>Schedule 2</w:t>
      </w:r>
      <w:r>
        <w:rPr>
          <w:rStyle w:val="CharSDivNo"/>
        </w:rPr>
        <w:t> </w:t>
      </w:r>
      <w:r>
        <w:t>—</w:t>
      </w:r>
      <w:r>
        <w:rPr>
          <w:rStyle w:val="CharSDivText"/>
        </w:rPr>
        <w:t> </w:t>
      </w:r>
      <w:r>
        <w:rPr>
          <w:rStyle w:val="CharSchText"/>
        </w:rPr>
        <w:t>Forms</w:t>
      </w:r>
      <w:bookmarkEnd w:id="37"/>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38" w:name="_Toc32308594"/>
      <w:r>
        <w:rPr>
          <w:rStyle w:val="CharSchNo"/>
        </w:rPr>
        <w:t>Schedule 3</w:t>
      </w:r>
      <w:r>
        <w:rPr>
          <w:rStyle w:val="CharSDivNo"/>
        </w:rPr>
        <w:t> </w:t>
      </w:r>
      <w:r>
        <w:t>—</w:t>
      </w:r>
      <w:r>
        <w:rPr>
          <w:rStyle w:val="CharSDivText"/>
        </w:rPr>
        <w:t> </w:t>
      </w:r>
      <w:r>
        <w:rPr>
          <w:rStyle w:val="CharSchText"/>
        </w:rPr>
        <w:t>Prescribed offences and modified penalties</w:t>
      </w:r>
      <w:bookmarkEnd w:id="38"/>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39" w:name="_Toc32308595"/>
      <w:r>
        <w:t>Notes</w:t>
      </w:r>
      <w:bookmarkEnd w:id="39"/>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40" w:name="_Toc32308596"/>
      <w:r>
        <w:t>Compilation table</w:t>
      </w:r>
      <w:bookmarkEnd w:id="4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3"/>
        <w:gridCol w:w="14"/>
      </w:tblGrid>
      <w:tr>
        <w:trPr>
          <w:gridAfter w:val="2"/>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2"/>
          <w:wAfter w:w="37" w:type="dxa"/>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2"/>
          <w:wAfter w:w="37" w:type="dxa"/>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gridAfter w:val="1"/>
          <w:wAfter w:w="14" w:type="dxa"/>
        </w:trPr>
        <w:tc>
          <w:tcPr>
            <w:tcW w:w="3119"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rPr>
          <w:gridAfter w:val="1"/>
          <w:wAfter w:w="14" w:type="dxa"/>
        </w:trPr>
        <w:tc>
          <w:tcPr>
            <w:tcW w:w="3119"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6" w:type="dxa"/>
            <w:gridSpan w:val="2"/>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730" w:type="dxa"/>
            <w:gridSpan w:val="3"/>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730" w:type="dxa"/>
            <w:gridSpan w:val="3"/>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single" w:sz="4" w:space="0" w:color="auto"/>
            </w:tcBorders>
          </w:tcPr>
          <w:p>
            <w:pPr>
              <w:pStyle w:val="nTable"/>
              <w:spacing w:after="40"/>
            </w:pPr>
            <w:r>
              <w:rPr>
                <w:i/>
              </w:rPr>
              <w:t>Consumer Protection Regulations Amendment Regulations 2019</w:t>
            </w:r>
            <w:r>
              <w:t xml:space="preserve"> Pt. 4</w:t>
            </w:r>
          </w:p>
        </w:tc>
        <w:tc>
          <w:tcPr>
            <w:tcW w:w="1276" w:type="dxa"/>
            <w:tcBorders>
              <w:top w:val="nil"/>
              <w:bottom w:val="single" w:sz="4" w:space="0" w:color="auto"/>
            </w:tcBorders>
          </w:tcPr>
          <w:p>
            <w:pPr>
              <w:pStyle w:val="nTable"/>
              <w:spacing w:after="40"/>
            </w:pPr>
            <w:r>
              <w:t>24 Dec 2019 p. 4416</w:t>
            </w:r>
            <w:r>
              <w:noBreakHyphen/>
              <w:t>20</w:t>
            </w:r>
          </w:p>
        </w:tc>
        <w:tc>
          <w:tcPr>
            <w:tcW w:w="2730" w:type="dxa"/>
            <w:gridSpan w:val="3"/>
            <w:tcBorders>
              <w:top w:val="nil"/>
              <w:bottom w:val="single" w:sz="4" w:space="0" w:color="auto"/>
            </w:tcBorders>
          </w:tcPr>
          <w:p>
            <w:pPr>
              <w:pStyle w:val="nTable"/>
              <w:spacing w:after="40"/>
            </w:pPr>
            <w:r>
              <w:t xml:space="preserve">1 Jan 2020 (see r. 2(b) and </w:t>
            </w:r>
            <w:r>
              <w:rPr>
                <w:i/>
              </w:rPr>
              <w:t>Gazette</w:t>
            </w:r>
            <w:r>
              <w:t> 24 Dec 2019 p. 4415)</w:t>
            </w:r>
          </w:p>
        </w:tc>
      </w:tr>
    </w:tbl>
    <w:p>
      <w:pPr>
        <w:pStyle w:val="nHeading3"/>
      </w:pPr>
      <w:bookmarkStart w:id="41" w:name="_Toc32308597"/>
      <w:r>
        <w:t>Other notes</w:t>
      </w:r>
      <w:bookmarkEnd w:id="4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43" w:name="_Toc32308598"/>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1305"/>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684A4-FEE7-4DD4-BA66-80041932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8896</Words>
  <Characters>43413</Characters>
  <Application>Microsoft Office Word</Application>
  <DocSecurity>0</DocSecurity>
  <Lines>1669</Lines>
  <Paragraphs>1005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1979 - 08-k0-01</dc:title>
  <dc:subject/>
  <dc:creator/>
  <cp:keywords/>
  <dc:description/>
  <cp:lastModifiedBy>svcMRProcess</cp:lastModifiedBy>
  <cp:revision>4</cp:revision>
  <cp:lastPrinted>2014-10-02T03:16:00Z</cp:lastPrinted>
  <dcterms:created xsi:type="dcterms:W3CDTF">2020-02-11T08:39:00Z</dcterms:created>
  <dcterms:modified xsi:type="dcterms:W3CDTF">2020-02-11T08:39:00Z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08-k0-01</vt:lpwstr>
  </property>
</Properties>
</file>