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_Toc32304020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_Toc32304021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1A — Local laws</w:t>
      </w:r>
    </w:p>
    <w:p>
      <w:pPr>
        <w:pStyle w:val="TOC8"/>
        <w:rPr>
          <w:rFonts w:asciiTheme="minorHAnsi" w:eastAsiaTheme="minorEastAsia" w:hAnsiTheme="minorHAnsi" w:cstheme="minorBidi"/>
          <w:szCs w:val="22"/>
        </w:rPr>
      </w:pPr>
      <w:r>
        <w:t>2A.</w:t>
      </w:r>
      <w:r>
        <w:tab/>
        <w:t>Matters about which local laws are not to be made (Act s. 3.5)</w:t>
      </w:r>
      <w:r>
        <w:tab/>
      </w:r>
      <w:r>
        <w:fldChar w:fldCharType="begin"/>
      </w:r>
      <w:r>
        <w:instrText xml:space="preserve"> PAGEREF _Toc32304023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Prescribed manner of giving notice of purpose and effect of proposed local law </w:t>
      </w:r>
      <w:r>
        <w:rPr>
          <w:snapToGrid w:val="0"/>
        </w:rPr>
        <w:t>(Act </w:t>
      </w:r>
      <w:r>
        <w:t>s. 3.12(2))</w:t>
      </w:r>
      <w:r>
        <w:tab/>
      </w:r>
      <w:r>
        <w:fldChar w:fldCharType="begin"/>
      </w:r>
      <w:r>
        <w:instrText xml:space="preserve"> PAGEREF _Toc32304024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Thoroughfares</w:t>
      </w:r>
    </w:p>
    <w:p>
      <w:pPr>
        <w:pStyle w:val="TOC8"/>
        <w:rPr>
          <w:rFonts w:asciiTheme="minorHAnsi" w:eastAsiaTheme="minorEastAsia" w:hAnsiTheme="minorHAnsi" w:cstheme="minorBidi"/>
          <w:szCs w:val="22"/>
        </w:rPr>
      </w:pPr>
      <w:r>
        <w:t>4</w:t>
      </w:r>
      <w:r>
        <w:rPr>
          <w:snapToGrid w:val="0"/>
        </w:rPr>
        <w:t>.</w:t>
      </w:r>
      <w:r>
        <w:rPr>
          <w:snapToGrid w:val="0"/>
        </w:rPr>
        <w:tab/>
        <w:t>Persons prescribed to be notified of road closure (Act s. 3.50)</w:t>
      </w:r>
      <w:r>
        <w:tab/>
      </w:r>
      <w:r>
        <w:fldChar w:fldCharType="begin"/>
      </w:r>
      <w:r>
        <w:instrText xml:space="preserve"> PAGEREF _Toc32304026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prescribed to be notified of certain proposals (Act s. </w:t>
      </w:r>
      <w:r>
        <w:t>3</w:t>
      </w:r>
      <w:r>
        <w:rPr>
          <w:snapToGrid w:val="0"/>
        </w:rPr>
        <w:t xml:space="preserve">.51(1) </w:t>
      </w:r>
      <w:r>
        <w:rPr>
          <w:i/>
          <w:snapToGrid w:val="0"/>
        </w:rPr>
        <w:t>person having an interest</w:t>
      </w:r>
      <w:r>
        <w:rPr>
          <w:snapToGrid w:val="0"/>
        </w:rPr>
        <w:t>)</w:t>
      </w:r>
      <w:r>
        <w:tab/>
      </w:r>
      <w:r>
        <w:fldChar w:fldCharType="begin"/>
      </w:r>
      <w:r>
        <w:instrText xml:space="preserve"> PAGEREF _Toc32304027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provisions about road closures</w:t>
      </w:r>
      <w:r>
        <w:tab/>
      </w:r>
      <w:r>
        <w:fldChar w:fldCharType="begin"/>
      </w:r>
      <w:r>
        <w:instrText xml:space="preserve"> PAGEREF _Toc32304028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Commercial enterprises by local governments (s. 3.59)</w:t>
      </w:r>
    </w:p>
    <w:p>
      <w:pPr>
        <w:pStyle w:val="TOC8"/>
        <w:rPr>
          <w:rFonts w:asciiTheme="minorHAnsi" w:eastAsiaTheme="minorEastAsia" w:hAnsiTheme="minorHAnsi" w:cstheme="minorBidi"/>
          <w:szCs w:val="22"/>
        </w:rPr>
      </w:pPr>
      <w:r>
        <w:t>7.</w:t>
      </w:r>
      <w:r>
        <w:tab/>
        <w:t>Term used: major regional centre</w:t>
      </w:r>
      <w:r>
        <w:tab/>
      </w:r>
      <w:r>
        <w:fldChar w:fldCharType="begin"/>
      </w:r>
      <w:r>
        <w:instrText xml:space="preserve"> PAGEREF _Toc32304030 \h </w:instrText>
      </w:r>
      <w:r>
        <w:fldChar w:fldCharType="separate"/>
      </w:r>
      <w:r>
        <w:t>5</w:t>
      </w:r>
      <w:r>
        <w:fldChar w:fldCharType="end"/>
      </w:r>
    </w:p>
    <w:p>
      <w:pPr>
        <w:pStyle w:val="TOC8"/>
        <w:rPr>
          <w:rFonts w:asciiTheme="minorHAnsi" w:eastAsiaTheme="minorEastAsia" w:hAnsiTheme="minorHAnsi" w:cstheme="minorBidi"/>
          <w:szCs w:val="22"/>
        </w:rPr>
      </w:pPr>
      <w:r>
        <w:t>8A.</w:t>
      </w:r>
      <w:r>
        <w:tab/>
        <w:t xml:space="preserve">Amount prescribed for major land transactions; exempt land transactions prescribed </w:t>
      </w:r>
      <w:r>
        <w:rPr>
          <w:snapToGrid w:val="0"/>
        </w:rPr>
        <w:t>(Act </w:t>
      </w:r>
      <w:r>
        <w:t>s. 3.59)</w:t>
      </w:r>
      <w:r>
        <w:tab/>
      </w:r>
      <w:r>
        <w:fldChar w:fldCharType="begin"/>
      </w:r>
      <w:r>
        <w:instrText xml:space="preserve"> PAGEREF _Toc32304031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 land transactions prescribed (Act s. 3.59)</w:t>
      </w:r>
      <w:r>
        <w:tab/>
      </w:r>
      <w:r>
        <w:fldChar w:fldCharType="begin"/>
      </w:r>
      <w:r>
        <w:instrText xml:space="preserve"> PAGEREF _Toc32304032 \h </w:instrText>
      </w:r>
      <w:r>
        <w:fldChar w:fldCharType="separate"/>
      </w:r>
      <w:r>
        <w:t>6</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Amount prescribed for major trading undertakings; exempt trading undertakings prescribed (Act s. 3.59)</w:t>
      </w:r>
      <w:r>
        <w:tab/>
      </w:r>
      <w:r>
        <w:fldChar w:fldCharType="begin"/>
      </w:r>
      <w:r>
        <w:instrText xml:space="preserve"> PAGEREF _Toc32304033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plans for major trading undertaking and major land transaction, content of</w:t>
      </w:r>
      <w:r>
        <w:tab/>
      </w:r>
      <w:r>
        <w:fldChar w:fldCharType="begin"/>
      </w:r>
      <w:r>
        <w:instrText xml:space="preserve"> PAGEREF _Toc32304034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w:t>
      </w:r>
      <w:r>
        <w:rPr>
          <w:b w:val="0"/>
          <w:noProof/>
        </w:rPr>
        <w:t> </w:t>
      </w:r>
      <w:r>
        <w:rPr>
          <w:noProof/>
        </w:rPr>
        <w:t>—</w:t>
      </w:r>
      <w:r>
        <w:rPr>
          <w:b w:val="0"/>
          <w:noProof/>
        </w:rPr>
        <w:t> </w:t>
      </w:r>
      <w:r>
        <w:rPr>
          <w:noProof/>
        </w:rPr>
        <w:t>Provision of goods and services</w:t>
      </w:r>
    </w:p>
    <w:p>
      <w:pPr>
        <w:pStyle w:val="TOC4"/>
        <w:tabs>
          <w:tab w:val="right" w:leader="dot" w:pos="7077"/>
        </w:tabs>
        <w:rPr>
          <w:rFonts w:asciiTheme="minorHAnsi" w:eastAsiaTheme="minorEastAsia" w:hAnsiTheme="minorHAnsi" w:cstheme="minorBidi"/>
          <w:b w:val="0"/>
          <w:szCs w:val="22"/>
        </w:rPr>
      </w:pPr>
      <w:r>
        <w:t>Division 1 — Purchasing policies</w:t>
      </w:r>
    </w:p>
    <w:p>
      <w:pPr>
        <w:pStyle w:val="TOC8"/>
        <w:rPr>
          <w:rFonts w:asciiTheme="minorHAnsi" w:eastAsiaTheme="minorEastAsia" w:hAnsiTheme="minorHAnsi" w:cstheme="minorBidi"/>
          <w:szCs w:val="22"/>
        </w:rPr>
      </w:pPr>
      <w:r>
        <w:t>11A.</w:t>
      </w:r>
      <w:r>
        <w:tab/>
        <w:t>Purchasing policies for local governments</w:t>
      </w:r>
      <w:r>
        <w:tab/>
      </w:r>
      <w:r>
        <w:fldChar w:fldCharType="begin"/>
      </w:r>
      <w:r>
        <w:instrText xml:space="preserve"> PAGEREF _Toc32304037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Tenders for providing goods or services (s. 3.57)</w:t>
      </w:r>
    </w:p>
    <w:p>
      <w:pPr>
        <w:pStyle w:val="TOC8"/>
        <w:rPr>
          <w:rFonts w:asciiTheme="minorHAnsi" w:eastAsiaTheme="minorEastAsia" w:hAnsiTheme="minorHAnsi" w:cstheme="minorBidi"/>
          <w:szCs w:val="22"/>
        </w:rPr>
      </w:pPr>
      <w:r>
        <w:t>11</w:t>
      </w:r>
      <w:r>
        <w:rPr>
          <w:snapToGrid w:val="0"/>
        </w:rPr>
        <w:t>.</w:t>
      </w:r>
      <w:r>
        <w:rPr>
          <w:snapToGrid w:val="0"/>
        </w:rPr>
        <w:tab/>
        <w:t>When tenders have to be publicly invited</w:t>
      </w:r>
      <w:r>
        <w:tab/>
      </w:r>
      <w:r>
        <w:fldChar w:fldCharType="begin"/>
      </w:r>
      <w:r>
        <w:instrText xml:space="preserve"> PAGEREF _Toc32304039 \h </w:instrText>
      </w:r>
      <w:r>
        <w:fldChar w:fldCharType="separate"/>
      </w:r>
      <w:r>
        <w:t>11</w:t>
      </w:r>
      <w:r>
        <w:fldChar w:fldCharType="end"/>
      </w:r>
    </w:p>
    <w:p>
      <w:pPr>
        <w:pStyle w:val="TOC8"/>
        <w:rPr>
          <w:rFonts w:asciiTheme="minorHAnsi" w:eastAsiaTheme="minorEastAsia" w:hAnsiTheme="minorHAnsi" w:cstheme="minorBidi"/>
          <w:szCs w:val="22"/>
        </w:rPr>
      </w:pPr>
      <w:r>
        <w:t>12.</w:t>
      </w:r>
      <w:r>
        <w:tab/>
        <w:t>Anti</w:t>
      </w:r>
      <w:r>
        <w:noBreakHyphen/>
        <w:t>avoidance provision for r. 11(1)</w:t>
      </w:r>
      <w:r>
        <w:tab/>
      </w:r>
      <w:r>
        <w:fldChar w:fldCharType="begin"/>
      </w:r>
      <w:r>
        <w:instrText xml:space="preserve"> PAGEREF _Toc32304040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Requirements when local government invites tenders though not required to do so</w:t>
      </w:r>
      <w:r>
        <w:tab/>
      </w:r>
      <w:r>
        <w:fldChar w:fldCharType="begin"/>
      </w:r>
      <w:r>
        <w:instrText xml:space="preserve"> PAGEREF _Toc32304041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Publicly inviting tenders, requirements for</w:t>
      </w:r>
      <w:r>
        <w:tab/>
      </w:r>
      <w:r>
        <w:fldChar w:fldCharType="begin"/>
      </w:r>
      <w:r>
        <w:instrText xml:space="preserve"> PAGEREF _Toc32304042 \h </w:instrText>
      </w:r>
      <w:r>
        <w:fldChar w:fldCharType="separate"/>
      </w:r>
      <w:r>
        <w:t>14</w:t>
      </w:r>
      <w:r>
        <w:fldChar w:fldCharType="end"/>
      </w:r>
    </w:p>
    <w:p>
      <w:pPr>
        <w:pStyle w:val="TOC8"/>
        <w:rPr>
          <w:rFonts w:asciiTheme="minorHAnsi" w:eastAsiaTheme="minorEastAsia" w:hAnsiTheme="minorHAnsi" w:cstheme="minorBidi"/>
          <w:szCs w:val="22"/>
        </w:rPr>
      </w:pPr>
      <w:r>
        <w:t>15.</w:t>
      </w:r>
      <w:r>
        <w:tab/>
      </w:r>
      <w:r>
        <w:rPr>
          <w:snapToGrid w:val="0"/>
        </w:rPr>
        <w:t>Minimum time to be allowed for submitting tenders</w:t>
      </w:r>
      <w:r>
        <w:tab/>
      </w:r>
      <w:r>
        <w:fldChar w:fldCharType="begin"/>
      </w:r>
      <w:r>
        <w:instrText xml:space="preserve"> PAGEREF _Toc32304043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Receiving and opening tenders, procedure for</w:t>
      </w:r>
      <w:r>
        <w:tab/>
      </w:r>
      <w:r>
        <w:fldChar w:fldCharType="begin"/>
      </w:r>
      <w:r>
        <w:instrText xml:space="preserve"> PAGEREF _Toc32304044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register</w:t>
      </w:r>
      <w:r>
        <w:tab/>
      </w:r>
      <w:r>
        <w:fldChar w:fldCharType="begin"/>
      </w:r>
      <w:r>
        <w:instrText xml:space="preserve"> PAGEREF _Toc32304045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Rejecting and accepting tenders</w:t>
      </w:r>
      <w:r>
        <w:tab/>
      </w:r>
      <w:r>
        <w:fldChar w:fldCharType="begin"/>
      </w:r>
      <w:r>
        <w:instrText xml:space="preserve"> PAGEREF _Toc32304046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Tenderers to be notified of outcome</w:t>
      </w:r>
      <w:r>
        <w:tab/>
      </w:r>
      <w:r>
        <w:fldChar w:fldCharType="begin"/>
      </w:r>
      <w:r>
        <w:instrText xml:space="preserve"> PAGEREF _Toc32304047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Variation of requirements before entry into contract</w:t>
      </w:r>
      <w:r>
        <w:tab/>
      </w:r>
      <w:r>
        <w:fldChar w:fldCharType="begin"/>
      </w:r>
      <w:r>
        <w:instrText xml:space="preserve"> PAGEREF _Toc32304048 \h </w:instrText>
      </w:r>
      <w:r>
        <w:fldChar w:fldCharType="separate"/>
      </w:r>
      <w:r>
        <w:t>19</w:t>
      </w:r>
      <w:r>
        <w:fldChar w:fldCharType="end"/>
      </w:r>
    </w:p>
    <w:p>
      <w:pPr>
        <w:pStyle w:val="TOC8"/>
        <w:rPr>
          <w:rFonts w:asciiTheme="minorHAnsi" w:eastAsiaTheme="minorEastAsia" w:hAnsiTheme="minorHAnsi" w:cstheme="minorBidi"/>
          <w:szCs w:val="22"/>
        </w:rPr>
      </w:pPr>
      <w:r>
        <w:t>21A.</w:t>
      </w:r>
      <w:r>
        <w:tab/>
        <w:t>Varying a contract for the supply of goods or services</w:t>
      </w:r>
      <w:r>
        <w:tab/>
      </w:r>
      <w:r>
        <w:fldChar w:fldCharType="begin"/>
      </w:r>
      <w:r>
        <w:instrText xml:space="preserve"> PAGEREF _Toc32304049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Limiting who can tender, procedure for</w:t>
      </w:r>
      <w:r>
        <w:tab/>
      </w:r>
      <w:r>
        <w:fldChar w:fldCharType="begin"/>
      </w:r>
      <w:r>
        <w:instrText xml:space="preserve"> PAGEREF _Toc32304050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Minimum time to be allowed for submitting expressions of interest</w:t>
      </w:r>
      <w:r>
        <w:tab/>
      </w:r>
      <w:r>
        <w:fldChar w:fldCharType="begin"/>
      </w:r>
      <w:r>
        <w:instrText xml:space="preserve"> PAGEREF _Toc32304051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Rejecting and accepting expressions of interest to be acceptable tenderer</w:t>
      </w:r>
      <w:r>
        <w:tab/>
      </w:r>
      <w:r>
        <w:fldChar w:fldCharType="begin"/>
      </w:r>
      <w:r>
        <w:instrText xml:space="preserve"> PAGEREF _Toc32304052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People who submitted expression of interest to be notified of outcome</w:t>
      </w:r>
      <w:r>
        <w:tab/>
      </w:r>
      <w:r>
        <w:fldChar w:fldCharType="begin"/>
      </w:r>
      <w:r>
        <w:instrText xml:space="preserve"> PAGEREF _Toc32304053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Panels of pre</w:t>
      </w:r>
      <w:r>
        <w:noBreakHyphen/>
        <w:t>qualified suppliers</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_Toc32304055 \h </w:instrText>
      </w:r>
      <w:r>
        <w:fldChar w:fldCharType="separate"/>
      </w:r>
      <w:r>
        <w:t>21</w:t>
      </w:r>
      <w:r>
        <w:fldChar w:fldCharType="end"/>
      </w:r>
    </w:p>
    <w:p>
      <w:pPr>
        <w:pStyle w:val="TOC8"/>
        <w:rPr>
          <w:rFonts w:asciiTheme="minorHAnsi" w:eastAsiaTheme="minorEastAsia" w:hAnsiTheme="minorHAnsi" w:cstheme="minorBidi"/>
          <w:szCs w:val="22"/>
        </w:rPr>
      </w:pPr>
      <w:r>
        <w:t>24AB.</w:t>
      </w:r>
      <w:r>
        <w:tab/>
        <w:t>Local government may establish panels of pre</w:t>
      </w:r>
      <w:r>
        <w:noBreakHyphen/>
        <w:t>qualified suppliers</w:t>
      </w:r>
      <w:r>
        <w:tab/>
      </w:r>
      <w:r>
        <w:fldChar w:fldCharType="begin"/>
      </w:r>
      <w:r>
        <w:instrText xml:space="preserve"> PAGEREF _Toc32304056 \h </w:instrText>
      </w:r>
      <w:r>
        <w:fldChar w:fldCharType="separate"/>
      </w:r>
      <w:r>
        <w:t>22</w:t>
      </w:r>
      <w:r>
        <w:fldChar w:fldCharType="end"/>
      </w:r>
    </w:p>
    <w:p>
      <w:pPr>
        <w:pStyle w:val="TOC8"/>
        <w:rPr>
          <w:rFonts w:asciiTheme="minorHAnsi" w:eastAsiaTheme="minorEastAsia" w:hAnsiTheme="minorHAnsi" w:cstheme="minorBidi"/>
          <w:szCs w:val="22"/>
        </w:rPr>
      </w:pPr>
      <w:r>
        <w:t>24AC.</w:t>
      </w:r>
      <w:r>
        <w:tab/>
        <w:t>Requirements before establishing panels of pre</w:t>
      </w:r>
      <w:r>
        <w:noBreakHyphen/>
        <w:t>qualified suppliers</w:t>
      </w:r>
      <w:r>
        <w:tab/>
      </w:r>
      <w:r>
        <w:fldChar w:fldCharType="begin"/>
      </w:r>
      <w:r>
        <w:instrText xml:space="preserve"> PAGEREF _Toc32304057 \h </w:instrText>
      </w:r>
      <w:r>
        <w:fldChar w:fldCharType="separate"/>
      </w:r>
      <w:r>
        <w:t>22</w:t>
      </w:r>
      <w:r>
        <w:fldChar w:fldCharType="end"/>
      </w:r>
    </w:p>
    <w:p>
      <w:pPr>
        <w:pStyle w:val="TOC8"/>
        <w:rPr>
          <w:rFonts w:asciiTheme="minorHAnsi" w:eastAsiaTheme="minorEastAsia" w:hAnsiTheme="minorHAnsi" w:cstheme="minorBidi"/>
          <w:szCs w:val="22"/>
        </w:rPr>
      </w:pPr>
      <w:r>
        <w:t>24AD.</w:t>
      </w:r>
      <w:r>
        <w:tab/>
        <w:t>Requirements when inviting persons to apply to join panel of pre</w:t>
      </w:r>
      <w:r>
        <w:noBreakHyphen/>
        <w:t>qualified suppliers</w:t>
      </w:r>
      <w:r>
        <w:tab/>
      </w:r>
      <w:r>
        <w:fldChar w:fldCharType="begin"/>
      </w:r>
      <w:r>
        <w:instrText xml:space="preserve"> PAGEREF _Toc32304058 \h </w:instrText>
      </w:r>
      <w:r>
        <w:fldChar w:fldCharType="separate"/>
      </w:r>
      <w:r>
        <w:t>23</w:t>
      </w:r>
      <w:r>
        <w:fldChar w:fldCharType="end"/>
      </w:r>
    </w:p>
    <w:p>
      <w:pPr>
        <w:pStyle w:val="TOC8"/>
        <w:rPr>
          <w:rFonts w:asciiTheme="minorHAnsi" w:eastAsiaTheme="minorEastAsia" w:hAnsiTheme="minorHAnsi" w:cstheme="minorBidi"/>
          <w:szCs w:val="22"/>
        </w:rPr>
      </w:pPr>
      <w:r>
        <w:t>24AE.</w:t>
      </w:r>
      <w:r>
        <w:tab/>
        <w:t>Minimum time to be allowed for submitting application to join panel of pre</w:t>
      </w:r>
      <w:r>
        <w:noBreakHyphen/>
        <w:t>qualified suppliers</w:t>
      </w:r>
      <w:r>
        <w:tab/>
      </w:r>
      <w:r>
        <w:fldChar w:fldCharType="begin"/>
      </w:r>
      <w:r>
        <w:instrText xml:space="preserve"> PAGEREF _Toc32304059 \h </w:instrText>
      </w:r>
      <w:r>
        <w:fldChar w:fldCharType="separate"/>
      </w:r>
      <w:r>
        <w:t>25</w:t>
      </w:r>
      <w:r>
        <w:fldChar w:fldCharType="end"/>
      </w:r>
    </w:p>
    <w:p>
      <w:pPr>
        <w:pStyle w:val="TOC8"/>
        <w:rPr>
          <w:rFonts w:asciiTheme="minorHAnsi" w:eastAsiaTheme="minorEastAsia" w:hAnsiTheme="minorHAnsi" w:cstheme="minorBidi"/>
          <w:szCs w:val="22"/>
        </w:rPr>
      </w:pPr>
      <w:r>
        <w:t>24AF.</w:t>
      </w:r>
      <w:r>
        <w:tab/>
        <w:t>Procedure for receiving and opening applications</w:t>
      </w:r>
      <w:r>
        <w:tab/>
      </w:r>
      <w:r>
        <w:fldChar w:fldCharType="begin"/>
      </w:r>
      <w:r>
        <w:instrText xml:space="preserve"> PAGEREF _Toc32304060 \h </w:instrText>
      </w:r>
      <w:r>
        <w:fldChar w:fldCharType="separate"/>
      </w:r>
      <w:r>
        <w:t>25</w:t>
      </w:r>
      <w:r>
        <w:fldChar w:fldCharType="end"/>
      </w:r>
    </w:p>
    <w:p>
      <w:pPr>
        <w:pStyle w:val="TOC8"/>
        <w:rPr>
          <w:rFonts w:asciiTheme="minorHAnsi" w:eastAsiaTheme="minorEastAsia" w:hAnsiTheme="minorHAnsi" w:cstheme="minorBidi"/>
          <w:szCs w:val="22"/>
        </w:rPr>
      </w:pPr>
      <w:r>
        <w:t>24AG.</w:t>
      </w:r>
      <w:r>
        <w:tab/>
        <w:t>Information about panels of pre</w:t>
      </w:r>
      <w:r>
        <w:noBreakHyphen/>
        <w:t>qualified suppliers to be included in tenders register</w:t>
      </w:r>
      <w:r>
        <w:tab/>
      </w:r>
      <w:r>
        <w:fldChar w:fldCharType="begin"/>
      </w:r>
      <w:r>
        <w:instrText xml:space="preserve"> PAGEREF _Toc32304061 \h </w:instrText>
      </w:r>
      <w:r>
        <w:fldChar w:fldCharType="separate"/>
      </w:r>
      <w:r>
        <w:t>25</w:t>
      </w:r>
      <w:r>
        <w:fldChar w:fldCharType="end"/>
      </w:r>
    </w:p>
    <w:p>
      <w:pPr>
        <w:pStyle w:val="TOC8"/>
        <w:rPr>
          <w:rFonts w:asciiTheme="minorHAnsi" w:eastAsiaTheme="minorEastAsia" w:hAnsiTheme="minorHAnsi" w:cstheme="minorBidi"/>
          <w:szCs w:val="22"/>
        </w:rPr>
      </w:pPr>
      <w:r>
        <w:t>24AH.</w:t>
      </w:r>
      <w:r>
        <w:tab/>
        <w:t>Rejecting and accepting applications to join panel of pre</w:t>
      </w:r>
      <w:r>
        <w:noBreakHyphen/>
        <w:t>qualified suppliers</w:t>
      </w:r>
      <w:r>
        <w:tab/>
      </w:r>
      <w:r>
        <w:fldChar w:fldCharType="begin"/>
      </w:r>
      <w:r>
        <w:instrText xml:space="preserve"> PAGEREF _Toc32304062 \h </w:instrText>
      </w:r>
      <w:r>
        <w:fldChar w:fldCharType="separate"/>
      </w:r>
      <w:r>
        <w:t>26</w:t>
      </w:r>
      <w:r>
        <w:fldChar w:fldCharType="end"/>
      </w:r>
    </w:p>
    <w:p>
      <w:pPr>
        <w:pStyle w:val="TOC8"/>
        <w:rPr>
          <w:rFonts w:asciiTheme="minorHAnsi" w:eastAsiaTheme="minorEastAsia" w:hAnsiTheme="minorHAnsi" w:cstheme="minorBidi"/>
          <w:szCs w:val="22"/>
        </w:rPr>
      </w:pPr>
      <w:r>
        <w:t>24AI.</w:t>
      </w:r>
      <w:r>
        <w:tab/>
        <w:t>Applicants to be notified of outcome</w:t>
      </w:r>
      <w:r>
        <w:tab/>
      </w:r>
      <w:r>
        <w:fldChar w:fldCharType="begin"/>
      </w:r>
      <w:r>
        <w:instrText xml:space="preserve"> PAGEREF _Toc32304063 \h </w:instrText>
      </w:r>
      <w:r>
        <w:fldChar w:fldCharType="separate"/>
      </w:r>
      <w:r>
        <w:t>26</w:t>
      </w:r>
      <w:r>
        <w:fldChar w:fldCharType="end"/>
      </w:r>
    </w:p>
    <w:p>
      <w:pPr>
        <w:pStyle w:val="TOC8"/>
        <w:rPr>
          <w:rFonts w:asciiTheme="minorHAnsi" w:eastAsiaTheme="minorEastAsia" w:hAnsiTheme="minorHAnsi" w:cstheme="minorBidi"/>
          <w:szCs w:val="22"/>
        </w:rPr>
      </w:pPr>
      <w:r>
        <w:t>24AJ.</w:t>
      </w:r>
      <w:r>
        <w:tab/>
        <w:t>Contracts with pre</w:t>
      </w:r>
      <w:r>
        <w:noBreakHyphen/>
        <w:t>qualified suppliers</w:t>
      </w:r>
      <w:r>
        <w:tab/>
      </w:r>
      <w:r>
        <w:fldChar w:fldCharType="begin"/>
      </w:r>
      <w:r>
        <w:instrText xml:space="preserve"> PAGEREF _Toc32304064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4A — Regional price preference</w:t>
      </w:r>
    </w:p>
    <w:p>
      <w:pPr>
        <w:pStyle w:val="TOC8"/>
        <w:rPr>
          <w:rFonts w:asciiTheme="minorHAnsi" w:eastAsiaTheme="minorEastAsia" w:hAnsiTheme="minorHAnsi" w:cstheme="minorBidi"/>
          <w:szCs w:val="22"/>
        </w:rPr>
      </w:pPr>
      <w:r>
        <w:t>24A.</w:t>
      </w:r>
      <w:r>
        <w:tab/>
        <w:t>Application of this Part</w:t>
      </w:r>
      <w:r>
        <w:tab/>
      </w:r>
      <w:r>
        <w:fldChar w:fldCharType="begin"/>
      </w:r>
      <w:r>
        <w:instrText xml:space="preserve"> PAGEREF _Toc32304066 \h </w:instrText>
      </w:r>
      <w:r>
        <w:fldChar w:fldCharType="separate"/>
      </w:r>
      <w:r>
        <w:t>28</w:t>
      </w:r>
      <w:r>
        <w:fldChar w:fldCharType="end"/>
      </w:r>
    </w:p>
    <w:p>
      <w:pPr>
        <w:pStyle w:val="TOC8"/>
        <w:rPr>
          <w:rFonts w:asciiTheme="minorHAnsi" w:eastAsiaTheme="minorEastAsia" w:hAnsiTheme="minorHAnsi" w:cstheme="minorBidi"/>
          <w:szCs w:val="22"/>
        </w:rPr>
      </w:pPr>
      <w:r>
        <w:t>24B.</w:t>
      </w:r>
      <w:r>
        <w:tab/>
        <w:t>Terms used</w:t>
      </w:r>
      <w:r>
        <w:tab/>
      </w:r>
      <w:r>
        <w:fldChar w:fldCharType="begin"/>
      </w:r>
      <w:r>
        <w:instrText xml:space="preserve"> PAGEREF _Toc32304067 \h </w:instrText>
      </w:r>
      <w:r>
        <w:fldChar w:fldCharType="separate"/>
      </w:r>
      <w:r>
        <w:t>28</w:t>
      </w:r>
      <w:r>
        <w:fldChar w:fldCharType="end"/>
      </w:r>
    </w:p>
    <w:p>
      <w:pPr>
        <w:pStyle w:val="TOC8"/>
        <w:rPr>
          <w:rFonts w:asciiTheme="minorHAnsi" w:eastAsiaTheme="minorEastAsia" w:hAnsiTheme="minorHAnsi" w:cstheme="minorBidi"/>
          <w:szCs w:val="22"/>
        </w:rPr>
      </w:pPr>
      <w:r>
        <w:t>24C.</w:t>
      </w:r>
      <w:r>
        <w:tab/>
        <w:t>Regional price preference may be given</w:t>
      </w:r>
      <w:r>
        <w:tab/>
      </w:r>
      <w:r>
        <w:fldChar w:fldCharType="begin"/>
      </w:r>
      <w:r>
        <w:instrText xml:space="preserve"> PAGEREF _Toc32304068 \h </w:instrText>
      </w:r>
      <w:r>
        <w:fldChar w:fldCharType="separate"/>
      </w:r>
      <w:r>
        <w:t>28</w:t>
      </w:r>
      <w:r>
        <w:fldChar w:fldCharType="end"/>
      </w:r>
    </w:p>
    <w:p>
      <w:pPr>
        <w:pStyle w:val="TOC8"/>
        <w:rPr>
          <w:rFonts w:asciiTheme="minorHAnsi" w:eastAsiaTheme="minorEastAsia" w:hAnsiTheme="minorHAnsi" w:cstheme="minorBidi"/>
          <w:szCs w:val="22"/>
        </w:rPr>
      </w:pPr>
      <w:r>
        <w:t>24D.</w:t>
      </w:r>
      <w:r>
        <w:tab/>
        <w:t>Discounts permitted for regional price preferences</w:t>
      </w:r>
      <w:r>
        <w:tab/>
      </w:r>
      <w:r>
        <w:fldChar w:fldCharType="begin"/>
      </w:r>
      <w:r>
        <w:instrText xml:space="preserve"> PAGEREF _Toc32304069 \h </w:instrText>
      </w:r>
      <w:r>
        <w:fldChar w:fldCharType="separate"/>
      </w:r>
      <w:r>
        <w:t>29</w:t>
      </w:r>
      <w:r>
        <w:fldChar w:fldCharType="end"/>
      </w:r>
    </w:p>
    <w:p>
      <w:pPr>
        <w:pStyle w:val="TOC8"/>
        <w:rPr>
          <w:rFonts w:asciiTheme="minorHAnsi" w:eastAsiaTheme="minorEastAsia" w:hAnsiTheme="minorHAnsi" w:cstheme="minorBidi"/>
          <w:szCs w:val="22"/>
        </w:rPr>
      </w:pPr>
      <w:r>
        <w:t>24E.</w:t>
      </w:r>
      <w:r>
        <w:tab/>
        <w:t>Regional price preference policies for local governments</w:t>
      </w:r>
      <w:r>
        <w:tab/>
      </w:r>
      <w:r>
        <w:fldChar w:fldCharType="begin"/>
      </w:r>
      <w:r>
        <w:instrText xml:space="preserve"> PAGEREF _Toc32304070 \h </w:instrText>
      </w:r>
      <w:r>
        <w:fldChar w:fldCharType="separate"/>
      </w:r>
      <w:r>
        <w:t>30</w:t>
      </w:r>
      <w:r>
        <w:fldChar w:fldCharType="end"/>
      </w:r>
    </w:p>
    <w:p>
      <w:pPr>
        <w:pStyle w:val="TOC8"/>
        <w:rPr>
          <w:rFonts w:asciiTheme="minorHAnsi" w:eastAsiaTheme="minorEastAsia" w:hAnsiTheme="minorHAnsi" w:cstheme="minorBidi"/>
          <w:szCs w:val="22"/>
        </w:rPr>
      </w:pPr>
      <w:r>
        <w:t>24F.</w:t>
      </w:r>
      <w:r>
        <w:tab/>
        <w:t>Adoption and notice of regional price preference policy</w:t>
      </w:r>
      <w:r>
        <w:tab/>
      </w:r>
      <w:r>
        <w:fldChar w:fldCharType="begin"/>
      </w:r>
      <w:r>
        <w:instrText xml:space="preserve"> PAGEREF _Toc32304071 \h </w:instrText>
      </w:r>
      <w:r>
        <w:fldChar w:fldCharType="separate"/>
      </w:r>
      <w:r>
        <w:t>31</w:t>
      </w:r>
      <w:r>
        <w:fldChar w:fldCharType="end"/>
      </w:r>
    </w:p>
    <w:p>
      <w:pPr>
        <w:pStyle w:val="TOC8"/>
        <w:rPr>
          <w:rFonts w:asciiTheme="minorHAnsi" w:eastAsiaTheme="minorEastAsia" w:hAnsiTheme="minorHAnsi" w:cstheme="minorBidi"/>
          <w:szCs w:val="22"/>
        </w:rPr>
      </w:pPr>
      <w:r>
        <w:t>24G.</w:t>
      </w:r>
      <w:r>
        <w:tab/>
        <w:t>Adopted regional price preference policy, effect of</w:t>
      </w:r>
      <w:r>
        <w:tab/>
      </w:r>
      <w:r>
        <w:fldChar w:fldCharType="begin"/>
      </w:r>
      <w:r>
        <w:instrText xml:space="preserve"> PAGEREF _Toc32304072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Owner onus and infringement notices</w:t>
      </w:r>
    </w:p>
    <w:p>
      <w:pPr>
        <w:pStyle w:val="TOC8"/>
        <w:rPr>
          <w:rFonts w:asciiTheme="minorHAnsi" w:eastAsiaTheme="minorEastAsia" w:hAnsiTheme="minorHAnsi" w:cstheme="minorBidi"/>
          <w:szCs w:val="22"/>
        </w:rPr>
      </w:pPr>
      <w:r>
        <w:t>25</w:t>
      </w:r>
      <w:r>
        <w:rPr>
          <w:snapToGrid w:val="0"/>
        </w:rPr>
        <w:t>.</w:t>
      </w:r>
      <w:r>
        <w:rPr>
          <w:snapToGrid w:val="0"/>
        </w:rPr>
        <w:tab/>
        <w:t>Notice to put onus on vehicle owner, form of (Act s. 9.13)</w:t>
      </w:r>
      <w:r>
        <w:tab/>
      </w:r>
      <w:r>
        <w:fldChar w:fldCharType="begin"/>
      </w:r>
      <w:r>
        <w:instrText xml:space="preserve"> PAGEREF _Toc32304074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Infringement notice, form of (Act s. 9.16)</w:t>
      </w:r>
      <w:r>
        <w:tab/>
      </w:r>
      <w:r>
        <w:fldChar w:fldCharType="begin"/>
      </w:r>
      <w:r>
        <w:instrText xml:space="preserve"> PAGEREF _Toc32304075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Withdrawal of infringement notice, form of (Act s. 9.20)</w:t>
      </w:r>
      <w:r>
        <w:tab/>
      </w:r>
      <w:r>
        <w:fldChar w:fldCharType="begin"/>
      </w:r>
      <w:r>
        <w:instrText xml:space="preserve"> PAGEREF _Toc32304076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rPr>
          <w:rFonts w:asciiTheme="minorHAnsi" w:eastAsiaTheme="minorEastAsia" w:hAnsiTheme="minorHAnsi" w:cstheme="minorBidi"/>
          <w:szCs w:val="22"/>
        </w:rPr>
      </w:pPr>
      <w:r>
        <w:t>29</w:t>
      </w:r>
      <w:r>
        <w:rPr>
          <w:snapToGrid w:val="0"/>
        </w:rPr>
        <w:t>.</w:t>
      </w:r>
      <w:r>
        <w:rPr>
          <w:snapToGrid w:val="0"/>
        </w:rPr>
        <w:tab/>
        <w:t>Contraventions that may lead to impounding of goods (Act s. </w:t>
      </w:r>
      <w:r>
        <w:t>3</w:t>
      </w:r>
      <w:r>
        <w:rPr>
          <w:snapToGrid w:val="0"/>
        </w:rPr>
        <w:t>.37)</w:t>
      </w:r>
      <w:r>
        <w:tab/>
      </w:r>
      <w:r>
        <w:fldChar w:fldCharType="begin"/>
      </w:r>
      <w:r>
        <w:instrText xml:space="preserve"> PAGEREF _Toc32304078 \h </w:instrText>
      </w:r>
      <w:r>
        <w:fldChar w:fldCharType="separate"/>
      </w:r>
      <w:r>
        <w:t>34</w:t>
      </w:r>
      <w:r>
        <w:fldChar w:fldCharType="end"/>
      </w:r>
    </w:p>
    <w:p>
      <w:pPr>
        <w:pStyle w:val="TOC8"/>
        <w:rPr>
          <w:rFonts w:asciiTheme="minorHAnsi" w:eastAsiaTheme="minorEastAsia" w:hAnsiTheme="minorHAnsi" w:cstheme="minorBidi"/>
          <w:szCs w:val="22"/>
        </w:rPr>
      </w:pPr>
      <w:r>
        <w:t>29A.</w:t>
      </w:r>
      <w:r>
        <w:tab/>
        <w:t xml:space="preserve">Abandoned vehicle wrecks, value etc. prescribed for </w:t>
      </w:r>
      <w:r>
        <w:rPr>
          <w:snapToGrid w:val="0"/>
        </w:rPr>
        <w:t>(Act </w:t>
      </w:r>
      <w:r>
        <w:t>s. 3.40A(5)(c))</w:t>
      </w:r>
      <w:r>
        <w:tab/>
      </w:r>
      <w:r>
        <w:fldChar w:fldCharType="begin"/>
      </w:r>
      <w:r>
        <w:instrText xml:space="preserve"> PAGEREF _Toc32304079 \h </w:instrText>
      </w:r>
      <w:r>
        <w:fldChar w:fldCharType="separate"/>
      </w:r>
      <w:r>
        <w:t>34</w:t>
      </w:r>
      <w:r>
        <w:fldChar w:fldCharType="end"/>
      </w:r>
    </w:p>
    <w:p>
      <w:pPr>
        <w:pStyle w:val="TOC8"/>
        <w:rPr>
          <w:rFonts w:asciiTheme="minorHAnsi" w:eastAsiaTheme="minorEastAsia" w:hAnsiTheme="minorHAnsi" w:cstheme="minorBidi"/>
          <w:szCs w:val="22"/>
        </w:rPr>
      </w:pPr>
      <w:r>
        <w:t>29B.</w:t>
      </w:r>
      <w:r>
        <w:tab/>
        <w:t>Prescribed non</w:t>
      </w:r>
      <w:r>
        <w:noBreakHyphen/>
        <w:t xml:space="preserve">perishable goods </w:t>
      </w:r>
      <w:r>
        <w:rPr>
          <w:snapToGrid w:val="0"/>
        </w:rPr>
        <w:t>(Act </w:t>
      </w:r>
      <w:r>
        <w:t>s. 3.47(2b)(ca))</w:t>
      </w:r>
      <w:r>
        <w:tab/>
      </w:r>
      <w:r>
        <w:fldChar w:fldCharType="begin"/>
      </w:r>
      <w:r>
        <w:instrText xml:space="preserve"> PAGEREF _Toc32304080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Dispositions of property excluded from Act s. 3.58</w:t>
      </w:r>
      <w:r>
        <w:tab/>
      </w:r>
      <w:r>
        <w:fldChar w:fldCharType="begin"/>
      </w:r>
      <w:r>
        <w:instrText xml:space="preserve"> PAGEREF _Toc32304081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Anti</w:t>
      </w:r>
      <w:r>
        <w:rPr>
          <w:snapToGrid w:val="0"/>
        </w:rPr>
        <w:noBreakHyphen/>
        <w:t>avoidance provision for Act s. 3.58</w:t>
      </w:r>
      <w:r>
        <w:tab/>
      </w:r>
      <w:r>
        <w:fldChar w:fldCharType="begin"/>
      </w:r>
      <w:r>
        <w:instrText xml:space="preserve"> PAGEREF _Toc32304082 \h </w:instrText>
      </w:r>
      <w:r>
        <w:fldChar w:fldCharType="separate"/>
      </w:r>
      <w:r>
        <w:t>37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Local government permitted to form incorporated association (Act s. </w:t>
      </w:r>
      <w:r>
        <w:t>3</w:t>
      </w:r>
      <w:r>
        <w:rPr>
          <w:snapToGrid w:val="0"/>
        </w:rPr>
        <w:t>.60)</w:t>
      </w:r>
      <w:r>
        <w:tab/>
      </w:r>
      <w:r>
        <w:fldChar w:fldCharType="begin"/>
      </w:r>
      <w:r>
        <w:instrText xml:space="preserve"> PAGEREF _Toc32304083 \h </w:instrText>
      </w:r>
      <w:r>
        <w:fldChar w:fldCharType="separate"/>
      </w:r>
      <w:r>
        <w:t>38</w:t>
      </w:r>
      <w:r>
        <w:fldChar w:fldCharType="end"/>
      </w:r>
    </w:p>
    <w:p>
      <w:pPr>
        <w:pStyle w:val="TOC8"/>
        <w:rPr>
          <w:rFonts w:asciiTheme="minorHAnsi" w:eastAsiaTheme="minorEastAsia" w:hAnsiTheme="minorHAnsi" w:cstheme="minorBidi"/>
          <w:szCs w:val="22"/>
        </w:rPr>
      </w:pPr>
      <w:r>
        <w:t>32A.</w:t>
      </w:r>
      <w:r>
        <w:tab/>
        <w:t xml:space="preserve">Excluded authorisations </w:t>
      </w:r>
      <w:r>
        <w:rPr>
          <w:snapToGrid w:val="0"/>
        </w:rPr>
        <w:t>(Act </w:t>
      </w:r>
      <w:r>
        <w:t>s. 9.2)</w:t>
      </w:r>
      <w:r>
        <w:tab/>
      </w:r>
      <w:r>
        <w:fldChar w:fldCharType="begin"/>
      </w:r>
      <w:r>
        <w:instrText xml:space="preserve"> PAGEREF _Toc32304084 \h </w:instrText>
      </w:r>
      <w:r>
        <w:fldChar w:fldCharType="separate"/>
      </w:r>
      <w:r>
        <w:t>38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Objections to decisions, form of etc. prescribed (Act s. 9.5)</w:t>
      </w:r>
      <w:r>
        <w:tab/>
      </w:r>
      <w:r>
        <w:fldChar w:fldCharType="begin"/>
      </w:r>
      <w:r>
        <w:instrText xml:space="preserve"> PAGEREF _Toc32304085 \h </w:instrText>
      </w:r>
      <w:r>
        <w:fldChar w:fldCharType="separate"/>
      </w:r>
      <w:r>
        <w:t>39</w:t>
      </w:r>
      <w:r>
        <w:fldChar w:fldCharType="end"/>
      </w:r>
    </w:p>
    <w:p>
      <w:pPr>
        <w:pStyle w:val="TOC8"/>
        <w:rPr>
          <w:rFonts w:asciiTheme="minorHAnsi" w:eastAsiaTheme="minorEastAsia" w:hAnsiTheme="minorHAnsi" w:cstheme="minorBidi"/>
          <w:szCs w:val="22"/>
        </w:rPr>
      </w:pPr>
      <w:r>
        <w:t>34.</w:t>
      </w:r>
      <w:r>
        <w:tab/>
        <w:t>Common seal, unauthorised use of</w:t>
      </w:r>
      <w:r>
        <w:tab/>
      </w:r>
      <w:r>
        <w:fldChar w:fldCharType="begin"/>
      </w:r>
      <w:r>
        <w:instrText xml:space="preserve"> PAGEREF _Toc32304086 \h </w:instrText>
      </w:r>
      <w:r>
        <w:fldChar w:fldCharType="separate"/>
      </w:r>
      <w:r>
        <w:t>39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Certain persons protected from liability for wrongdoing (Act s. </w:t>
      </w:r>
      <w:r>
        <w:t>9</w:t>
      </w:r>
      <w:r>
        <w:rPr>
          <w:snapToGrid w:val="0"/>
        </w:rPr>
        <w:t>.56(1)(c))</w:t>
      </w:r>
      <w:r>
        <w:tab/>
      </w:r>
      <w:r>
        <w:fldChar w:fldCharType="begin"/>
      </w:r>
      <w:r>
        <w:instrText xml:space="preserve"> PAGEREF _Toc32304087 \h </w:instrText>
      </w:r>
      <w:r>
        <w:fldChar w:fldCharType="separate"/>
      </w:r>
      <w:r>
        <w:t>39</w:t>
      </w:r>
      <w:r>
        <w:fldChar w:fldCharType="end"/>
      </w:r>
    </w:p>
    <w:p>
      <w:pPr>
        <w:pStyle w:val="TOC8"/>
        <w:rPr>
          <w:rFonts w:asciiTheme="minorHAnsi" w:eastAsiaTheme="minorEastAsia" w:hAnsiTheme="minorHAnsi" w:cstheme="minorBidi"/>
          <w:szCs w:val="22"/>
        </w:rPr>
      </w:pPr>
      <w:r>
        <w:t>35A.</w:t>
      </w:r>
      <w:r>
        <w:tab/>
        <w:t xml:space="preserve">Delegable functions of Minister </w:t>
      </w:r>
      <w:r>
        <w:rPr>
          <w:snapToGrid w:val="0"/>
        </w:rPr>
        <w:t>(Act </w:t>
      </w:r>
      <w:r>
        <w:t>s. 9.66)</w:t>
      </w:r>
      <w:r>
        <w:tab/>
      </w:r>
      <w:r>
        <w:fldChar w:fldCharType="begin"/>
      </w:r>
      <w:r>
        <w:instrText xml:space="preserve"> PAGEREF _Toc32304088 \h </w:instrText>
      </w:r>
      <w:r>
        <w:fldChar w:fldCharType="separate"/>
      </w:r>
      <w:r>
        <w:t>40</w:t>
      </w:r>
      <w:r>
        <w:fldChar w:fldCharType="end"/>
      </w:r>
    </w:p>
    <w:p>
      <w:pPr>
        <w:pStyle w:val="TOC8"/>
        <w:rPr>
          <w:rFonts w:asciiTheme="minorHAnsi" w:eastAsiaTheme="minorEastAsia" w:hAnsiTheme="minorHAnsi" w:cstheme="minorBidi"/>
          <w:szCs w:val="22"/>
        </w:rPr>
      </w:pPr>
      <w:r>
        <w:t>35B.</w:t>
      </w:r>
      <w:r>
        <w:tab/>
        <w:t>Delegable functions of Departmental CEO (Act s. 9.67)</w:t>
      </w:r>
      <w:r>
        <w:tab/>
      </w:r>
      <w:r>
        <w:fldChar w:fldCharType="begin"/>
      </w:r>
      <w:r>
        <w:instrText xml:space="preserve"> PAGEREF _Toc32304089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to enter, form of (Act s. 3.33(1) and 8.8(1))</w:t>
      </w:r>
      <w:r>
        <w:tab/>
      </w:r>
      <w:r>
        <w:fldChar w:fldCharType="begin"/>
      </w:r>
      <w:r>
        <w:instrText xml:space="preserve"> PAGEREF _Toc32304090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Other transitional provisions</w:t>
      </w:r>
    </w:p>
    <w:p>
      <w:pPr>
        <w:pStyle w:val="TOC8"/>
        <w:rPr>
          <w:rFonts w:asciiTheme="minorHAnsi" w:eastAsiaTheme="minorEastAsia" w:hAnsiTheme="minorHAnsi" w:cstheme="minorBidi"/>
          <w:szCs w:val="22"/>
        </w:rPr>
      </w:pPr>
      <w:r>
        <w:t>38.</w:t>
      </w:r>
      <w:r>
        <w:rPr>
          <w:snapToGrid w:val="0"/>
        </w:rPr>
        <w:tab/>
        <w:t>Adopting former model by</w:t>
      </w:r>
      <w:r>
        <w:rPr>
          <w:snapToGrid w:val="0"/>
        </w:rPr>
        <w:noBreakHyphen/>
        <w:t>laws as local laws (Act s. 3.8(2) and (3))</w:t>
      </w:r>
      <w:r>
        <w:tab/>
      </w:r>
      <w:r>
        <w:fldChar w:fldCharType="begin"/>
      </w:r>
      <w:r>
        <w:instrText xml:space="preserve"> PAGEREF _Toc32304092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_Toc32304095 \h </w:instrText>
      </w:r>
      <w:r>
        <w:fldChar w:fldCharType="separate"/>
      </w:r>
      <w:r>
        <w:t>49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_Toc32304096 \h </w:instrText>
      </w:r>
      <w:r>
        <w:fldChar w:fldCharType="separate"/>
      </w:r>
      <w:r>
        <w:t>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_Toc32304097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3" w:name="_Toc32304019"/>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32304020"/>
      <w:r>
        <w:rPr>
          <w:rStyle w:val="CharSectno"/>
        </w:rPr>
        <w:t>1</w:t>
      </w:r>
      <w:r>
        <w:rPr>
          <w:snapToGrid w:val="0"/>
        </w:rPr>
        <w:t>.</w:t>
      </w:r>
      <w:r>
        <w:rPr>
          <w:snapToGrid w:val="0"/>
        </w:rPr>
        <w:tab/>
        <w:t>Citation</w:t>
      </w:r>
      <w:bookmarkEnd w:id="4"/>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5" w:name="_Toc32304021"/>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come into operation on 1 July 1996.</w:t>
      </w:r>
    </w:p>
    <w:p>
      <w:pPr>
        <w:pStyle w:val="Heading2"/>
      </w:pPr>
      <w:bookmarkStart w:id="6" w:name="_Toc32304022"/>
      <w:r>
        <w:rPr>
          <w:rStyle w:val="CharPartNo"/>
        </w:rPr>
        <w:t>Part 1A</w:t>
      </w:r>
      <w:r>
        <w:rPr>
          <w:rStyle w:val="CharDivNo"/>
        </w:rPr>
        <w:t> </w:t>
      </w:r>
      <w:r>
        <w:rPr>
          <w:rStyle w:val="CharPartNo"/>
        </w:rPr>
        <w:t>—</w:t>
      </w:r>
      <w:r>
        <w:rPr>
          <w:rStyle w:val="CharDivText"/>
        </w:rPr>
        <w:t> </w:t>
      </w:r>
      <w:r>
        <w:rPr>
          <w:rStyle w:val="CharPartText"/>
        </w:rPr>
        <w:t>Local laws</w:t>
      </w:r>
      <w:bookmarkEnd w:id="6"/>
    </w:p>
    <w:p>
      <w:pPr>
        <w:pStyle w:val="Footnoteheading"/>
      </w:pPr>
      <w:r>
        <w:tab/>
        <w:t>[Heading inserted: Gazette 11 Sep 1998 p. 4927.]</w:t>
      </w:r>
    </w:p>
    <w:p>
      <w:pPr>
        <w:pStyle w:val="Heading5"/>
      </w:pPr>
      <w:bookmarkStart w:id="7" w:name="_Toc32304023"/>
      <w:r>
        <w:rPr>
          <w:rStyle w:val="CharSectno"/>
        </w:rPr>
        <w:t>2A</w:t>
      </w:r>
      <w:r>
        <w:t>.</w:t>
      </w:r>
      <w:r>
        <w:tab/>
        <w:t>Matters about which local laws are not to be made (Act s. 3.5)</w:t>
      </w:r>
      <w:bookmarkEnd w:id="7"/>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8" w:name="_Toc32304024"/>
      <w:r>
        <w:rPr>
          <w:rStyle w:val="CharSectno"/>
        </w:rPr>
        <w:t>3</w:t>
      </w:r>
      <w:r>
        <w:t>.</w:t>
      </w:r>
      <w:r>
        <w:tab/>
        <w:t xml:space="preserve">Prescribed manner of giving notice of purpose and effect of proposed local law </w:t>
      </w:r>
      <w:r>
        <w:rPr>
          <w:snapToGrid w:val="0"/>
        </w:rPr>
        <w:t>(Act </w:t>
      </w:r>
      <w:r>
        <w:t>s. 3.12(2))</w:t>
      </w:r>
      <w:bookmarkEnd w:id="8"/>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9" w:name="_Toc32304025"/>
      <w:r>
        <w:rPr>
          <w:rStyle w:val="CharPartNo"/>
        </w:rPr>
        <w:t>Part 2</w:t>
      </w:r>
      <w:r>
        <w:rPr>
          <w:rStyle w:val="CharDivNo"/>
        </w:rPr>
        <w:t> </w:t>
      </w:r>
      <w:r>
        <w:t>—</w:t>
      </w:r>
      <w:r>
        <w:rPr>
          <w:rStyle w:val="CharDivText"/>
        </w:rPr>
        <w:t> </w:t>
      </w:r>
      <w:r>
        <w:rPr>
          <w:rStyle w:val="CharPartText"/>
        </w:rPr>
        <w:t>Thoroughfares</w:t>
      </w:r>
      <w:bookmarkEnd w:id="9"/>
    </w:p>
    <w:p>
      <w:pPr>
        <w:pStyle w:val="Heading5"/>
        <w:rPr>
          <w:snapToGrid w:val="0"/>
        </w:rPr>
      </w:pPr>
      <w:bookmarkStart w:id="10" w:name="_Toc32304026"/>
      <w:r>
        <w:rPr>
          <w:rStyle w:val="CharSectno"/>
        </w:rPr>
        <w:t>4</w:t>
      </w:r>
      <w:r>
        <w:rPr>
          <w:snapToGrid w:val="0"/>
        </w:rPr>
        <w:t>.</w:t>
      </w:r>
      <w:r>
        <w:rPr>
          <w:snapToGrid w:val="0"/>
        </w:rPr>
        <w:tab/>
        <w:t>Persons prescribed to be notified of road closure (Act s. 3.50)</w:t>
      </w:r>
      <w:bookmarkEnd w:id="10"/>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11" w:name="_Toc32304027"/>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11"/>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12" w:name="_Toc32304028"/>
      <w:r>
        <w:rPr>
          <w:rStyle w:val="CharSectno"/>
        </w:rPr>
        <w:t>6</w:t>
      </w:r>
      <w:r>
        <w:rPr>
          <w:snapToGrid w:val="0"/>
        </w:rPr>
        <w:t>.</w:t>
      </w:r>
      <w:r>
        <w:rPr>
          <w:snapToGrid w:val="0"/>
        </w:rPr>
        <w:tab/>
        <w:t>Transitional provisions about road closures</w:t>
      </w:r>
      <w:bookmarkEnd w:id="12"/>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13" w:name="_Toc32304029"/>
      <w:r>
        <w:rPr>
          <w:rStyle w:val="CharPartNo"/>
        </w:rPr>
        <w:t>Part 3</w:t>
      </w:r>
      <w:r>
        <w:rPr>
          <w:rStyle w:val="CharDivNo"/>
        </w:rPr>
        <w:t> </w:t>
      </w:r>
      <w:r>
        <w:t>—</w:t>
      </w:r>
      <w:r>
        <w:rPr>
          <w:rStyle w:val="CharDivText"/>
        </w:rPr>
        <w:t> </w:t>
      </w:r>
      <w:r>
        <w:rPr>
          <w:rStyle w:val="CharPartText"/>
        </w:rPr>
        <w:t>Commercial enterprises by local governments (s. 3.59)</w:t>
      </w:r>
      <w:bookmarkEnd w:id="13"/>
    </w:p>
    <w:p>
      <w:pPr>
        <w:pStyle w:val="Heading5"/>
      </w:pPr>
      <w:bookmarkStart w:id="14" w:name="_Toc32304030"/>
      <w:r>
        <w:rPr>
          <w:rStyle w:val="CharSectno"/>
        </w:rPr>
        <w:t>7</w:t>
      </w:r>
      <w:r>
        <w:t>.</w:t>
      </w:r>
      <w:r>
        <w:tab/>
        <w:t>Term used: major regional centre</w:t>
      </w:r>
      <w:bookmarkEnd w:id="14"/>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15" w:name="_Toc32304031"/>
      <w:r>
        <w:rPr>
          <w:rStyle w:val="CharSectno"/>
        </w:rPr>
        <w:t>8A</w:t>
      </w:r>
      <w:r>
        <w:t>.</w:t>
      </w:r>
      <w:r>
        <w:tab/>
        <w:t xml:space="preserve">Amount prescribed for major land transactions; exempt land transactions prescribed </w:t>
      </w:r>
      <w:r>
        <w:rPr>
          <w:snapToGrid w:val="0"/>
        </w:rPr>
        <w:t>(Act </w:t>
      </w:r>
      <w:r>
        <w:t>s. 3.59)</w:t>
      </w:r>
      <w:bookmarkEnd w:id="15"/>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16" w:name="_Toc32304032"/>
      <w:r>
        <w:rPr>
          <w:rStyle w:val="CharSectno"/>
        </w:rPr>
        <w:t>8</w:t>
      </w:r>
      <w:r>
        <w:rPr>
          <w:snapToGrid w:val="0"/>
        </w:rPr>
        <w:t>.</w:t>
      </w:r>
      <w:r>
        <w:rPr>
          <w:snapToGrid w:val="0"/>
        </w:rPr>
        <w:tab/>
        <w:t>Exempt land transactions prescribed (Act s. 3.59)</w:t>
      </w:r>
      <w:bookmarkEnd w:id="16"/>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17" w:name="_Toc32304033"/>
      <w:r>
        <w:rPr>
          <w:rStyle w:val="CharSectno"/>
        </w:rPr>
        <w:t>9</w:t>
      </w:r>
      <w:r>
        <w:rPr>
          <w:snapToGrid w:val="0"/>
        </w:rPr>
        <w:t>.</w:t>
      </w:r>
      <w:r>
        <w:rPr>
          <w:snapToGrid w:val="0"/>
        </w:rPr>
        <w:tab/>
        <w:t>Amount prescribed for major trading undertakings; exempt trading undertakings prescribed (Act s. 3.59)</w:t>
      </w:r>
      <w:bookmarkEnd w:id="17"/>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18" w:name="_Toc32304034"/>
      <w:r>
        <w:rPr>
          <w:rStyle w:val="CharSectno"/>
        </w:rPr>
        <w:t>10</w:t>
      </w:r>
      <w:r>
        <w:rPr>
          <w:snapToGrid w:val="0"/>
        </w:rPr>
        <w:t>.</w:t>
      </w:r>
      <w:r>
        <w:rPr>
          <w:snapToGrid w:val="0"/>
        </w:rPr>
        <w:tab/>
        <w:t>Business plans for major trading undertaking and major land transaction, content of</w:t>
      </w:r>
      <w:bookmarkEnd w:id="18"/>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19" w:name="_Toc32304035"/>
      <w:r>
        <w:rPr>
          <w:rStyle w:val="CharPartNo"/>
        </w:rPr>
        <w:t>Part 4</w:t>
      </w:r>
      <w:r>
        <w:rPr>
          <w:b w:val="0"/>
        </w:rPr>
        <w:t> </w:t>
      </w:r>
      <w:r>
        <w:t>—</w:t>
      </w:r>
      <w:r>
        <w:rPr>
          <w:b w:val="0"/>
        </w:rPr>
        <w:t> </w:t>
      </w:r>
      <w:r>
        <w:rPr>
          <w:rStyle w:val="CharPartText"/>
        </w:rPr>
        <w:t>Provision of goods and services</w:t>
      </w:r>
      <w:bookmarkEnd w:id="19"/>
    </w:p>
    <w:p>
      <w:pPr>
        <w:pStyle w:val="Footnoteheading"/>
      </w:pPr>
      <w:r>
        <w:tab/>
        <w:t>[Heading inserted: Gazette 2 Feb 2007 p. 244.]</w:t>
      </w:r>
    </w:p>
    <w:p>
      <w:pPr>
        <w:pStyle w:val="Heading3"/>
      </w:pPr>
      <w:bookmarkStart w:id="20" w:name="_Toc32304036"/>
      <w:r>
        <w:rPr>
          <w:rStyle w:val="CharDivNo"/>
        </w:rPr>
        <w:t>Division 1</w:t>
      </w:r>
      <w:r>
        <w:t> — </w:t>
      </w:r>
      <w:r>
        <w:rPr>
          <w:rStyle w:val="CharDivText"/>
        </w:rPr>
        <w:t>Purchasing policies</w:t>
      </w:r>
      <w:bookmarkEnd w:id="20"/>
    </w:p>
    <w:p>
      <w:pPr>
        <w:pStyle w:val="Footnoteheading"/>
      </w:pPr>
      <w:r>
        <w:tab/>
        <w:t>[Heading inserted: Gazette 2 Feb 2007 p. 244.]</w:t>
      </w:r>
    </w:p>
    <w:p>
      <w:pPr>
        <w:pStyle w:val="Heading5"/>
      </w:pPr>
      <w:bookmarkStart w:id="21" w:name="_Toc32304037"/>
      <w:r>
        <w:rPr>
          <w:rStyle w:val="CharSectno"/>
        </w:rPr>
        <w:t>11A</w:t>
      </w:r>
      <w:r>
        <w:t>.</w:t>
      </w:r>
      <w:r>
        <w:tab/>
        <w:t>Purchasing policies for local governments</w:t>
      </w:r>
      <w:bookmarkEnd w:id="21"/>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$150 000 or less or worth $150 000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w:t>
      </w:r>
    </w:p>
    <w:p>
      <w:pPr>
        <w:pStyle w:val="Heading3"/>
      </w:pPr>
      <w:bookmarkStart w:id="22" w:name="_Toc32304038"/>
      <w:r>
        <w:rPr>
          <w:rStyle w:val="CharDivNo"/>
        </w:rPr>
        <w:t>Division 2</w:t>
      </w:r>
      <w:r>
        <w:t> — </w:t>
      </w:r>
      <w:r>
        <w:rPr>
          <w:rStyle w:val="CharDivText"/>
        </w:rPr>
        <w:t>Tenders for providing goods or services (s. 3.57)</w:t>
      </w:r>
      <w:bookmarkEnd w:id="22"/>
    </w:p>
    <w:p>
      <w:pPr>
        <w:pStyle w:val="Footnoteheading"/>
      </w:pPr>
      <w:r>
        <w:tab/>
        <w:t>[Heading inserted: Gazette 2 Feb 2007 p. 245.]</w:t>
      </w:r>
    </w:p>
    <w:p>
      <w:pPr>
        <w:pStyle w:val="Heading5"/>
        <w:rPr>
          <w:snapToGrid w:val="0"/>
        </w:rPr>
      </w:pPr>
      <w:bookmarkStart w:id="23" w:name="_Toc32304039"/>
      <w:r>
        <w:rPr>
          <w:rStyle w:val="CharSectno"/>
        </w:rPr>
        <w:t>11</w:t>
      </w:r>
      <w:r>
        <w:rPr>
          <w:snapToGrid w:val="0"/>
        </w:rPr>
        <w:t>.</w:t>
      </w:r>
      <w:r>
        <w:rPr>
          <w:snapToGrid w:val="0"/>
        </w:rPr>
        <w:tab/>
        <w:t>When tenders have to be publicly invited</w:t>
      </w:r>
      <w:bookmarkEnd w:id="23"/>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$150 000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pPr>
      <w:r>
        <w:tab/>
        <w:t>(ii)</w:t>
      </w:r>
      <w:r>
        <w:tab/>
        <w:t>any other liquid, or any gas, used for internal combustion engines;</w:t>
      </w:r>
    </w:p>
    <w:p>
      <w:pPr>
        <w:pStyle w:val="Indenta"/>
      </w:pPr>
      <w:r>
        <w:tab/>
      </w:r>
      <w:r>
        <w:tab/>
        <w:t>or</w:t>
      </w:r>
    </w:p>
    <w:p>
      <w:pPr>
        <w:pStyle w:val="Indenta"/>
      </w:pPr>
      <w:r>
        <w:tab/>
        <w:t>(h)</w:t>
      </w:r>
      <w:r>
        <w:tab/>
        <w:t xml:space="preserve">the following apply — </w:t>
      </w:r>
    </w:p>
    <w:p>
      <w:pPr>
        <w:pStyle w:val="Indenti"/>
      </w:pPr>
      <w:r>
        <w:tab/>
        <w:t>(i)</w:t>
      </w:r>
      <w:r>
        <w:tab/>
        <w:t xml:space="preserve">the goods or services are to be supplied by a person registered on the Aboriginal Business Directory WA published by the Small Business Development Corporation established under the </w:t>
      </w:r>
      <w:r>
        <w:rPr>
          <w:i/>
        </w:rPr>
        <w:t>Small Business Development Corporation Act 1983</w:t>
      </w:r>
      <w:r>
        <w:t>; and</w:t>
      </w:r>
    </w:p>
    <w:p>
      <w:pPr>
        <w:pStyle w:val="Indenti"/>
      </w:pPr>
      <w:r>
        <w:tab/>
        <w:t>(ii)</w:t>
      </w:r>
      <w:r>
        <w:tab/>
        <w:t>the consideration under the contract is $250 000 or less, or worth $250 000 or less; and</w:t>
      </w:r>
    </w:p>
    <w:p>
      <w:pPr>
        <w:pStyle w:val="Indenti"/>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rPr>
          <w:snapToGrid w:val="0"/>
        </w:rPr>
      </w:pPr>
      <w:r>
        <w:tab/>
        <w:t>(k)</w:t>
      </w:r>
      <w:r>
        <w:tab/>
        <w:t>the goods or services are to be supplied by a pre</w:t>
      </w:r>
      <w:r>
        <w:noBreakHyphen/>
        <w:t>qualified supplier under Division 3.</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w:t>
      </w:r>
    </w:p>
    <w:p>
      <w:pPr>
        <w:pStyle w:val="Heading5"/>
      </w:pPr>
      <w:bookmarkStart w:id="24" w:name="_Toc32304040"/>
      <w:r>
        <w:rPr>
          <w:rStyle w:val="CharSectno"/>
        </w:rPr>
        <w:t>12</w:t>
      </w:r>
      <w:r>
        <w:t>.</w:t>
      </w:r>
      <w:r>
        <w:tab/>
        <w:t>Anti</w:t>
      </w:r>
      <w:r>
        <w:noBreakHyphen/>
        <w:t>avoidance provision for r. 11(1)</w:t>
      </w:r>
      <w:bookmarkEnd w:id="24"/>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25" w:name="_Toc32304041"/>
      <w:r>
        <w:rPr>
          <w:rStyle w:val="CharSectno"/>
        </w:rPr>
        <w:t>13</w:t>
      </w:r>
      <w:r>
        <w:rPr>
          <w:snapToGrid w:val="0"/>
        </w:rPr>
        <w:t>.</w:t>
      </w:r>
      <w:r>
        <w:rPr>
          <w:snapToGrid w:val="0"/>
        </w:rPr>
        <w:tab/>
        <w:t>Requirements when local government invites tenders though not required to do so</w:t>
      </w:r>
      <w:bookmarkEnd w:id="25"/>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26" w:name="_Toc32304042"/>
      <w:r>
        <w:rPr>
          <w:rStyle w:val="CharSectno"/>
        </w:rPr>
        <w:t>14</w:t>
      </w:r>
      <w:r>
        <w:rPr>
          <w:snapToGrid w:val="0"/>
        </w:rPr>
        <w:t>.</w:t>
      </w:r>
      <w:r>
        <w:rPr>
          <w:snapToGrid w:val="0"/>
        </w:rPr>
        <w:tab/>
        <w:t>Publicly inviting tenders, requirements for</w:t>
      </w:r>
      <w:bookmarkEnd w:id="26"/>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27" w:name="_Toc32304043"/>
      <w:r>
        <w:rPr>
          <w:rStyle w:val="CharSectno"/>
        </w:rPr>
        <w:t>15</w:t>
      </w:r>
      <w:r>
        <w:t>.</w:t>
      </w:r>
      <w:r>
        <w:tab/>
      </w:r>
      <w:r>
        <w:rPr>
          <w:snapToGrid w:val="0"/>
        </w:rPr>
        <w:t>Minimum time to be allowed for submitting tenders</w:t>
      </w:r>
      <w:bookmarkEnd w:id="27"/>
    </w:p>
    <w:p>
      <w:pPr>
        <w:pStyle w:val="Subsection"/>
      </w:pPr>
      <w:r>
        <w:tab/>
        <w:t>(1)</w:t>
      </w:r>
      <w:r>
        <w:tab/>
        <w:t>If a notice under regulation 14(1) is given, the date and time referred to in regulation 14(3)(d) has to be at least 14 days after the notice is first published in the newspaper circulating generally throughout the State.</w:t>
      </w:r>
    </w:p>
    <w:p>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w:t>
      </w:r>
    </w:p>
    <w:p>
      <w:pPr>
        <w:pStyle w:val="Heading5"/>
        <w:rPr>
          <w:snapToGrid w:val="0"/>
        </w:rPr>
      </w:pPr>
      <w:bookmarkStart w:id="28" w:name="_Toc32304044"/>
      <w:r>
        <w:rPr>
          <w:rStyle w:val="CharSectno"/>
        </w:rPr>
        <w:t>16</w:t>
      </w:r>
      <w:r>
        <w:rPr>
          <w:snapToGrid w:val="0"/>
        </w:rPr>
        <w:t>.</w:t>
      </w:r>
      <w:r>
        <w:rPr>
          <w:snapToGrid w:val="0"/>
        </w:rPr>
        <w:tab/>
        <w:t>Receiving and opening tenders, procedure for</w:t>
      </w:r>
      <w:bookmarkEnd w:id="28"/>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pPr>
      <w:r>
        <w:tab/>
        <w:t>(a)</w:t>
      </w:r>
      <w:r>
        <w:tab/>
        <w:t xml:space="preserve">there must be present — </w:t>
      </w:r>
    </w:p>
    <w:p>
      <w:pPr>
        <w:pStyle w:val="Indenti"/>
      </w:pPr>
      <w:r>
        <w:tab/>
        <w:t>(i)</w:t>
      </w:r>
      <w:r>
        <w:tab/>
        <w:t>at least 2 employees of the local government; or</w:t>
      </w:r>
    </w:p>
    <w:p>
      <w:pPr>
        <w:pStyle w:val="Indenti"/>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29" w:name="_Toc32304045"/>
      <w:r>
        <w:rPr>
          <w:rStyle w:val="CharSectno"/>
        </w:rPr>
        <w:t>17</w:t>
      </w:r>
      <w:r>
        <w:rPr>
          <w:snapToGrid w:val="0"/>
        </w:rPr>
        <w:t>.</w:t>
      </w:r>
      <w:r>
        <w:rPr>
          <w:snapToGrid w:val="0"/>
        </w:rPr>
        <w:tab/>
        <w:t>Tenders register</w:t>
      </w:r>
      <w:bookmarkEnd w:id="29"/>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w:t>
      </w:r>
    </w:p>
    <w:p>
      <w:pPr>
        <w:pStyle w:val="Heading5"/>
        <w:rPr>
          <w:snapToGrid w:val="0"/>
        </w:rPr>
      </w:pPr>
      <w:bookmarkStart w:id="30" w:name="_Toc32304046"/>
      <w:r>
        <w:rPr>
          <w:rStyle w:val="CharSectno"/>
        </w:rPr>
        <w:t>18</w:t>
      </w:r>
      <w:r>
        <w:rPr>
          <w:snapToGrid w:val="0"/>
        </w:rPr>
        <w:t>.</w:t>
      </w:r>
      <w:r>
        <w:rPr>
          <w:snapToGrid w:val="0"/>
        </w:rPr>
        <w:tab/>
        <w:t>Rejecting and accepting tenders</w:t>
      </w:r>
      <w:bookmarkEnd w:id="30"/>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31" w:name="_Toc32304047"/>
      <w:r>
        <w:rPr>
          <w:rStyle w:val="CharSectno"/>
        </w:rPr>
        <w:t>19</w:t>
      </w:r>
      <w:r>
        <w:rPr>
          <w:snapToGrid w:val="0"/>
        </w:rPr>
        <w:t>.</w:t>
      </w:r>
      <w:r>
        <w:rPr>
          <w:snapToGrid w:val="0"/>
        </w:rPr>
        <w:tab/>
        <w:t>Tenderers to be notified of outcome</w:t>
      </w:r>
      <w:bookmarkEnd w:id="31"/>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32" w:name="_Toc32304048"/>
      <w:r>
        <w:rPr>
          <w:rStyle w:val="CharSectno"/>
        </w:rPr>
        <w:t>20</w:t>
      </w:r>
      <w:r>
        <w:rPr>
          <w:snapToGrid w:val="0"/>
        </w:rPr>
        <w:t>.</w:t>
      </w:r>
      <w:r>
        <w:rPr>
          <w:snapToGrid w:val="0"/>
        </w:rPr>
        <w:tab/>
        <w:t>Variation of requirements before entry into contract</w:t>
      </w:r>
      <w:bookmarkEnd w:id="32"/>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33" w:name="_Toc32304049"/>
      <w:r>
        <w:rPr>
          <w:rStyle w:val="CharSectno"/>
        </w:rPr>
        <w:t>21A</w:t>
      </w:r>
      <w:r>
        <w:t>.</w:t>
      </w:r>
      <w:r>
        <w:tab/>
        <w:t>Varying a contract for the supply of goods or services</w:t>
      </w:r>
      <w:bookmarkEnd w:id="33"/>
    </w:p>
    <w:p>
      <w:pPr>
        <w:pStyle w:val="Subsection"/>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pPr>
      <w:r>
        <w:tab/>
        <w:t>(b)</w:t>
      </w:r>
      <w:r>
        <w:tab/>
        <w:t>the variation is a renewal or extension of the term of the contract as described in regulation 11(2)(j).</w:t>
      </w:r>
    </w:p>
    <w:p>
      <w:pPr>
        <w:pStyle w:val="Footnotesection"/>
      </w:pPr>
      <w:r>
        <w:tab/>
        <w:t xml:space="preserve">[Regulation 21A inserted: Gazette 18 Sep 2015 p. 3807.] </w:t>
      </w:r>
    </w:p>
    <w:p>
      <w:pPr>
        <w:pStyle w:val="Heading5"/>
        <w:rPr>
          <w:snapToGrid w:val="0"/>
        </w:rPr>
      </w:pPr>
      <w:bookmarkStart w:id="34" w:name="_Toc32304050"/>
      <w:r>
        <w:rPr>
          <w:rStyle w:val="CharSectno"/>
        </w:rPr>
        <w:t>21</w:t>
      </w:r>
      <w:r>
        <w:rPr>
          <w:snapToGrid w:val="0"/>
        </w:rPr>
        <w:t>.</w:t>
      </w:r>
      <w:r>
        <w:rPr>
          <w:snapToGrid w:val="0"/>
        </w:rPr>
        <w:tab/>
        <w:t>Limiting who can tender, procedure for</w:t>
      </w:r>
      <w:bookmarkEnd w:id="34"/>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35" w:name="_Toc32304051"/>
      <w:r>
        <w:rPr>
          <w:rStyle w:val="CharSectno"/>
        </w:rPr>
        <w:t>22</w:t>
      </w:r>
      <w:r>
        <w:rPr>
          <w:snapToGrid w:val="0"/>
        </w:rPr>
        <w:t>.</w:t>
      </w:r>
      <w:r>
        <w:rPr>
          <w:snapToGrid w:val="0"/>
        </w:rPr>
        <w:tab/>
        <w:t>Minimum time to be allowed for submitting expressions of interest</w:t>
      </w:r>
      <w:bookmarkEnd w:id="35"/>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36" w:name="_Toc32304052"/>
      <w:r>
        <w:rPr>
          <w:rStyle w:val="CharSectno"/>
        </w:rPr>
        <w:t>23</w:t>
      </w:r>
      <w:r>
        <w:rPr>
          <w:snapToGrid w:val="0"/>
        </w:rPr>
        <w:t>.</w:t>
      </w:r>
      <w:r>
        <w:rPr>
          <w:snapToGrid w:val="0"/>
        </w:rPr>
        <w:tab/>
        <w:t>Rejecting and accepting expressions of interest to be acceptable tenderer</w:t>
      </w:r>
      <w:bookmarkEnd w:id="36"/>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37" w:name="_Toc32304053"/>
      <w:r>
        <w:rPr>
          <w:rStyle w:val="CharSectno"/>
        </w:rPr>
        <w:t>24</w:t>
      </w:r>
      <w:r>
        <w:rPr>
          <w:snapToGrid w:val="0"/>
        </w:rPr>
        <w:t>.</w:t>
      </w:r>
      <w:r>
        <w:rPr>
          <w:snapToGrid w:val="0"/>
        </w:rPr>
        <w:tab/>
        <w:t>People who submitted expression of interest to be notified of outcome</w:t>
      </w:r>
      <w:bookmarkEnd w:id="37"/>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38" w:name="_Toc32304054"/>
      <w:r>
        <w:rPr>
          <w:rStyle w:val="CharDivNo"/>
        </w:rPr>
        <w:t>Division 3</w:t>
      </w:r>
      <w:r>
        <w:t> — </w:t>
      </w:r>
      <w:r>
        <w:rPr>
          <w:rStyle w:val="CharDivText"/>
        </w:rPr>
        <w:t>Panels of pre</w:t>
      </w:r>
      <w:r>
        <w:rPr>
          <w:rStyle w:val="CharDivText"/>
        </w:rPr>
        <w:noBreakHyphen/>
        <w:t>qualified suppliers</w:t>
      </w:r>
      <w:bookmarkEnd w:id="38"/>
    </w:p>
    <w:p>
      <w:pPr>
        <w:pStyle w:val="Footnoteheading"/>
      </w:pPr>
      <w:r>
        <w:tab/>
        <w:t>[Heading inserted: Gazette 18 Sep 2015 p. 3808.]</w:t>
      </w:r>
    </w:p>
    <w:p>
      <w:pPr>
        <w:pStyle w:val="Heading5"/>
      </w:pPr>
      <w:bookmarkStart w:id="39" w:name="_Toc32304055"/>
      <w:r>
        <w:rPr>
          <w:rStyle w:val="CharSectno"/>
        </w:rPr>
        <w:t>24AA</w:t>
      </w:r>
      <w:r>
        <w:t>.</w:t>
      </w:r>
      <w:r>
        <w:tab/>
        <w:t>Terms used</w:t>
      </w:r>
      <w:bookmarkEnd w:id="39"/>
    </w:p>
    <w:p>
      <w:pPr>
        <w:pStyle w:val="Subsection"/>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40" w:name="_Toc32304056"/>
      <w:r>
        <w:rPr>
          <w:rStyle w:val="CharSectno"/>
        </w:rPr>
        <w:t>24AB</w:t>
      </w:r>
      <w:r>
        <w:t>.</w:t>
      </w:r>
      <w:r>
        <w:tab/>
        <w:t>Local government may establish panels of pre</w:t>
      </w:r>
      <w:r>
        <w:noBreakHyphen/>
        <w:t>qualified suppliers</w:t>
      </w:r>
      <w:bookmarkEnd w:id="40"/>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41" w:name="_Toc32304057"/>
      <w:r>
        <w:rPr>
          <w:rStyle w:val="CharSectno"/>
        </w:rPr>
        <w:t>24AC</w:t>
      </w:r>
      <w:r>
        <w:t>.</w:t>
      </w:r>
      <w:r>
        <w:tab/>
        <w:t>Requirements before establishing panels of pre</w:t>
      </w:r>
      <w:r>
        <w:noBreakHyphen/>
        <w:t>qualified suppliers</w:t>
      </w:r>
      <w:bookmarkEnd w:id="41"/>
    </w:p>
    <w:p>
      <w:pPr>
        <w:pStyle w:val="Subsection"/>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42" w:name="_Toc32304058"/>
      <w:r>
        <w:rPr>
          <w:rStyle w:val="CharSectno"/>
        </w:rPr>
        <w:t>24AD</w:t>
      </w:r>
      <w:r>
        <w:t>.</w:t>
      </w:r>
      <w:r>
        <w:tab/>
        <w:t>Requirements when inviting persons to apply to join panel of pre</w:t>
      </w:r>
      <w:r>
        <w:noBreakHyphen/>
        <w:t>qualified suppliers</w:t>
      </w:r>
      <w:bookmarkEnd w:id="42"/>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43" w:name="_Toc32304059"/>
      <w:r>
        <w:rPr>
          <w:rStyle w:val="CharSectno"/>
        </w:rPr>
        <w:t>24AE</w:t>
      </w:r>
      <w:r>
        <w:t>.</w:t>
      </w:r>
      <w:r>
        <w:tab/>
        <w:t>Minimum time to be allowed for submitting application to join panel of pre</w:t>
      </w:r>
      <w:r>
        <w:noBreakHyphen/>
        <w:t>qualified suppliers</w:t>
      </w:r>
      <w:bookmarkEnd w:id="43"/>
    </w:p>
    <w:p>
      <w:pPr>
        <w:pStyle w:val="Subsection"/>
      </w:pPr>
      <w:r>
        <w:tab/>
      </w:r>
      <w:r>
        <w:tab/>
        <w:t>If notice under regulation 24AD(2) is given, the date and time referred to in regulation 24AD(4)(d) has to be at least 14 days after the notice is first published in the newspaper circulating generally throughout the State.</w:t>
      </w:r>
    </w:p>
    <w:p>
      <w:pPr>
        <w:pStyle w:val="Footnotesection"/>
      </w:pPr>
      <w:r>
        <w:tab/>
        <w:t xml:space="preserve">[Regulation 24AE inserted: Gazette 18 Sep 2015 p. 3810.] </w:t>
      </w:r>
    </w:p>
    <w:p>
      <w:pPr>
        <w:pStyle w:val="Heading5"/>
      </w:pPr>
      <w:bookmarkStart w:id="44" w:name="_Toc32304060"/>
      <w:r>
        <w:rPr>
          <w:rStyle w:val="CharSectno"/>
        </w:rPr>
        <w:t>24AF</w:t>
      </w:r>
      <w:r>
        <w:t>.</w:t>
      </w:r>
      <w:r>
        <w:tab/>
        <w:t>Procedure for receiving and opening applications</w:t>
      </w:r>
      <w:bookmarkEnd w:id="44"/>
    </w:p>
    <w:p>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45" w:name="_Toc32304061"/>
      <w:r>
        <w:rPr>
          <w:rStyle w:val="CharSectno"/>
        </w:rPr>
        <w:t>24AG</w:t>
      </w:r>
      <w:r>
        <w:t>.</w:t>
      </w:r>
      <w:r>
        <w:tab/>
        <w:t>Information about panels of pre</w:t>
      </w:r>
      <w:r>
        <w:noBreakHyphen/>
        <w:t>qualified suppliers to be included in tenders register</w:t>
      </w:r>
      <w:bookmarkEnd w:id="45"/>
    </w:p>
    <w:p>
      <w:pPr>
        <w:pStyle w:val="Subsection"/>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46" w:name="_Toc32304062"/>
      <w:r>
        <w:rPr>
          <w:rStyle w:val="CharSectno"/>
        </w:rPr>
        <w:t>24AH</w:t>
      </w:r>
      <w:r>
        <w:t>.</w:t>
      </w:r>
      <w:r>
        <w:tab/>
        <w:t>Rejecting and accepting applications to join panel of pre</w:t>
      </w:r>
      <w:r>
        <w:noBreakHyphen/>
        <w:t>qualified suppliers</w:t>
      </w:r>
      <w:bookmarkEnd w:id="46"/>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47" w:name="_Toc32304063"/>
      <w:r>
        <w:rPr>
          <w:rStyle w:val="CharSectno"/>
        </w:rPr>
        <w:t>24AI</w:t>
      </w:r>
      <w:r>
        <w:t>.</w:t>
      </w:r>
      <w:r>
        <w:tab/>
        <w:t>Applicants to be notified of outcome</w:t>
      </w:r>
      <w:bookmarkEnd w:id="47"/>
    </w:p>
    <w:p>
      <w:pPr>
        <w:pStyle w:val="Subsection"/>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48" w:name="_Toc32304064"/>
      <w:r>
        <w:rPr>
          <w:rStyle w:val="CharSectno"/>
        </w:rPr>
        <w:t>24AJ</w:t>
      </w:r>
      <w:r>
        <w:t>.</w:t>
      </w:r>
      <w:r>
        <w:tab/>
        <w:t>Contracts with pre</w:t>
      </w:r>
      <w:r>
        <w:noBreakHyphen/>
        <w:t>qualified suppliers</w:t>
      </w:r>
      <w:bookmarkEnd w:id="48"/>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pPr>
      <w:r>
        <w:tab/>
        <w:t>(2)</w:t>
      </w:r>
      <w:r>
        <w:tab/>
        <w:t xml:space="preserve">A contract referred to in subregulation (1) must not — </w:t>
      </w:r>
    </w:p>
    <w:p>
      <w:pPr>
        <w:pStyle w:val="Indenta"/>
      </w:pPr>
      <w:r>
        <w:tab/>
        <w:t>(a)</w:t>
      </w:r>
      <w:r>
        <w:tab/>
        <w:t>be for a term exceeding 12 months; or</w:t>
      </w:r>
    </w:p>
    <w:p>
      <w:pPr>
        <w:pStyle w:val="Indenta"/>
      </w:pPr>
      <w:r>
        <w:tab/>
        <w:t>(b)</w:t>
      </w:r>
      <w:r>
        <w:tab/>
        <w:t>contain an option to renew or extend its term.</w:t>
      </w:r>
    </w:p>
    <w:p>
      <w:pPr>
        <w:pStyle w:val="Footnotesection"/>
      </w:pPr>
      <w:r>
        <w:tab/>
        <w:t xml:space="preserve">[Regulation 24AJ inserted: Gazette 18 Sep 2015 p. 3812.] </w:t>
      </w:r>
    </w:p>
    <w:p>
      <w:pPr>
        <w:pStyle w:val="Heading2"/>
      </w:pPr>
      <w:bookmarkStart w:id="49" w:name="_Toc32304065"/>
      <w:r>
        <w:rPr>
          <w:rStyle w:val="CharPartNo"/>
        </w:rPr>
        <w:t>Part 4A</w:t>
      </w:r>
      <w:r>
        <w:rPr>
          <w:rStyle w:val="CharDivNo"/>
        </w:rPr>
        <w:t xml:space="preserve"> </w:t>
      </w:r>
      <w:r>
        <w:t>—</w:t>
      </w:r>
      <w:r>
        <w:rPr>
          <w:rStyle w:val="CharDivText"/>
        </w:rPr>
        <w:t xml:space="preserve"> </w:t>
      </w:r>
      <w:r>
        <w:rPr>
          <w:rStyle w:val="CharPartText"/>
        </w:rPr>
        <w:t>Regional price preference</w:t>
      </w:r>
      <w:bookmarkEnd w:id="49"/>
    </w:p>
    <w:p>
      <w:pPr>
        <w:pStyle w:val="Footnoteheading"/>
      </w:pPr>
      <w:r>
        <w:tab/>
        <w:t>[Heading inserted: Gazette 25 Feb 2000 p. 971.]</w:t>
      </w:r>
    </w:p>
    <w:p>
      <w:pPr>
        <w:pStyle w:val="Heading5"/>
        <w:spacing w:before="180"/>
      </w:pPr>
      <w:bookmarkStart w:id="50" w:name="_Toc32304066"/>
      <w:r>
        <w:rPr>
          <w:rStyle w:val="CharSectno"/>
        </w:rPr>
        <w:t>24A</w:t>
      </w:r>
      <w:r>
        <w:t>.</w:t>
      </w:r>
      <w:r>
        <w:tab/>
        <w:t>Application of this Part</w:t>
      </w:r>
      <w:bookmarkEnd w:id="50"/>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51" w:name="_Toc32304067"/>
      <w:r>
        <w:rPr>
          <w:rStyle w:val="CharSectno"/>
        </w:rPr>
        <w:t>24B</w:t>
      </w:r>
      <w:r>
        <w:t>.</w:t>
      </w:r>
      <w:r>
        <w:tab/>
        <w:t>Terms used</w:t>
      </w:r>
      <w:bookmarkEnd w:id="51"/>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52" w:name="_Toc32304068"/>
      <w:r>
        <w:rPr>
          <w:rStyle w:val="CharSectno"/>
        </w:rPr>
        <w:t>24C</w:t>
      </w:r>
      <w:r>
        <w:t>.</w:t>
      </w:r>
      <w:r>
        <w:tab/>
        <w:t>Regional price preference may be given</w:t>
      </w:r>
      <w:bookmarkEnd w:id="52"/>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53" w:name="_Toc32304069"/>
      <w:r>
        <w:rPr>
          <w:rStyle w:val="CharSectno"/>
        </w:rPr>
        <w:t>24D</w:t>
      </w:r>
      <w:r>
        <w:t>.</w:t>
      </w:r>
      <w:r>
        <w:tab/>
        <w:t>Discounts permitted for regional price preferences</w:t>
      </w:r>
      <w:bookmarkEnd w:id="53"/>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54" w:name="_Toc32304070"/>
      <w:r>
        <w:rPr>
          <w:rStyle w:val="CharSectno"/>
        </w:rPr>
        <w:t>24E</w:t>
      </w:r>
      <w:r>
        <w:t>.</w:t>
      </w:r>
      <w:r>
        <w:tab/>
        <w:t>Regional price preference policies for local governments</w:t>
      </w:r>
      <w:bookmarkEnd w:id="54"/>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w:t>
      </w:r>
    </w:p>
    <w:p>
      <w:pPr>
        <w:pStyle w:val="Heading5"/>
        <w:spacing w:before="180"/>
      </w:pPr>
      <w:bookmarkStart w:id="55" w:name="_Toc32304071"/>
      <w:r>
        <w:rPr>
          <w:rStyle w:val="CharSectno"/>
        </w:rPr>
        <w:t>24F</w:t>
      </w:r>
      <w:r>
        <w:t>.</w:t>
      </w:r>
      <w:r>
        <w:tab/>
        <w:t>Adoption and notice of regional price preference policy</w:t>
      </w:r>
      <w:bookmarkEnd w:id="55"/>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Gazette 25 Feb 2000 p. 973</w:t>
      </w:r>
      <w:r>
        <w:noBreakHyphen/>
        <w:t>4; amended: Gazette 31 Mar 2005 p. 1055.]</w:t>
      </w:r>
    </w:p>
    <w:p>
      <w:pPr>
        <w:pStyle w:val="Heading5"/>
      </w:pPr>
      <w:bookmarkStart w:id="56" w:name="_Toc32304072"/>
      <w:r>
        <w:rPr>
          <w:rStyle w:val="CharSectno"/>
        </w:rPr>
        <w:t>24G</w:t>
      </w:r>
      <w:r>
        <w:t>.</w:t>
      </w:r>
      <w:r>
        <w:tab/>
        <w:t>Adopted regional price preference policy, effect of</w:t>
      </w:r>
      <w:bookmarkEnd w:id="56"/>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57" w:name="_Toc32304073"/>
      <w:r>
        <w:rPr>
          <w:rStyle w:val="CharPartNo"/>
        </w:rPr>
        <w:t>Part 5</w:t>
      </w:r>
      <w:r>
        <w:rPr>
          <w:rStyle w:val="CharDivNo"/>
        </w:rPr>
        <w:t> </w:t>
      </w:r>
      <w:r>
        <w:t>—</w:t>
      </w:r>
      <w:r>
        <w:rPr>
          <w:rStyle w:val="CharDivText"/>
        </w:rPr>
        <w:t> </w:t>
      </w:r>
      <w:r>
        <w:rPr>
          <w:rStyle w:val="CharPartText"/>
        </w:rPr>
        <w:t>Owner onus and infringement notices</w:t>
      </w:r>
      <w:bookmarkEnd w:id="57"/>
    </w:p>
    <w:p>
      <w:pPr>
        <w:pStyle w:val="Heading5"/>
        <w:ind w:right="376"/>
        <w:rPr>
          <w:snapToGrid w:val="0"/>
        </w:rPr>
      </w:pPr>
      <w:bookmarkStart w:id="58" w:name="_Toc32304074"/>
      <w:r>
        <w:rPr>
          <w:rStyle w:val="CharSectno"/>
        </w:rPr>
        <w:t>25</w:t>
      </w:r>
      <w:r>
        <w:rPr>
          <w:snapToGrid w:val="0"/>
        </w:rPr>
        <w:t>.</w:t>
      </w:r>
      <w:r>
        <w:rPr>
          <w:snapToGrid w:val="0"/>
        </w:rPr>
        <w:tab/>
        <w:t>Notice to put onus on vehicle owner, form of (Act s. 9.13)</w:t>
      </w:r>
      <w:bookmarkEnd w:id="58"/>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59" w:name="_Toc32304075"/>
      <w:r>
        <w:rPr>
          <w:rStyle w:val="CharSectno"/>
        </w:rPr>
        <w:t>26</w:t>
      </w:r>
      <w:r>
        <w:rPr>
          <w:snapToGrid w:val="0"/>
        </w:rPr>
        <w:t>.</w:t>
      </w:r>
      <w:r>
        <w:rPr>
          <w:snapToGrid w:val="0"/>
        </w:rPr>
        <w:tab/>
        <w:t>Infringement notice, form of (Act s. 9.16)</w:t>
      </w:r>
      <w:bookmarkEnd w:id="59"/>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60" w:name="_Toc32304076"/>
      <w:r>
        <w:rPr>
          <w:rStyle w:val="CharSectno"/>
        </w:rPr>
        <w:t>27</w:t>
      </w:r>
      <w:r>
        <w:rPr>
          <w:snapToGrid w:val="0"/>
        </w:rPr>
        <w:t>.</w:t>
      </w:r>
      <w:r>
        <w:rPr>
          <w:snapToGrid w:val="0"/>
        </w:rPr>
        <w:tab/>
        <w:t>Withdrawal of infringement notice, form of (Act s. 9.20)</w:t>
      </w:r>
      <w:bookmarkEnd w:id="60"/>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61" w:name="_Toc32304077"/>
      <w:r>
        <w:rPr>
          <w:rStyle w:val="CharPartNo"/>
        </w:rPr>
        <w:t>Part 6</w:t>
      </w:r>
      <w:r>
        <w:rPr>
          <w:rStyle w:val="CharDivNo"/>
        </w:rPr>
        <w:t> </w:t>
      </w:r>
      <w:r>
        <w:t>—</w:t>
      </w:r>
      <w:r>
        <w:rPr>
          <w:rStyle w:val="CharDivText"/>
        </w:rPr>
        <w:t> </w:t>
      </w:r>
      <w:r>
        <w:rPr>
          <w:rStyle w:val="CharPartText"/>
        </w:rPr>
        <w:t>Miscellaneous</w:t>
      </w:r>
      <w:bookmarkEnd w:id="61"/>
    </w:p>
    <w:p>
      <w:pPr>
        <w:pStyle w:val="Heading5"/>
        <w:ind w:right="856"/>
        <w:rPr>
          <w:snapToGrid w:val="0"/>
        </w:rPr>
      </w:pPr>
      <w:bookmarkStart w:id="62" w:name="_Toc32304078"/>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62"/>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63" w:name="_Toc32304079"/>
      <w:r>
        <w:rPr>
          <w:rStyle w:val="CharSectno"/>
        </w:rPr>
        <w:t>29A</w:t>
      </w:r>
      <w:r>
        <w:t>.</w:t>
      </w:r>
      <w:r>
        <w:tab/>
        <w:t xml:space="preserve">Abandoned vehicle wrecks, value etc. prescribed for </w:t>
      </w:r>
      <w:r>
        <w:rPr>
          <w:snapToGrid w:val="0"/>
        </w:rPr>
        <w:t>(Act </w:t>
      </w:r>
      <w:r>
        <w:t>s. 3.40A(5)(c))</w:t>
      </w:r>
      <w:bookmarkEnd w:id="63"/>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64" w:name="_Toc32304080"/>
      <w:r>
        <w:rPr>
          <w:rStyle w:val="CharSectno"/>
        </w:rPr>
        <w:t>29B</w:t>
      </w:r>
      <w:r>
        <w:t>.</w:t>
      </w:r>
      <w:r>
        <w:tab/>
        <w:t>Prescribed non</w:t>
      </w:r>
      <w:r>
        <w:noBreakHyphen/>
        <w:t xml:space="preserve">perishable goods </w:t>
      </w:r>
      <w:r>
        <w:rPr>
          <w:snapToGrid w:val="0"/>
        </w:rPr>
        <w:t>(Act </w:t>
      </w:r>
      <w:r>
        <w:t>s. 3.47(2b)(ca))</w:t>
      </w:r>
      <w:bookmarkEnd w:id="64"/>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65" w:name="_Toc32304081"/>
      <w:r>
        <w:rPr>
          <w:rStyle w:val="CharSectno"/>
        </w:rPr>
        <w:t>30</w:t>
      </w:r>
      <w:r>
        <w:rPr>
          <w:snapToGrid w:val="0"/>
        </w:rPr>
        <w:t>.</w:t>
      </w:r>
      <w:r>
        <w:rPr>
          <w:snapToGrid w:val="0"/>
        </w:rPr>
        <w:tab/>
        <w:t>Dispositions of property excluded from Act s. 3.58</w:t>
      </w:r>
      <w:bookmarkEnd w:id="65"/>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w:t>
      </w:r>
    </w:p>
    <w:p>
      <w:pPr>
        <w:pStyle w:val="Heading5"/>
        <w:rPr>
          <w:snapToGrid w:val="0"/>
        </w:rPr>
      </w:pPr>
      <w:bookmarkStart w:id="66" w:name="_Toc32304082"/>
      <w:r>
        <w:rPr>
          <w:rStyle w:val="CharSectno"/>
        </w:rPr>
        <w:t>31</w:t>
      </w:r>
      <w:r>
        <w:rPr>
          <w:snapToGrid w:val="0"/>
        </w:rPr>
        <w:t>.</w:t>
      </w:r>
      <w:r>
        <w:rPr>
          <w:snapToGrid w:val="0"/>
        </w:rPr>
        <w:tab/>
        <w:t>Anti</w:t>
      </w:r>
      <w:r>
        <w:rPr>
          <w:snapToGrid w:val="0"/>
        </w:rPr>
        <w:noBreakHyphen/>
        <w:t>avoidance provision for Act s. 3.58</w:t>
      </w:r>
      <w:bookmarkEnd w:id="66"/>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67" w:name="_Toc32304083"/>
      <w:r>
        <w:rPr>
          <w:rStyle w:val="CharSectno"/>
        </w:rPr>
        <w:t>32</w:t>
      </w:r>
      <w:r>
        <w:rPr>
          <w:snapToGrid w:val="0"/>
        </w:rPr>
        <w:t>.</w:t>
      </w:r>
      <w:r>
        <w:rPr>
          <w:snapToGrid w:val="0"/>
        </w:rPr>
        <w:tab/>
        <w:t>Local government permitted to form incorporated association (Act s. </w:t>
      </w:r>
      <w:r>
        <w:rPr>
          <w:rStyle w:val="CharSectno"/>
        </w:rPr>
        <w:t>3</w:t>
      </w:r>
      <w:r>
        <w:rPr>
          <w:snapToGrid w:val="0"/>
        </w:rPr>
        <w:t>.60)</w:t>
      </w:r>
      <w:bookmarkEnd w:id="67"/>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Gazette 4 Dec 1998 p. 6500; 30 Dec 2016 p. 5970.]</w:t>
      </w:r>
    </w:p>
    <w:p>
      <w:pPr>
        <w:pStyle w:val="Heading5"/>
      </w:pPr>
      <w:bookmarkStart w:id="68" w:name="_Toc32304084"/>
      <w:r>
        <w:rPr>
          <w:rStyle w:val="CharSectno"/>
        </w:rPr>
        <w:t>32A</w:t>
      </w:r>
      <w:r>
        <w:t>.</w:t>
      </w:r>
      <w:r>
        <w:tab/>
        <w:t xml:space="preserve">Excluded authorisations </w:t>
      </w:r>
      <w:r>
        <w:rPr>
          <w:snapToGrid w:val="0"/>
        </w:rPr>
        <w:t>(Act </w:t>
      </w:r>
      <w:r>
        <w:t>s. 9.2)</w:t>
      </w:r>
      <w:bookmarkEnd w:id="68"/>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69" w:name="_Toc32304085"/>
      <w:r>
        <w:rPr>
          <w:rStyle w:val="CharSectno"/>
        </w:rPr>
        <w:t>33</w:t>
      </w:r>
      <w:r>
        <w:rPr>
          <w:snapToGrid w:val="0"/>
        </w:rPr>
        <w:t>.</w:t>
      </w:r>
      <w:r>
        <w:rPr>
          <w:snapToGrid w:val="0"/>
        </w:rPr>
        <w:tab/>
        <w:t>Objections to decisions, form of etc. prescribed (Act s. 9.5)</w:t>
      </w:r>
      <w:bookmarkEnd w:id="69"/>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70" w:name="_Toc32304086"/>
      <w:r>
        <w:rPr>
          <w:rStyle w:val="CharSectno"/>
        </w:rPr>
        <w:t>34</w:t>
      </w:r>
      <w:r>
        <w:t>.</w:t>
      </w:r>
      <w:r>
        <w:tab/>
        <w:t>Common seal, unauthorised use of</w:t>
      </w:r>
      <w:bookmarkEnd w:id="70"/>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71" w:name="_Toc32304087"/>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71"/>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72" w:name="_Toc32304088"/>
      <w:r>
        <w:rPr>
          <w:rStyle w:val="CharSectno"/>
        </w:rPr>
        <w:t>35A</w:t>
      </w:r>
      <w:r>
        <w:t>.</w:t>
      </w:r>
      <w:r>
        <w:tab/>
        <w:t xml:space="preserve">Delegable functions of Minister </w:t>
      </w:r>
      <w:r>
        <w:rPr>
          <w:snapToGrid w:val="0"/>
        </w:rPr>
        <w:t>(Act </w:t>
      </w:r>
      <w:r>
        <w:t>s. 9.66)</w:t>
      </w:r>
      <w:bookmarkEnd w:id="72"/>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73" w:name="_Toc32304089"/>
      <w:r>
        <w:rPr>
          <w:rStyle w:val="CharSectno"/>
        </w:rPr>
        <w:t>35B</w:t>
      </w:r>
      <w:r>
        <w:t>.</w:t>
      </w:r>
      <w:r>
        <w:tab/>
        <w:t>Delegable functions of Departmental CEO (Act s. 9.67)</w:t>
      </w:r>
      <w:bookmarkEnd w:id="73"/>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74" w:name="_Toc32304090"/>
      <w:r>
        <w:rPr>
          <w:rStyle w:val="CharSectno"/>
        </w:rPr>
        <w:t>36</w:t>
      </w:r>
      <w:r>
        <w:rPr>
          <w:snapToGrid w:val="0"/>
        </w:rPr>
        <w:t>.</w:t>
      </w:r>
      <w:r>
        <w:rPr>
          <w:snapToGrid w:val="0"/>
        </w:rPr>
        <w:tab/>
        <w:t>Warrant to enter, form of (Act s. 3.33(1) and 8.8(1))</w:t>
      </w:r>
      <w:bookmarkEnd w:id="74"/>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75" w:name="_Toc32304091"/>
      <w:r>
        <w:rPr>
          <w:rStyle w:val="CharPartNo"/>
        </w:rPr>
        <w:t>Part 7</w:t>
      </w:r>
      <w:r>
        <w:rPr>
          <w:rStyle w:val="CharDivNo"/>
        </w:rPr>
        <w:t> </w:t>
      </w:r>
      <w:r>
        <w:t>—</w:t>
      </w:r>
      <w:r>
        <w:rPr>
          <w:rStyle w:val="CharDivText"/>
        </w:rPr>
        <w:t> </w:t>
      </w:r>
      <w:r>
        <w:rPr>
          <w:rStyle w:val="CharPartText"/>
        </w:rPr>
        <w:t>Other transitional provisions</w:t>
      </w:r>
      <w:bookmarkEnd w:id="75"/>
    </w:p>
    <w:p>
      <w:pPr>
        <w:pStyle w:val="Ednotesection"/>
        <w:ind w:left="890" w:hanging="890"/>
      </w:pPr>
      <w:r>
        <w:t>[</w:t>
      </w:r>
      <w:r>
        <w:rPr>
          <w:b/>
          <w:bCs/>
        </w:rPr>
        <w:t>37.</w:t>
      </w:r>
      <w:r>
        <w:tab/>
      </w:r>
      <w:r>
        <w:rPr>
          <w:snapToGrid/>
        </w:rPr>
        <w:t>Omitted under the Reprints Act 1984 s. 7(4)(e).]</w:t>
      </w:r>
    </w:p>
    <w:p>
      <w:pPr>
        <w:pStyle w:val="Heading5"/>
        <w:rPr>
          <w:snapToGrid w:val="0"/>
        </w:rPr>
      </w:pPr>
      <w:bookmarkStart w:id="76" w:name="_Toc32304092"/>
      <w:r>
        <w:rPr>
          <w:rStyle w:val="CharSectno"/>
        </w:rPr>
        <w:t>38</w:t>
      </w:r>
      <w:r>
        <w:t>.</w:t>
      </w:r>
      <w:r>
        <w:rPr>
          <w:snapToGrid w:val="0"/>
        </w:rPr>
        <w:tab/>
        <w:t>Adopting former model by</w:t>
      </w:r>
      <w:r>
        <w:rPr>
          <w:snapToGrid w:val="0"/>
        </w:rPr>
        <w:noBreakHyphen/>
        <w:t>laws as local laws (Act s. 3.8(2) and (3))</w:t>
      </w:r>
      <w:bookmarkEnd w:id="76"/>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77" w:name="_Toc32304093"/>
      <w:r>
        <w:rPr>
          <w:rStyle w:val="CharSchNo"/>
        </w:rPr>
        <w:t>Schedule 1</w:t>
      </w:r>
      <w:r>
        <w:t> — </w:t>
      </w:r>
      <w:r>
        <w:rPr>
          <w:rStyle w:val="CharSchText"/>
        </w:rPr>
        <w:t>Forms</w:t>
      </w:r>
      <w:bookmarkEnd w:id="77"/>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type w:val="continuous"/>
          <w:pgSz w:w="11907" w:h="16840" w:code="9"/>
          <w:pgMar w:top="2381" w:right="2410" w:bottom="2977" w:left="2410" w:header="720" w:footer="3380" w:gutter="0"/>
          <w:cols w:space="720"/>
          <w:noEndnote/>
          <w:docGrid w:linePitch="326"/>
        </w:sectPr>
      </w:pPr>
    </w:p>
    <w:p>
      <w:pPr>
        <w:pStyle w:val="nHeading2"/>
      </w:pPr>
      <w:bookmarkStart w:id="79" w:name="_Toc32304094"/>
      <w:r>
        <w:t>Notes</w:t>
      </w:r>
      <w:bookmarkEnd w:id="79"/>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0" w:name="_Toc32304095"/>
      <w:r>
        <w:t>Compilation table</w:t>
      </w:r>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Local Government (Functions and General) Amendment Regulations 2017</w:t>
            </w:r>
          </w:p>
        </w:tc>
        <w:tc>
          <w:tcPr>
            <w:tcW w:w="1276" w:type="dxa"/>
            <w:tcBorders>
              <w:bottom w:val="single" w:sz="4" w:space="0" w:color="auto"/>
            </w:tcBorders>
            <w:shd w:val="clear" w:color="auto" w:fill="auto"/>
          </w:tcPr>
          <w:p>
            <w:pPr>
              <w:pStyle w:val="nTable"/>
              <w:spacing w:after="40"/>
            </w:pPr>
            <w:r>
              <w:t>8 Dec 2017 p. 5844</w:t>
            </w:r>
            <w:r>
              <w:noBreakHyphen/>
              <w:t>5</w:t>
            </w:r>
          </w:p>
        </w:tc>
        <w:tc>
          <w:tcPr>
            <w:tcW w:w="2693" w:type="dxa"/>
            <w:tcBorders>
              <w:bottom w:val="single" w:sz="4" w:space="0" w:color="auto"/>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bl>
    <w:p>
      <w:pPr>
        <w:pStyle w:val="nHeading3"/>
      </w:pPr>
      <w:bookmarkStart w:id="81" w:name="_Toc32304096"/>
      <w:r>
        <w:t>Uncommenced provisions table</w:t>
      </w:r>
      <w:bookmarkEnd w:id="8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b/>
              </w:rPr>
            </w:pPr>
            <w:r>
              <w:rPr>
                <w:i/>
              </w:rPr>
              <w:t>Local Government (Functions and General) Amendment Regulations 2019</w:t>
            </w:r>
            <w:r>
              <w:t xml:space="preserve"> r. 3 and 4</w:t>
            </w:r>
          </w:p>
        </w:tc>
        <w:tc>
          <w:tcPr>
            <w:tcW w:w="1276" w:type="dxa"/>
          </w:tcPr>
          <w:p>
            <w:pPr>
              <w:pStyle w:val="nTable"/>
              <w:spacing w:after="40"/>
              <w:rPr>
                <w:b/>
              </w:rPr>
            </w:pPr>
            <w:r>
              <w:t>31 Dec 2019 p. 4649</w:t>
            </w:r>
          </w:p>
        </w:tc>
        <w:tc>
          <w:tcPr>
            <w:tcW w:w="2693" w:type="dxa"/>
          </w:tcPr>
          <w:p>
            <w:pPr>
              <w:pStyle w:val="nTable"/>
              <w:spacing w:after="40"/>
              <w:rPr>
                <w:b/>
              </w:rPr>
            </w:pPr>
            <w:r>
              <w:t xml:space="preserve">Operative on commencement of the </w:t>
            </w:r>
            <w:r>
              <w:rPr>
                <w:i/>
              </w:rPr>
              <w:t>Strata Titles Amendment Act 2018</w:t>
            </w:r>
            <w:r>
              <w:t xml:space="preserve"> s. 4 (see r. 2(b))</w:t>
            </w:r>
          </w:p>
        </w:tc>
      </w:tr>
    </w:tbl>
    <w:p>
      <w:pPr>
        <w:pStyle w:val="nHeading3"/>
      </w:pPr>
      <w:bookmarkStart w:id="82" w:name="_Toc32304097"/>
      <w:r>
        <w:t>Other notes</w:t>
      </w:r>
      <w:bookmarkEnd w:id="82"/>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84" w:name="_Toc32304098"/>
      <w:r>
        <w:rPr>
          <w:sz w:val="28"/>
        </w:rPr>
        <w:t>Defined terms</w:t>
      </w:r>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former draft model by</w:t>
      </w:r>
      <w:r>
        <w:noBreakHyphen/>
        <w:t>law</w:t>
      </w:r>
      <w:r>
        <w:tab/>
        <w:t>38(4)</w:t>
      </w:r>
    </w:p>
    <w:p>
      <w:pPr>
        <w:pStyle w:val="DefinedTerms"/>
      </w:pPr>
      <w:r>
        <w:t>former section</w:t>
      </w:r>
      <w:r>
        <w:tab/>
        <w:t>6(4)</w:t>
      </w:r>
    </w:p>
    <w:p>
      <w:pPr>
        <w:pStyle w:val="DefinedTerms"/>
      </w:pPr>
      <w:r>
        <w:t>joint venture</w:t>
      </w:r>
      <w:r>
        <w:tab/>
        <w:t>10(2)</w:t>
      </w:r>
    </w:p>
    <w:p>
      <w:pPr>
        <w:pStyle w:val="DefinedTerms"/>
      </w:pPr>
      <w:r>
        <w:t>joint venturer</w:t>
      </w:r>
      <w:r>
        <w:tab/>
        <w:t>10(2)</w:t>
      </w:r>
    </w:p>
    <w:p>
      <w:pPr>
        <w:pStyle w:val="DefinedTerms"/>
      </w:pPr>
      <w:r>
        <w:t>land that will lose its access</w:t>
      </w:r>
      <w:r>
        <w:tab/>
        <w:t>4(3)</w:t>
      </w:r>
    </w:p>
    <w:p>
      <w:pPr>
        <w:pStyle w:val="DefinedTerms"/>
      </w:pPr>
      <w:r>
        <w:t>major regional centre</w:t>
      </w:r>
      <w:r>
        <w:tab/>
        <w:t>7(1)</w:t>
      </w:r>
    </w:p>
    <w:p>
      <w:pPr>
        <w:pStyle w:val="DefinedTerms"/>
      </w:pPr>
      <w:r>
        <w:t>minor variation</w:t>
      </w:r>
      <w:r>
        <w:tab/>
        <w:t>20(3)</w:t>
      </w:r>
    </w:p>
    <w:p>
      <w:pPr>
        <w:pStyle w:val="DefinedTerms"/>
      </w:pPr>
      <w:r>
        <w:t>public place</w:t>
      </w:r>
      <w:r>
        <w:tab/>
        <w:t>29(2)</w:t>
      </w:r>
    </w:p>
    <w:p>
      <w:pPr>
        <w:pStyle w:val="DefinedTerms"/>
      </w:pPr>
      <w:r>
        <w:t>regional price preference</w:t>
      </w:r>
      <w:r>
        <w:tab/>
        <w:t>24B(1)</w:t>
      </w:r>
    </w:p>
    <w:p>
      <w:pPr>
        <w:pStyle w:val="DefinedTerms"/>
      </w:pPr>
      <w:r>
        <w:t>regional tenderer</w:t>
      </w:r>
      <w:r>
        <w:tab/>
        <w:t>24B(1)</w:t>
      </w:r>
    </w:p>
    <w:p>
      <w:pPr>
        <w:pStyle w:val="DefinedTerms"/>
      </w:pPr>
      <w:r>
        <w:t>transferee</w:t>
      </w:r>
      <w:r>
        <w:tab/>
        <w:t>30(2)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8" w:name="Schedule"/>
    <w:bookmarkEnd w:id="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085723"/>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12173</Words>
  <Characters>65737</Characters>
  <Application>Microsoft Office Word</Application>
  <DocSecurity>0</DocSecurity>
  <Lines>1729</Lines>
  <Paragraphs>1052</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76858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1996 - 03-e0-01</dc:title>
  <dc:subject/>
  <dc:creator/>
  <cp:keywords/>
  <dc:description/>
  <cp:lastModifiedBy>svcMRProcess</cp:lastModifiedBy>
  <cp:revision>4</cp:revision>
  <cp:lastPrinted>2012-04-02T07:14:00Z</cp:lastPrinted>
  <dcterms:created xsi:type="dcterms:W3CDTF">2020-02-11T07:53:00Z</dcterms:created>
  <dcterms:modified xsi:type="dcterms:W3CDTF">2020-02-11T07:53:00Z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20191231</vt:lpwstr>
  </property>
  <property fmtid="{D5CDD505-2E9C-101B-9397-08002B2CF9AE}" pid="8" name="AsAtDate">
    <vt:lpwstr>31 Dec 2019</vt:lpwstr>
  </property>
  <property fmtid="{D5CDD505-2E9C-101B-9397-08002B2CF9AE}" pid="9" name="Suffix">
    <vt:lpwstr>03-e0-01</vt:lpwstr>
  </property>
</Properties>
</file>