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3C5" w:rsidRDefault="00BB28A7">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A23C5" w:rsidRDefault="00BB28A7">
      <w:pPr>
        <w:pStyle w:val="PrincipalActRegPage1"/>
      </w:pPr>
      <w:r>
        <w:fldChar w:fldCharType="begin"/>
      </w:r>
      <w:r>
        <w:instrText xml:space="preserve"> STYLEREF "PrincipalAct_Reg</w:instrText>
      </w:r>
      <w:r>
        <w:fldChar w:fldCharType="separate"/>
      </w:r>
      <w:r>
        <w:rPr>
          <w:noProof/>
        </w:rPr>
        <w:t>Energy Coordination Act 1994</w:t>
      </w:r>
      <w:r>
        <w:fldChar w:fldCharType="end"/>
      </w:r>
    </w:p>
    <w:p w:rsidR="00AA23C5" w:rsidRDefault="00BB28A7">
      <w:pPr>
        <w:pStyle w:val="NameofActRegPage1"/>
        <w:spacing w:before="1800" w:after="4200"/>
        <w:outlineLvl w:val="0"/>
      </w:pPr>
      <w:r>
        <w:fldChar w:fldCharType="begin"/>
      </w:r>
      <w:r>
        <w:instrText xml:space="preserve"> STYLEREF "Name Of Act/Reg"</w:instrText>
      </w:r>
      <w:r>
        <w:fldChar w:fldCharType="separate"/>
      </w:r>
      <w:r>
        <w:rPr>
          <w:noProof/>
        </w:rPr>
        <w:t>Gas Marketing Code of Conduct 2017</w:t>
      </w:r>
      <w:r>
        <w:fldChar w:fldCharType="end"/>
      </w:r>
    </w:p>
    <w:p w:rsidR="00AA23C5" w:rsidRDefault="00AA23C5">
      <w:pPr>
        <w:jc w:val="center"/>
        <w:sectPr w:rsidR="00AA23C5">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AA23C5" w:rsidRDefault="00BB28A7">
      <w:pPr>
        <w:pStyle w:val="WA"/>
        <w:outlineLvl w:val="0"/>
      </w:pPr>
      <w:r>
        <w:lastRenderedPageBreak/>
        <w:t>Western Australia</w:t>
      </w:r>
    </w:p>
    <w:p w:rsidR="00AA23C5" w:rsidRDefault="00BB28A7">
      <w:pPr>
        <w:pStyle w:val="NameofActRegPage1"/>
      </w:pPr>
      <w:r>
        <w:fldChar w:fldCharType="begin"/>
      </w:r>
      <w:r>
        <w:instrText xml:space="preserve"> STYLEREF "Name Of Act/Reg"</w:instrText>
      </w:r>
      <w:r>
        <w:fldChar w:fldCharType="separate"/>
      </w:r>
      <w:r>
        <w:rPr>
          <w:noProof/>
        </w:rPr>
        <w:t>Gas Marketing Code of Conduct 2017</w:t>
      </w:r>
      <w:r>
        <w:fldChar w:fldCharType="end"/>
      </w:r>
    </w:p>
    <w:p w:rsidR="00AA23C5" w:rsidRDefault="00BB28A7">
      <w:pPr>
        <w:pStyle w:val="Arrangement"/>
      </w:pPr>
      <w:r>
        <w:t>Contents</w:t>
      </w:r>
    </w:p>
    <w:p w:rsidR="00AA23C5" w:rsidRDefault="00BB28A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AA23C5" w:rsidRDefault="00BB28A7">
      <w:pPr>
        <w:pStyle w:val="TOC8"/>
        <w:rPr>
          <w:rFonts w:asciiTheme="minorHAnsi" w:eastAsiaTheme="minorEastAsia" w:hAnsiTheme="minorHAnsi" w:cstheme="minorBidi"/>
          <w:szCs w:val="22"/>
        </w:rPr>
      </w:pPr>
      <w:r>
        <w:t>1.1.</w:t>
      </w:r>
      <w:r>
        <w:tab/>
        <w:t>Title</w:t>
      </w:r>
      <w:r>
        <w:tab/>
      </w:r>
      <w:r>
        <w:fldChar w:fldCharType="begin"/>
      </w:r>
      <w:r>
        <w:instrText xml:space="preserve"> PAGEREF _Toc32240066 \h </w:instrText>
      </w:r>
      <w:r>
        <w:fldChar w:fldCharType="separate"/>
      </w:r>
      <w:r>
        <w:t>1</w:t>
      </w:r>
      <w:r>
        <w:fldChar w:fldCharType="end"/>
      </w:r>
    </w:p>
    <w:p w:rsidR="00AA23C5" w:rsidRDefault="00BB28A7">
      <w:pPr>
        <w:pStyle w:val="TOC8"/>
        <w:rPr>
          <w:rFonts w:asciiTheme="minorHAnsi" w:eastAsiaTheme="minorEastAsia" w:hAnsiTheme="minorHAnsi" w:cstheme="minorBidi"/>
          <w:szCs w:val="22"/>
        </w:rPr>
      </w:pPr>
      <w:r>
        <w:t>1.2.</w:t>
      </w:r>
      <w:r>
        <w:rPr>
          <w:spacing w:val="-2"/>
        </w:rPr>
        <w:tab/>
        <w:t>Authority</w:t>
      </w:r>
      <w:r>
        <w:tab/>
      </w:r>
      <w:r>
        <w:fldChar w:fldCharType="begin"/>
      </w:r>
      <w:r>
        <w:instrText xml:space="preserve"> PAGEREF _Toc32240067 \h </w:instrText>
      </w:r>
      <w:r>
        <w:fldChar w:fldCharType="separate"/>
      </w:r>
      <w:r>
        <w:t>1</w:t>
      </w:r>
      <w:r>
        <w:fldChar w:fldCharType="end"/>
      </w:r>
    </w:p>
    <w:p w:rsidR="00AA23C5" w:rsidRDefault="00BB28A7">
      <w:pPr>
        <w:pStyle w:val="TOC8"/>
        <w:rPr>
          <w:rFonts w:asciiTheme="minorHAnsi" w:eastAsiaTheme="minorEastAsia" w:hAnsiTheme="minorHAnsi" w:cstheme="minorBidi"/>
          <w:szCs w:val="22"/>
        </w:rPr>
      </w:pPr>
      <w:r>
        <w:t>1.3.</w:t>
      </w:r>
      <w:r>
        <w:rPr>
          <w:spacing w:val="-2"/>
        </w:rPr>
        <w:tab/>
        <w:t>Commencement</w:t>
      </w:r>
      <w:r>
        <w:tab/>
      </w:r>
      <w:r>
        <w:fldChar w:fldCharType="begin"/>
      </w:r>
      <w:r>
        <w:instrText xml:space="preserve"> PAGEREF _Toc32240068 \h </w:instrText>
      </w:r>
      <w:r>
        <w:fldChar w:fldCharType="separate"/>
      </w:r>
      <w:r>
        <w:t>1</w:t>
      </w:r>
      <w:r>
        <w:fldChar w:fldCharType="end"/>
      </w:r>
    </w:p>
    <w:p w:rsidR="00AA23C5" w:rsidRDefault="00BB28A7">
      <w:pPr>
        <w:pStyle w:val="TOC8"/>
        <w:rPr>
          <w:rFonts w:asciiTheme="minorHAnsi" w:eastAsiaTheme="minorEastAsia" w:hAnsiTheme="minorHAnsi" w:cstheme="minorBidi"/>
          <w:szCs w:val="22"/>
        </w:rPr>
      </w:pPr>
      <w:r>
        <w:t>1.4.</w:t>
      </w:r>
      <w:r>
        <w:rPr>
          <w:spacing w:val="-2"/>
        </w:rPr>
        <w:tab/>
        <w:t>Interpretation</w:t>
      </w:r>
      <w:r>
        <w:tab/>
      </w:r>
      <w:r>
        <w:fldChar w:fldCharType="begin"/>
      </w:r>
      <w:r>
        <w:instrText xml:space="preserve"> PAGEREF _Toc32240069 \h </w:instrText>
      </w:r>
      <w:r>
        <w:fldChar w:fldCharType="separate"/>
      </w:r>
      <w:r>
        <w:t>1</w:t>
      </w:r>
      <w:r>
        <w:fldChar w:fldCharType="end"/>
      </w:r>
    </w:p>
    <w:p w:rsidR="00AA23C5" w:rsidRDefault="00BB28A7">
      <w:pPr>
        <w:pStyle w:val="TOC8"/>
        <w:rPr>
          <w:rFonts w:asciiTheme="minorHAnsi" w:eastAsiaTheme="minorEastAsia" w:hAnsiTheme="minorHAnsi" w:cstheme="minorBidi"/>
          <w:szCs w:val="22"/>
        </w:rPr>
      </w:pPr>
      <w:r>
        <w:t>1.5.</w:t>
      </w:r>
      <w:r>
        <w:rPr>
          <w:spacing w:val="-2"/>
        </w:rPr>
        <w:tab/>
        <w:t>Definitions</w:t>
      </w:r>
      <w:r>
        <w:tab/>
      </w:r>
      <w:r>
        <w:fldChar w:fldCharType="begin"/>
      </w:r>
      <w:r>
        <w:instrText xml:space="preserve"> PAGEREF _Toc32240070 \h </w:instrText>
      </w:r>
      <w:r>
        <w:fldChar w:fldCharType="separate"/>
      </w:r>
      <w:r>
        <w:t>2</w:t>
      </w:r>
      <w:r>
        <w:fldChar w:fldCharType="end"/>
      </w:r>
    </w:p>
    <w:p w:rsidR="00AA23C5" w:rsidRDefault="00BB28A7">
      <w:pPr>
        <w:pStyle w:val="TOC8"/>
        <w:rPr>
          <w:rFonts w:asciiTheme="minorHAnsi" w:eastAsiaTheme="minorEastAsia" w:hAnsiTheme="minorHAnsi" w:cstheme="minorBidi"/>
          <w:szCs w:val="22"/>
        </w:rPr>
      </w:pPr>
      <w:r>
        <w:t>1.6.</w:t>
      </w:r>
      <w:r>
        <w:rPr>
          <w:spacing w:val="-2"/>
        </w:rPr>
        <w:tab/>
        <w:t>Application</w:t>
      </w:r>
      <w:r>
        <w:tab/>
      </w:r>
      <w:r>
        <w:fldChar w:fldCharType="begin"/>
      </w:r>
      <w:r>
        <w:instrText xml:space="preserve"> PAGEREF _Toc32240071 \h </w:instrText>
      </w:r>
      <w:r>
        <w:fldChar w:fldCharType="separate"/>
      </w:r>
      <w:r>
        <w:t>6</w:t>
      </w:r>
      <w:r>
        <w:fldChar w:fldCharType="end"/>
      </w:r>
    </w:p>
    <w:p w:rsidR="00AA23C5" w:rsidRDefault="00BB28A7">
      <w:pPr>
        <w:pStyle w:val="TOC8"/>
        <w:rPr>
          <w:rFonts w:asciiTheme="minorHAnsi" w:eastAsiaTheme="minorEastAsia" w:hAnsiTheme="minorHAnsi" w:cstheme="minorBidi"/>
          <w:szCs w:val="22"/>
        </w:rPr>
      </w:pPr>
      <w:r>
        <w:t>1.7.</w:t>
      </w:r>
      <w:r>
        <w:rPr>
          <w:spacing w:val="-2"/>
        </w:rPr>
        <w:tab/>
        <w:t>Purpose</w:t>
      </w:r>
      <w:r>
        <w:tab/>
      </w:r>
      <w:r>
        <w:fldChar w:fldCharType="begin"/>
      </w:r>
      <w:r>
        <w:instrText xml:space="preserve"> PAGEREF _Toc32240072 \h </w:instrText>
      </w:r>
      <w:r>
        <w:fldChar w:fldCharType="separate"/>
      </w:r>
      <w:r>
        <w:t>6</w:t>
      </w:r>
      <w:r>
        <w:fldChar w:fldCharType="end"/>
      </w:r>
    </w:p>
    <w:p w:rsidR="00AA23C5" w:rsidRDefault="00BB28A7">
      <w:pPr>
        <w:pStyle w:val="TOC8"/>
        <w:rPr>
          <w:rFonts w:asciiTheme="minorHAnsi" w:eastAsiaTheme="minorEastAsia" w:hAnsiTheme="minorHAnsi" w:cstheme="minorBidi"/>
          <w:szCs w:val="22"/>
        </w:rPr>
      </w:pPr>
      <w:r>
        <w:t>1.8.</w:t>
      </w:r>
      <w:r>
        <w:rPr>
          <w:spacing w:val="-2"/>
        </w:rPr>
        <w:tab/>
        <w:t>Obj</w:t>
      </w:r>
      <w:r>
        <w:rPr>
          <w:spacing w:val="-2"/>
        </w:rPr>
        <w:t>ectives</w:t>
      </w:r>
      <w:r>
        <w:tab/>
      </w:r>
      <w:r>
        <w:fldChar w:fldCharType="begin"/>
      </w:r>
      <w:r>
        <w:instrText xml:space="preserve"> PAGEREF _Toc32240073 \h </w:instrText>
      </w:r>
      <w:r>
        <w:fldChar w:fldCharType="separate"/>
      </w:r>
      <w:r>
        <w:t>7</w:t>
      </w:r>
      <w:r>
        <w:fldChar w:fldCharType="end"/>
      </w:r>
    </w:p>
    <w:p w:rsidR="00AA23C5" w:rsidRDefault="00BB28A7">
      <w:pPr>
        <w:pStyle w:val="TOC8"/>
        <w:rPr>
          <w:rFonts w:asciiTheme="minorHAnsi" w:eastAsiaTheme="minorEastAsia" w:hAnsiTheme="minorHAnsi" w:cstheme="minorBidi"/>
          <w:szCs w:val="22"/>
        </w:rPr>
      </w:pPr>
      <w:r>
        <w:t>1.9.</w:t>
      </w:r>
      <w:r>
        <w:rPr>
          <w:spacing w:val="-2"/>
        </w:rPr>
        <w:tab/>
        <w:t>Amendment and Review</w:t>
      </w:r>
      <w:r>
        <w:tab/>
      </w:r>
      <w:r>
        <w:fldChar w:fldCharType="begin"/>
      </w:r>
      <w:r>
        <w:instrText xml:space="preserve"> PAGEREF _Toc32240074 \h </w:instrText>
      </w:r>
      <w:r>
        <w:fldChar w:fldCharType="separate"/>
      </w:r>
      <w:r>
        <w:t>7</w:t>
      </w:r>
      <w:r>
        <w:fldChar w:fldCharType="end"/>
      </w:r>
    </w:p>
    <w:p w:rsidR="00AA23C5" w:rsidRDefault="00BB28A7">
      <w:pPr>
        <w:pStyle w:val="TOC2"/>
        <w:tabs>
          <w:tab w:val="right" w:leader="dot" w:pos="7077"/>
        </w:tabs>
        <w:rPr>
          <w:rFonts w:asciiTheme="minorHAnsi" w:eastAsiaTheme="minorEastAsia" w:hAnsiTheme="minorHAnsi" w:cstheme="minorBidi"/>
          <w:b w:val="0"/>
          <w:sz w:val="22"/>
          <w:szCs w:val="22"/>
        </w:rPr>
      </w:pPr>
      <w:r>
        <w:t>Part 2 — Marketing</w:t>
      </w:r>
    </w:p>
    <w:p w:rsidR="00AA23C5" w:rsidRDefault="00BB28A7">
      <w:pPr>
        <w:pStyle w:val="TOC4"/>
        <w:tabs>
          <w:tab w:val="right" w:leader="dot" w:pos="7077"/>
        </w:tabs>
        <w:rPr>
          <w:rFonts w:asciiTheme="minorHAnsi" w:eastAsiaTheme="minorEastAsia" w:hAnsiTheme="minorHAnsi" w:cstheme="minorBidi"/>
          <w:b w:val="0"/>
          <w:szCs w:val="22"/>
        </w:rPr>
      </w:pPr>
      <w:r>
        <w:t>Division 1 — Ob</w:t>
      </w:r>
      <w:r>
        <w:t>ligations particular to retailers</w:t>
      </w:r>
    </w:p>
    <w:p w:rsidR="00AA23C5" w:rsidRDefault="00BB28A7">
      <w:pPr>
        <w:pStyle w:val="TOC8"/>
        <w:rPr>
          <w:rFonts w:asciiTheme="minorHAnsi" w:eastAsiaTheme="minorEastAsia" w:hAnsiTheme="minorHAnsi" w:cstheme="minorBidi"/>
          <w:szCs w:val="22"/>
        </w:rPr>
      </w:pPr>
      <w:r>
        <w:t>2.1.</w:t>
      </w:r>
      <w:r>
        <w:rPr>
          <w:spacing w:val="-2"/>
        </w:rPr>
        <w:tab/>
        <w:t>Retailers to ensure representatives comply with this Part</w:t>
      </w:r>
      <w:r>
        <w:tab/>
      </w:r>
      <w:r>
        <w:fldChar w:fldCharType="begin"/>
      </w:r>
      <w:r>
        <w:instrText xml:space="preserve"> PAGEREF _Toc32240077 \h </w:instrText>
      </w:r>
      <w:r>
        <w:fldChar w:fldCharType="separate"/>
      </w:r>
      <w:r>
        <w:t>8</w:t>
      </w:r>
      <w:r>
        <w:fldChar w:fldCharType="end"/>
      </w:r>
    </w:p>
    <w:p w:rsidR="00AA23C5" w:rsidRDefault="00BB28A7">
      <w:pPr>
        <w:pStyle w:val="TOC4"/>
        <w:tabs>
          <w:tab w:val="right" w:leader="dot" w:pos="7077"/>
        </w:tabs>
        <w:rPr>
          <w:rFonts w:asciiTheme="minorHAnsi" w:eastAsiaTheme="minorEastAsia" w:hAnsiTheme="minorHAnsi" w:cstheme="minorBidi"/>
          <w:b w:val="0"/>
          <w:szCs w:val="22"/>
        </w:rPr>
      </w:pPr>
      <w:r>
        <w:t>Division 2 — Contracts and information to be provided to customers</w:t>
      </w:r>
    </w:p>
    <w:p w:rsidR="00AA23C5" w:rsidRDefault="00BB28A7">
      <w:pPr>
        <w:pStyle w:val="TOC8"/>
        <w:rPr>
          <w:rFonts w:asciiTheme="minorHAnsi" w:eastAsiaTheme="minorEastAsia" w:hAnsiTheme="minorHAnsi" w:cstheme="minorBidi"/>
          <w:szCs w:val="22"/>
        </w:rPr>
      </w:pPr>
      <w:r>
        <w:t>2.2.</w:t>
      </w:r>
      <w:r>
        <w:rPr>
          <w:spacing w:val="-2"/>
        </w:rPr>
        <w:tab/>
        <w:t>Entering into a standard form contract</w:t>
      </w:r>
      <w:r>
        <w:tab/>
      </w:r>
      <w:r>
        <w:fldChar w:fldCharType="begin"/>
      </w:r>
      <w:r>
        <w:instrText xml:space="preserve"> PAGEREF _Toc32240079 \h </w:instrText>
      </w:r>
      <w:r>
        <w:fldChar w:fldCharType="separate"/>
      </w:r>
      <w:r>
        <w:t>8</w:t>
      </w:r>
      <w:r>
        <w:fldChar w:fldCharType="end"/>
      </w:r>
    </w:p>
    <w:p w:rsidR="00AA23C5" w:rsidRDefault="00BB28A7">
      <w:pPr>
        <w:pStyle w:val="TOC8"/>
        <w:rPr>
          <w:rFonts w:asciiTheme="minorHAnsi" w:eastAsiaTheme="minorEastAsia" w:hAnsiTheme="minorHAnsi" w:cstheme="minorBidi"/>
          <w:szCs w:val="22"/>
        </w:rPr>
      </w:pPr>
      <w:r>
        <w:t>2.3.</w:t>
      </w:r>
      <w:r>
        <w:rPr>
          <w:spacing w:val="-2"/>
        </w:rPr>
        <w:tab/>
        <w:t>Entering into a non-standard contract</w:t>
      </w:r>
      <w:r>
        <w:tab/>
      </w:r>
      <w:r>
        <w:fldChar w:fldCharType="begin"/>
      </w:r>
      <w:r>
        <w:instrText xml:space="preserve"> PAGEREF _Toc32240080 \h </w:instrText>
      </w:r>
      <w:r>
        <w:fldChar w:fldCharType="separate"/>
      </w:r>
      <w:r>
        <w:t>10</w:t>
      </w:r>
      <w:r>
        <w:fldChar w:fldCharType="end"/>
      </w:r>
    </w:p>
    <w:p w:rsidR="00AA23C5" w:rsidRDefault="00BB28A7">
      <w:pPr>
        <w:pStyle w:val="TOC4"/>
        <w:tabs>
          <w:tab w:val="right" w:leader="dot" w:pos="7077"/>
        </w:tabs>
        <w:rPr>
          <w:rFonts w:asciiTheme="minorHAnsi" w:eastAsiaTheme="minorEastAsia" w:hAnsiTheme="minorHAnsi" w:cstheme="minorBidi"/>
          <w:b w:val="0"/>
          <w:szCs w:val="22"/>
        </w:rPr>
      </w:pPr>
      <w:r>
        <w:t>Division 3 — Marketing conduct</w:t>
      </w:r>
    </w:p>
    <w:p w:rsidR="00AA23C5" w:rsidRDefault="00BB28A7">
      <w:pPr>
        <w:pStyle w:val="TOC8"/>
        <w:rPr>
          <w:rFonts w:asciiTheme="minorHAnsi" w:eastAsiaTheme="minorEastAsia" w:hAnsiTheme="minorHAnsi" w:cstheme="minorBidi"/>
          <w:szCs w:val="22"/>
        </w:rPr>
      </w:pPr>
      <w:r>
        <w:t>2.4.</w:t>
      </w:r>
      <w:r>
        <w:rPr>
          <w:spacing w:val="-2"/>
        </w:rPr>
        <w:tab/>
        <w:t>Standards of condu</w:t>
      </w:r>
      <w:r>
        <w:rPr>
          <w:spacing w:val="-2"/>
        </w:rPr>
        <w:t>ct</w:t>
      </w:r>
      <w:r>
        <w:tab/>
      </w:r>
      <w:r>
        <w:fldChar w:fldCharType="begin"/>
      </w:r>
      <w:r>
        <w:instrText xml:space="preserve"> PAGEREF _Toc32240082 \h </w:instrText>
      </w:r>
      <w:r>
        <w:fldChar w:fldCharType="separate"/>
      </w:r>
      <w:r>
        <w:t>12</w:t>
      </w:r>
      <w:r>
        <w:fldChar w:fldCharType="end"/>
      </w:r>
    </w:p>
    <w:p w:rsidR="00AA23C5" w:rsidRDefault="00BB28A7">
      <w:pPr>
        <w:pStyle w:val="TOC8"/>
        <w:rPr>
          <w:rFonts w:asciiTheme="minorHAnsi" w:eastAsiaTheme="minorEastAsia" w:hAnsiTheme="minorHAnsi" w:cstheme="minorBidi"/>
          <w:szCs w:val="22"/>
        </w:rPr>
      </w:pPr>
      <w:r>
        <w:t>2.5.</w:t>
      </w:r>
      <w:r>
        <w:rPr>
          <w:spacing w:val="-2"/>
        </w:rPr>
        <w:tab/>
        <w:t>Contact for the purposes of marketing</w:t>
      </w:r>
      <w:r>
        <w:tab/>
      </w:r>
      <w:r>
        <w:fldChar w:fldCharType="begin"/>
      </w:r>
      <w:r>
        <w:instrText xml:space="preserve"> PAGEREF _Toc32240083 \h </w:instrText>
      </w:r>
      <w:r>
        <w:fldChar w:fldCharType="separate"/>
      </w:r>
      <w:r>
        <w:t>12</w:t>
      </w:r>
      <w:r>
        <w:fldChar w:fldCharType="end"/>
      </w:r>
    </w:p>
    <w:p w:rsidR="00AA23C5" w:rsidRDefault="00BB28A7">
      <w:pPr>
        <w:pStyle w:val="TOC8"/>
        <w:rPr>
          <w:rFonts w:asciiTheme="minorHAnsi" w:eastAsiaTheme="minorEastAsia" w:hAnsiTheme="minorHAnsi" w:cstheme="minorBidi"/>
          <w:szCs w:val="22"/>
        </w:rPr>
      </w:pPr>
      <w:r>
        <w:t>2.6.</w:t>
      </w:r>
      <w:r>
        <w:rPr>
          <w:spacing w:val="-2"/>
        </w:rPr>
        <w:tab/>
        <w:t>No canvassing o</w:t>
      </w:r>
      <w:r>
        <w:rPr>
          <w:spacing w:val="-2"/>
        </w:rPr>
        <w:t>r advertising signs</w:t>
      </w:r>
      <w:r>
        <w:tab/>
      </w:r>
      <w:r>
        <w:fldChar w:fldCharType="begin"/>
      </w:r>
      <w:r>
        <w:instrText xml:space="preserve"> PAGEREF _Toc32240084 \h </w:instrText>
      </w:r>
      <w:r>
        <w:fldChar w:fldCharType="separate"/>
      </w:r>
      <w:r>
        <w:t>13</w:t>
      </w:r>
      <w:r>
        <w:fldChar w:fldCharType="end"/>
      </w:r>
    </w:p>
    <w:p w:rsidR="00AA23C5" w:rsidRDefault="00BB28A7">
      <w:pPr>
        <w:pStyle w:val="TOC4"/>
        <w:tabs>
          <w:tab w:val="right" w:leader="dot" w:pos="7077"/>
        </w:tabs>
        <w:rPr>
          <w:rFonts w:asciiTheme="minorHAnsi" w:eastAsiaTheme="minorEastAsia" w:hAnsiTheme="minorHAnsi" w:cstheme="minorBidi"/>
          <w:b w:val="0"/>
          <w:szCs w:val="22"/>
        </w:rPr>
      </w:pPr>
      <w:r>
        <w:t>Division 4 — Miscellaneous</w:t>
      </w:r>
    </w:p>
    <w:p w:rsidR="00AA23C5" w:rsidRDefault="00BB28A7">
      <w:pPr>
        <w:pStyle w:val="TOC8"/>
        <w:rPr>
          <w:rFonts w:asciiTheme="minorHAnsi" w:eastAsiaTheme="minorEastAsia" w:hAnsiTheme="minorHAnsi" w:cstheme="minorBidi"/>
          <w:szCs w:val="22"/>
        </w:rPr>
      </w:pPr>
      <w:r>
        <w:t>2.7.</w:t>
      </w:r>
      <w:r>
        <w:rPr>
          <w:spacing w:val="-2"/>
        </w:rPr>
        <w:tab/>
        <w:t>Compliance</w:t>
      </w:r>
      <w:r>
        <w:tab/>
      </w:r>
      <w:r>
        <w:fldChar w:fldCharType="begin"/>
      </w:r>
      <w:r>
        <w:instrText xml:space="preserve"> PAGEREF _Toc32240086 \h </w:instrText>
      </w:r>
      <w:r>
        <w:fldChar w:fldCharType="separate"/>
      </w:r>
      <w:r>
        <w:t>13</w:t>
      </w:r>
      <w:r>
        <w:fldChar w:fldCharType="end"/>
      </w:r>
    </w:p>
    <w:p w:rsidR="00AA23C5" w:rsidRDefault="00BB28A7">
      <w:pPr>
        <w:pStyle w:val="TOC8"/>
        <w:rPr>
          <w:rFonts w:asciiTheme="minorHAnsi" w:eastAsiaTheme="minorEastAsia" w:hAnsiTheme="minorHAnsi" w:cstheme="minorBidi"/>
          <w:szCs w:val="22"/>
        </w:rPr>
      </w:pPr>
      <w:r>
        <w:t>2.8.</w:t>
      </w:r>
      <w:r>
        <w:rPr>
          <w:spacing w:val="-2"/>
        </w:rPr>
        <w:tab/>
        <w:t>Presumption of authority</w:t>
      </w:r>
      <w:r>
        <w:tab/>
      </w:r>
      <w:r>
        <w:fldChar w:fldCharType="begin"/>
      </w:r>
      <w:r>
        <w:instrText xml:space="preserve"> PAGEREF _Toc32240087 \h </w:instrText>
      </w:r>
      <w:r>
        <w:fldChar w:fldCharType="separate"/>
      </w:r>
      <w:r>
        <w:t>14</w:t>
      </w:r>
      <w:r>
        <w:fldChar w:fldCharType="end"/>
      </w:r>
    </w:p>
    <w:p w:rsidR="00AA23C5" w:rsidRDefault="00BB28A7">
      <w:pPr>
        <w:pStyle w:val="TOC8"/>
        <w:rPr>
          <w:rFonts w:asciiTheme="minorHAnsi" w:eastAsiaTheme="minorEastAsia" w:hAnsiTheme="minorHAnsi" w:cstheme="minorBidi"/>
          <w:szCs w:val="22"/>
        </w:rPr>
      </w:pPr>
      <w:r>
        <w:t>2.9.</w:t>
      </w:r>
      <w:r>
        <w:rPr>
          <w:spacing w:val="-2"/>
        </w:rPr>
        <w:tab/>
        <w:t>Gas marketing agent complaints</w:t>
      </w:r>
      <w:r>
        <w:tab/>
      </w:r>
      <w:r>
        <w:fldChar w:fldCharType="begin"/>
      </w:r>
      <w:r>
        <w:instrText xml:space="preserve"> PAGEREF _Toc32240088 \h </w:instrText>
      </w:r>
      <w:r>
        <w:fldChar w:fldCharType="separate"/>
      </w:r>
      <w:r>
        <w:t>14</w:t>
      </w:r>
      <w:r>
        <w:fldChar w:fldCharType="end"/>
      </w:r>
    </w:p>
    <w:p w:rsidR="00AA23C5" w:rsidRDefault="00BB28A7">
      <w:pPr>
        <w:pStyle w:val="TOC8"/>
        <w:rPr>
          <w:rFonts w:asciiTheme="minorHAnsi" w:eastAsiaTheme="minorEastAsia" w:hAnsiTheme="minorHAnsi" w:cstheme="minorBidi"/>
          <w:szCs w:val="22"/>
        </w:rPr>
      </w:pPr>
      <w:r>
        <w:lastRenderedPageBreak/>
        <w:t>2.10.</w:t>
      </w:r>
      <w:r>
        <w:rPr>
          <w:spacing w:val="-2"/>
        </w:rPr>
        <w:tab/>
      </w:r>
      <w:r>
        <w:rPr>
          <w:spacing w:val="-2"/>
        </w:rPr>
        <w:t>Records to be kept</w:t>
      </w:r>
      <w:r>
        <w:tab/>
      </w:r>
      <w:r>
        <w:fldChar w:fldCharType="begin"/>
      </w:r>
      <w:r>
        <w:instrText xml:space="preserve"> PAGEREF _Toc32240089 \h </w:instrText>
      </w:r>
      <w:r>
        <w:fldChar w:fldCharType="separate"/>
      </w:r>
      <w:r>
        <w:t>15</w:t>
      </w:r>
      <w:r>
        <w:fldChar w:fldCharType="end"/>
      </w:r>
    </w:p>
    <w:p w:rsidR="00AA23C5" w:rsidRDefault="00BB28A7">
      <w:pPr>
        <w:pStyle w:val="TOC2"/>
        <w:tabs>
          <w:tab w:val="right" w:leader="dot" w:pos="7077"/>
        </w:tabs>
        <w:rPr>
          <w:rFonts w:asciiTheme="minorHAnsi" w:eastAsiaTheme="minorEastAsia" w:hAnsiTheme="minorHAnsi" w:cstheme="minorBidi"/>
          <w:b w:val="0"/>
          <w:sz w:val="22"/>
          <w:szCs w:val="22"/>
        </w:rPr>
      </w:pPr>
      <w:r>
        <w:t>Notes</w:t>
      </w:r>
    </w:p>
    <w:p w:rsidR="00AA23C5" w:rsidRDefault="00BB28A7">
      <w:pPr>
        <w:pStyle w:val="TOC8"/>
        <w:rPr>
          <w:rFonts w:asciiTheme="minorHAnsi" w:eastAsiaTheme="minorEastAsia" w:hAnsiTheme="minorHAnsi" w:cstheme="minorBidi"/>
          <w:szCs w:val="22"/>
        </w:rPr>
      </w:pPr>
      <w:r>
        <w:tab/>
        <w:t>Compilation table</w:t>
      </w:r>
      <w:r>
        <w:tab/>
      </w:r>
      <w:r>
        <w:fldChar w:fldCharType="begin"/>
      </w:r>
      <w:r>
        <w:instrText xml:space="preserve"> PAGEREF _Toc32240091 \h </w:instrText>
      </w:r>
      <w:r>
        <w:fldChar w:fldCharType="separate"/>
      </w:r>
      <w:r>
        <w:t>16</w:t>
      </w:r>
      <w:r>
        <w:fldChar w:fldCharType="end"/>
      </w:r>
    </w:p>
    <w:p w:rsidR="00AA23C5" w:rsidRDefault="00BB28A7">
      <w:pPr>
        <w:pStyle w:val="TOC2"/>
        <w:tabs>
          <w:tab w:val="right" w:leader="dot" w:pos="7077"/>
        </w:tabs>
        <w:rPr>
          <w:rFonts w:asciiTheme="minorHAnsi" w:eastAsiaTheme="minorEastAsia" w:hAnsiTheme="minorHAnsi" w:cstheme="minorBidi"/>
          <w:b w:val="0"/>
          <w:sz w:val="22"/>
          <w:szCs w:val="22"/>
        </w:rPr>
      </w:pPr>
      <w:r>
        <w:t>Defined terms</w:t>
      </w:r>
    </w:p>
    <w:p w:rsidR="00AA23C5" w:rsidRDefault="00BB28A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A23C5" w:rsidRDefault="00AA23C5">
      <w:pPr>
        <w:pStyle w:val="NoteHeading"/>
        <w:sectPr w:rsidR="00AA23C5">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rsidR="00AA23C5" w:rsidRDefault="00BB28A7">
      <w:pPr>
        <w:pStyle w:val="WA"/>
      </w:pPr>
      <w:r>
        <w:lastRenderedPageBreak/>
        <w:t>Western Australia</w:t>
      </w:r>
    </w:p>
    <w:p w:rsidR="00AA23C5" w:rsidRDefault="00BB28A7">
      <w:pPr>
        <w:pStyle w:val="PrincipalActReg"/>
        <w:spacing w:after="0"/>
      </w:pPr>
      <w:r>
        <w:t>Energy Coordination Act 1994</w:t>
      </w:r>
    </w:p>
    <w:p w:rsidR="00AA23C5" w:rsidRDefault="00BB28A7">
      <w:pPr>
        <w:pStyle w:val="NameofActReg"/>
      </w:pPr>
      <w:r>
        <w:t xml:space="preserve">Gas </w:t>
      </w:r>
      <w:r>
        <w:t>Marketing Code of Conduct 2017</w:t>
      </w:r>
    </w:p>
    <w:p w:rsidR="00AA23C5" w:rsidRDefault="00BB28A7">
      <w:pPr>
        <w:pStyle w:val="Heading2"/>
        <w:pageBreakBefore w:val="0"/>
        <w:spacing w:before="240"/>
      </w:pPr>
      <w:bookmarkStart w:id="3" w:name="_Toc32240065"/>
      <w:r>
        <w:rPr>
          <w:rStyle w:val="CharPartNo"/>
        </w:rPr>
        <w:t>Part 1</w:t>
      </w:r>
      <w:r>
        <w:rPr>
          <w:rStyle w:val="CharDivNo"/>
        </w:rPr>
        <w:t> </w:t>
      </w:r>
      <w:r>
        <w:t>—</w:t>
      </w:r>
      <w:r>
        <w:rPr>
          <w:rStyle w:val="CharDivText"/>
        </w:rPr>
        <w:t> </w:t>
      </w:r>
      <w:r>
        <w:rPr>
          <w:rStyle w:val="CharPartText"/>
        </w:rPr>
        <w:t>Preliminary</w:t>
      </w:r>
      <w:bookmarkEnd w:id="3"/>
    </w:p>
    <w:p w:rsidR="00AA23C5" w:rsidRDefault="00BB28A7">
      <w:pPr>
        <w:pStyle w:val="Heading5"/>
      </w:pPr>
      <w:bookmarkStart w:id="4" w:name="_Toc32240066"/>
      <w:r>
        <w:rPr>
          <w:rStyle w:val="CharSectno"/>
        </w:rPr>
        <w:t>1.1</w:t>
      </w:r>
      <w:r>
        <w:t>.</w:t>
      </w:r>
      <w:r>
        <w:tab/>
        <w:t>Title</w:t>
      </w:r>
      <w:bookmarkEnd w:id="4"/>
    </w:p>
    <w:p w:rsidR="00AA23C5" w:rsidRDefault="00BB28A7">
      <w:pPr>
        <w:pStyle w:val="Subsection"/>
        <w:ind w:right="282"/>
      </w:pPr>
      <w:r>
        <w:tab/>
      </w:r>
      <w:r>
        <w:tab/>
        <w:t xml:space="preserve">The </w:t>
      </w:r>
      <w:r>
        <w:rPr>
          <w:rStyle w:val="CharDefText"/>
        </w:rPr>
        <w:t>Code</w:t>
      </w:r>
      <w:r>
        <w:t xml:space="preserve"> may be cited as the </w:t>
      </w:r>
      <w:r>
        <w:rPr>
          <w:i/>
        </w:rPr>
        <w:t>Gas Marketing Code of Conduct 2017</w:t>
      </w:r>
      <w:r>
        <w:t>.</w:t>
      </w:r>
    </w:p>
    <w:p w:rsidR="00AA23C5" w:rsidRDefault="00BB28A7">
      <w:pPr>
        <w:pStyle w:val="Heading5"/>
        <w:rPr>
          <w:spacing w:val="-2"/>
        </w:rPr>
      </w:pPr>
      <w:bookmarkStart w:id="5" w:name="_Toc32240067"/>
      <w:r>
        <w:rPr>
          <w:rStyle w:val="CharSectno"/>
        </w:rPr>
        <w:t>1.2</w:t>
      </w:r>
      <w:r>
        <w:t>.</w:t>
      </w:r>
      <w:r>
        <w:rPr>
          <w:spacing w:val="-2"/>
        </w:rPr>
        <w:tab/>
        <w:t>Authority</w:t>
      </w:r>
      <w:bookmarkEnd w:id="5"/>
    </w:p>
    <w:p w:rsidR="00AA23C5" w:rsidRDefault="00BB28A7">
      <w:pPr>
        <w:pStyle w:val="Subsection"/>
        <w:ind w:right="282"/>
      </w:pPr>
      <w:r>
        <w:tab/>
      </w:r>
      <w:r>
        <w:tab/>
        <w:t xml:space="preserve">This </w:t>
      </w:r>
      <w:r>
        <w:rPr>
          <w:b/>
          <w:i/>
        </w:rPr>
        <w:t>Code</w:t>
      </w:r>
      <w:r>
        <w:t xml:space="preserve"> is made pursuant to Part 2C of the </w:t>
      </w:r>
      <w:r>
        <w:rPr>
          <w:b/>
          <w:i/>
        </w:rPr>
        <w:t>Act</w:t>
      </w:r>
      <w:r>
        <w:t>.</w:t>
      </w:r>
    </w:p>
    <w:p w:rsidR="00AA23C5" w:rsidRDefault="00BB28A7">
      <w:pPr>
        <w:pStyle w:val="Heading5"/>
        <w:rPr>
          <w:spacing w:val="-2"/>
        </w:rPr>
      </w:pPr>
      <w:bookmarkStart w:id="6" w:name="_Toc32240068"/>
      <w:r>
        <w:rPr>
          <w:rStyle w:val="CharSectno"/>
        </w:rPr>
        <w:t>1.3</w:t>
      </w:r>
      <w:r>
        <w:t>.</w:t>
      </w:r>
      <w:r>
        <w:rPr>
          <w:spacing w:val="-2"/>
        </w:rPr>
        <w:tab/>
        <w:t>Commencement</w:t>
      </w:r>
      <w:bookmarkEnd w:id="6"/>
    </w:p>
    <w:p w:rsidR="00AA23C5" w:rsidRDefault="00BB28A7">
      <w:pPr>
        <w:pStyle w:val="Subsection"/>
      </w:pPr>
      <w:r>
        <w:tab/>
      </w:r>
      <w:r>
        <w:tab/>
        <w:t xml:space="preserve">The </w:t>
      </w:r>
      <w:r>
        <w:rPr>
          <w:b/>
          <w:i/>
          <w:iCs/>
          <w:snapToGrid w:val="0"/>
        </w:rPr>
        <w:t>Code</w:t>
      </w:r>
      <w:r>
        <w:rPr>
          <w:iCs/>
          <w:snapToGrid w:val="0"/>
        </w:rPr>
        <w:t xml:space="preserve"> </w:t>
      </w:r>
      <w:r>
        <w:t xml:space="preserve">comes into operation upon the </w:t>
      </w:r>
      <w:r>
        <w:t>day prescribed by the</w:t>
      </w:r>
      <w:r>
        <w:rPr>
          <w:b/>
          <w:i/>
        </w:rPr>
        <w:t xml:space="preserve"> Authority</w:t>
      </w:r>
      <w:r>
        <w:rPr>
          <w:b/>
          <w:i/>
          <w:iCs/>
          <w:snapToGrid w:val="0"/>
        </w:rPr>
        <w:t>.</w:t>
      </w:r>
    </w:p>
    <w:p w:rsidR="00AA23C5" w:rsidRDefault="00BB28A7">
      <w:pPr>
        <w:pStyle w:val="Heading5"/>
        <w:rPr>
          <w:spacing w:val="-2"/>
        </w:rPr>
      </w:pPr>
      <w:bookmarkStart w:id="7" w:name="_Toc32240069"/>
      <w:r>
        <w:rPr>
          <w:rStyle w:val="CharSectno"/>
        </w:rPr>
        <w:t>1.4</w:t>
      </w:r>
      <w:r>
        <w:t>.</w:t>
      </w:r>
      <w:r>
        <w:rPr>
          <w:spacing w:val="-2"/>
        </w:rPr>
        <w:tab/>
        <w:t>Interpretation</w:t>
      </w:r>
      <w:bookmarkEnd w:id="7"/>
    </w:p>
    <w:p w:rsidR="00AA23C5" w:rsidRDefault="00BB28A7">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rsidR="00AA23C5" w:rsidRDefault="00BB28A7">
      <w:pPr>
        <w:pStyle w:val="Subsection"/>
      </w:pPr>
      <w:r>
        <w:tab/>
        <w:t>(2)</w:t>
      </w:r>
      <w:r>
        <w:tab/>
        <w:t>An expression importing a natural p</w:t>
      </w:r>
      <w:r>
        <w:t>erson includes any company, partnership, trust, joint venture, association, corporation or other body corporate and any governmental agency and vice versa.</w:t>
      </w:r>
    </w:p>
    <w:p w:rsidR="00AA23C5" w:rsidRDefault="00BB28A7">
      <w:pPr>
        <w:pStyle w:val="Subsection"/>
      </w:pPr>
      <w:r>
        <w:tab/>
        <w:t>(3)</w:t>
      </w:r>
      <w:r>
        <w:tab/>
        <w:t xml:space="preserve">A reference to a document or a provision of a document includes an amendment or supplement to, </w:t>
      </w:r>
      <w:r>
        <w:t>or replacement of or novation of, that document or that provision of that document.</w:t>
      </w:r>
    </w:p>
    <w:p w:rsidR="00AA23C5" w:rsidRDefault="00BB28A7">
      <w:pPr>
        <w:pStyle w:val="Subsection"/>
      </w:pPr>
      <w:r>
        <w:lastRenderedPageBreak/>
        <w:tab/>
        <w:t>(4)</w:t>
      </w:r>
      <w:r>
        <w:tab/>
        <w:t>A reference to a person includes that person’s executors, administrators, successors, substitutes (including, without limitation, persons taking by novation) and permi</w:t>
      </w:r>
      <w:r>
        <w:t>tted assigns.</w:t>
      </w:r>
    </w:p>
    <w:p w:rsidR="00AA23C5" w:rsidRDefault="00BB28A7">
      <w:pPr>
        <w:pStyle w:val="Subsection"/>
      </w:pPr>
      <w:r>
        <w:tab/>
        <w:t>(5)</w:t>
      </w:r>
      <w:r>
        <w:tab/>
      </w:r>
      <w:r>
        <w:rPr>
          <w:rFonts w:cs="Arial"/>
        </w:rPr>
        <w:t xml:space="preserve">Other parts of speech and grammatical forms of a word or phrase defined in the </w:t>
      </w:r>
      <w:r>
        <w:rPr>
          <w:b/>
          <w:i/>
        </w:rPr>
        <w:t xml:space="preserve">Code </w:t>
      </w:r>
      <w:r>
        <w:rPr>
          <w:rFonts w:cs="Arial"/>
        </w:rPr>
        <w:t>have a corresponding meaning.</w:t>
      </w:r>
    </w:p>
    <w:p w:rsidR="00AA23C5" w:rsidRDefault="00BB28A7">
      <w:pPr>
        <w:pStyle w:val="Subsection"/>
      </w:pPr>
      <w:r>
        <w:tab/>
        <w:t>(6)</w:t>
      </w:r>
      <w:r>
        <w:tab/>
        <w:t xml:space="preserve">A reference to a </w:t>
      </w:r>
      <w:r>
        <w:rPr>
          <w:b/>
          <w:i/>
          <w:snapToGrid w:val="0"/>
        </w:rPr>
        <w:t>gas marketing agent</w:t>
      </w:r>
      <w:r>
        <w:t xml:space="preserve"> arranging a </w:t>
      </w:r>
      <w:r>
        <w:rPr>
          <w:b/>
          <w:i/>
          <w:snapToGrid w:val="0"/>
        </w:rPr>
        <w:t>contract</w:t>
      </w:r>
      <w:r>
        <w:rPr>
          <w:b/>
          <w:i/>
        </w:rPr>
        <w:t xml:space="preserve"> </w:t>
      </w:r>
      <w:r>
        <w:t xml:space="preserve">is to be read as a reference to a </w:t>
      </w:r>
      <w:r>
        <w:rPr>
          <w:b/>
          <w:i/>
          <w:snapToGrid w:val="0"/>
        </w:rPr>
        <w:t>gas marketing agent</w:t>
      </w:r>
      <w:r>
        <w:t xml:space="preserve"> entering into the </w:t>
      </w:r>
      <w:r>
        <w:rPr>
          <w:b/>
          <w:i/>
          <w:snapToGrid w:val="0"/>
        </w:rPr>
        <w:t>contract</w:t>
      </w:r>
      <w:r>
        <w:t xml:space="preserve"> on the </w:t>
      </w:r>
      <w:r>
        <w:rPr>
          <w:b/>
          <w:i/>
          <w:snapToGrid w:val="0"/>
        </w:rPr>
        <w:t>retailer’s or customer’s</w:t>
      </w:r>
      <w:r>
        <w:t xml:space="preserve"> behalf, or arranging the </w:t>
      </w:r>
      <w:r>
        <w:rPr>
          <w:b/>
          <w:i/>
          <w:snapToGrid w:val="0"/>
        </w:rPr>
        <w:t>contract</w:t>
      </w:r>
      <w:r>
        <w:t xml:space="preserve"> on behalf of another person (whichever is relevant).</w:t>
      </w:r>
    </w:p>
    <w:p w:rsidR="00AA23C5" w:rsidRDefault="00BB28A7">
      <w:pPr>
        <w:pStyle w:val="Heading5"/>
        <w:rPr>
          <w:spacing w:val="-2"/>
        </w:rPr>
      </w:pPr>
      <w:bookmarkStart w:id="8" w:name="_Toc32240070"/>
      <w:r>
        <w:rPr>
          <w:rStyle w:val="CharSectno"/>
        </w:rPr>
        <w:t>1.5</w:t>
      </w:r>
      <w:r>
        <w:t>.</w:t>
      </w:r>
      <w:r>
        <w:rPr>
          <w:spacing w:val="-2"/>
        </w:rPr>
        <w:tab/>
        <w:t>Definitions</w:t>
      </w:r>
      <w:bookmarkEnd w:id="8"/>
    </w:p>
    <w:p w:rsidR="00AA23C5" w:rsidRDefault="00BB28A7">
      <w:pPr>
        <w:pStyle w:val="Subsection"/>
      </w:pPr>
      <w:r>
        <w:tab/>
      </w:r>
      <w:r>
        <w:tab/>
        <w:t xml:space="preserve">In the </w:t>
      </w:r>
      <w:r>
        <w:rPr>
          <w:b/>
          <w:i/>
        </w:rPr>
        <w:t>Code</w:t>
      </w:r>
      <w:r>
        <w:t xml:space="preserve">, unless the contrary intention appears — </w:t>
      </w:r>
    </w:p>
    <w:p w:rsidR="00AA23C5" w:rsidRDefault="00BB28A7">
      <w:pPr>
        <w:pStyle w:val="Defstart"/>
      </w:pPr>
      <w:r>
        <w:rPr>
          <w:b/>
          <w:bCs/>
        </w:rPr>
        <w:tab/>
      </w:r>
      <w:r>
        <w:rPr>
          <w:rStyle w:val="CharDefText"/>
        </w:rPr>
        <w:t>Act</w:t>
      </w:r>
      <w:r>
        <w:rPr>
          <w:bCs/>
        </w:rPr>
        <w:t xml:space="preserve"> </w:t>
      </w:r>
      <w:r>
        <w:t xml:space="preserve">means the </w:t>
      </w:r>
      <w:r>
        <w:rPr>
          <w:i/>
        </w:rPr>
        <w:t>Energy Coordination A</w:t>
      </w:r>
      <w:r>
        <w:rPr>
          <w:i/>
        </w:rPr>
        <w:t>ct 1994</w:t>
      </w:r>
      <w:r>
        <w:t>.</w:t>
      </w:r>
    </w:p>
    <w:p w:rsidR="00AA23C5" w:rsidRDefault="00BB28A7">
      <w:pPr>
        <w:pStyle w:val="Defstart"/>
      </w:pPr>
      <w:r>
        <w:rPr>
          <w:b/>
          <w:i/>
          <w:iCs/>
        </w:rPr>
        <w:tab/>
      </w:r>
      <w:r>
        <w:rPr>
          <w:rStyle w:val="CharDefText"/>
        </w:rPr>
        <w:t>alternative tariff</w:t>
      </w:r>
      <w:r>
        <w:rPr>
          <w:b/>
          <w:iCs/>
        </w:rPr>
        <w:t xml:space="preserve"> </w:t>
      </w:r>
      <w:r>
        <w:rPr>
          <w:iCs/>
        </w:rPr>
        <w:t xml:space="preserve">means a tariff other than the tariff under which the </w:t>
      </w:r>
      <w:r>
        <w:rPr>
          <w:b/>
          <w:i/>
          <w:iCs/>
        </w:rPr>
        <w:t>customer</w:t>
      </w:r>
      <w:r>
        <w:rPr>
          <w:iCs/>
        </w:rPr>
        <w:t xml:space="preserve"> is currently supplied gas.</w:t>
      </w:r>
    </w:p>
    <w:p w:rsidR="00AA23C5" w:rsidRDefault="00BB28A7">
      <w:pPr>
        <w:pStyle w:val="Defstart"/>
      </w:pPr>
      <w:r>
        <w:rPr>
          <w:i/>
          <w:iCs/>
        </w:rPr>
        <w:tab/>
      </w:r>
      <w:r>
        <w:rPr>
          <w:rStyle w:val="CharDefText"/>
        </w:rPr>
        <w:t>Australian Consumer Law (WA)</w:t>
      </w:r>
      <w:r>
        <w:rPr>
          <w:b/>
          <w:szCs w:val="22"/>
        </w:rPr>
        <w:t xml:space="preserve"> </w:t>
      </w:r>
      <w:r>
        <w:rPr>
          <w:szCs w:val="22"/>
        </w:rPr>
        <w:t xml:space="preserve">means schedule 2 to the </w:t>
      </w:r>
      <w:r>
        <w:rPr>
          <w:i/>
          <w:szCs w:val="22"/>
        </w:rPr>
        <w:t>Competition and Consumer Act 2010</w:t>
      </w:r>
      <w:r>
        <w:rPr>
          <w:rFonts w:cs="Arial"/>
          <w:bCs/>
          <w:szCs w:val="22"/>
        </w:rPr>
        <w:t xml:space="preserve"> (Cth) as modified by section 36 of the </w:t>
      </w:r>
      <w:r>
        <w:rPr>
          <w:rFonts w:cs="Arial"/>
          <w:bCs/>
          <w:i/>
          <w:iCs/>
          <w:szCs w:val="22"/>
        </w:rPr>
        <w:t>Fair Tradin</w:t>
      </w:r>
      <w:r>
        <w:rPr>
          <w:rFonts w:cs="Arial"/>
          <w:bCs/>
          <w:i/>
          <w:iCs/>
          <w:szCs w:val="22"/>
        </w:rPr>
        <w:t>g Act (WA) 2010</w:t>
      </w:r>
      <w:r>
        <w:rPr>
          <w:szCs w:val="22"/>
        </w:rPr>
        <w:t>.</w:t>
      </w:r>
    </w:p>
    <w:p w:rsidR="00AA23C5" w:rsidRDefault="00BB28A7">
      <w:pPr>
        <w:pStyle w:val="Defstart"/>
        <w:rPr>
          <w:i/>
        </w:rPr>
      </w:pPr>
      <w:r>
        <w:rPr>
          <w:i/>
          <w:iCs/>
        </w:rPr>
        <w:tab/>
      </w:r>
      <w:r>
        <w:rPr>
          <w:rStyle w:val="CharDefText"/>
        </w:rPr>
        <w:t>Authority</w:t>
      </w:r>
      <w:r>
        <w:t xml:space="preserve"> means the Economic Regulation Authority established under the </w:t>
      </w:r>
      <w:r>
        <w:rPr>
          <w:i/>
        </w:rPr>
        <w:t>Economic Regulation Authority Act 2003.</w:t>
      </w:r>
    </w:p>
    <w:p w:rsidR="00AA23C5" w:rsidRDefault="00BB28A7">
      <w:pPr>
        <w:pStyle w:val="Defstart"/>
        <w:rPr>
          <w:bCs/>
        </w:rPr>
      </w:pPr>
      <w:r>
        <w:rPr>
          <w:b/>
          <w:i/>
          <w:iCs/>
        </w:rPr>
        <w:tab/>
      </w:r>
      <w:r>
        <w:rPr>
          <w:rStyle w:val="CharDefText"/>
        </w:rPr>
        <w:t>basic living needs</w:t>
      </w:r>
      <w:r>
        <w:rPr>
          <w:bCs/>
        </w:rPr>
        <w:t xml:space="preserve"> includes—</w:t>
      </w:r>
    </w:p>
    <w:p w:rsidR="00AA23C5" w:rsidRDefault="00BB28A7">
      <w:pPr>
        <w:pStyle w:val="Defpara"/>
      </w:pPr>
      <w:r>
        <w:tab/>
        <w:t>(a)</w:t>
      </w:r>
      <w:r>
        <w:tab/>
        <w:t>rent or mortgage;</w:t>
      </w:r>
    </w:p>
    <w:p w:rsidR="00AA23C5" w:rsidRDefault="00BB28A7">
      <w:pPr>
        <w:pStyle w:val="Defpara"/>
      </w:pPr>
      <w:r>
        <w:tab/>
        <w:t>(b)</w:t>
      </w:r>
      <w:r>
        <w:tab/>
        <w:t>other utilities (e.g. electricity, phone and water);</w:t>
      </w:r>
    </w:p>
    <w:p w:rsidR="00AA23C5" w:rsidRDefault="00BB28A7">
      <w:pPr>
        <w:pStyle w:val="Defpara"/>
      </w:pPr>
      <w:r>
        <w:tab/>
        <w:t>(c)</w:t>
      </w:r>
      <w:r>
        <w:tab/>
        <w:t>food and g</w:t>
      </w:r>
      <w:r>
        <w:t>roceries;</w:t>
      </w:r>
    </w:p>
    <w:p w:rsidR="00AA23C5" w:rsidRDefault="00BB28A7">
      <w:pPr>
        <w:pStyle w:val="Defpara"/>
      </w:pPr>
      <w:r>
        <w:tab/>
        <w:t>(d)</w:t>
      </w:r>
      <w:r>
        <w:tab/>
        <w:t>transport (including petrol and car expenses);</w:t>
      </w:r>
    </w:p>
    <w:p w:rsidR="00AA23C5" w:rsidRDefault="00BB28A7">
      <w:pPr>
        <w:pStyle w:val="Defpara"/>
      </w:pPr>
      <w:r>
        <w:tab/>
        <w:t>(e)</w:t>
      </w:r>
      <w:r>
        <w:tab/>
        <w:t>childcare and school fees;</w:t>
      </w:r>
    </w:p>
    <w:p w:rsidR="00AA23C5" w:rsidRDefault="00BB28A7">
      <w:pPr>
        <w:pStyle w:val="Defpara"/>
      </w:pPr>
      <w:r>
        <w:tab/>
        <w:t>(f)</w:t>
      </w:r>
      <w:r>
        <w:tab/>
        <w:t>clothing; and</w:t>
      </w:r>
    </w:p>
    <w:p w:rsidR="00AA23C5" w:rsidRDefault="00BB28A7">
      <w:pPr>
        <w:pStyle w:val="Defpara"/>
      </w:pPr>
      <w:r>
        <w:tab/>
        <w:t>(g)</w:t>
      </w:r>
      <w:r>
        <w:tab/>
        <w:t>medical and dental expenses.</w:t>
      </w:r>
    </w:p>
    <w:p w:rsidR="00AA23C5" w:rsidRDefault="00BB28A7">
      <w:pPr>
        <w:pStyle w:val="Defstart"/>
        <w:rPr>
          <w:rFonts w:cs="Arial"/>
          <w:bCs/>
          <w:iCs/>
          <w:szCs w:val="22"/>
        </w:rPr>
      </w:pPr>
      <w:r>
        <w:rPr>
          <w:b/>
          <w:i/>
          <w:iCs/>
        </w:rPr>
        <w:tab/>
      </w:r>
      <w:r>
        <w:rPr>
          <w:rStyle w:val="CharDefText"/>
        </w:rPr>
        <w:t>business day</w:t>
      </w:r>
      <w:r>
        <w:rPr>
          <w:rFonts w:cs="Arial"/>
          <w:b/>
          <w:bCs/>
          <w:szCs w:val="22"/>
        </w:rPr>
        <w:t xml:space="preserve"> </w:t>
      </w:r>
      <w:r>
        <w:rPr>
          <w:rFonts w:cs="Arial"/>
          <w:szCs w:val="22"/>
        </w:rPr>
        <w:t>means any day except a Saturday, Sunday or</w:t>
      </w:r>
      <w:r>
        <w:rPr>
          <w:snapToGrid/>
        </w:rPr>
        <w:t xml:space="preserve"> </w:t>
      </w:r>
      <w:r>
        <w:rPr>
          <w:b/>
          <w:i/>
        </w:rPr>
        <w:t>public holiday</w:t>
      </w:r>
      <w:r>
        <w:rPr>
          <w:rFonts w:cs="Arial"/>
          <w:bCs/>
          <w:iCs/>
          <w:szCs w:val="22"/>
        </w:rPr>
        <w:t>.</w:t>
      </w:r>
    </w:p>
    <w:p w:rsidR="00AA23C5" w:rsidRDefault="00BB28A7">
      <w:pPr>
        <w:pStyle w:val="Defstart"/>
        <w:keepNext/>
        <w:rPr>
          <w:bCs/>
        </w:rPr>
      </w:pPr>
      <w:r>
        <w:rPr>
          <w:b/>
          <w:i/>
          <w:iCs/>
        </w:rPr>
        <w:lastRenderedPageBreak/>
        <w:tab/>
      </w:r>
      <w:r>
        <w:rPr>
          <w:rStyle w:val="CharDefText"/>
        </w:rPr>
        <w:t>change in personal circumstances</w:t>
      </w:r>
      <w:r>
        <w:rPr>
          <w:b/>
        </w:rPr>
        <w:t xml:space="preserve"> </w:t>
      </w:r>
      <w:r>
        <w:rPr>
          <w:bCs/>
        </w:rPr>
        <w:t>includes—</w:t>
      </w:r>
    </w:p>
    <w:p w:rsidR="00AA23C5" w:rsidRDefault="00BB28A7">
      <w:pPr>
        <w:pStyle w:val="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rsidR="00AA23C5" w:rsidRDefault="00BB28A7">
      <w:pPr>
        <w:pStyle w:val="Defpara"/>
      </w:pPr>
      <w:r>
        <w:tab/>
        <w:t>(b)</w:t>
      </w:r>
      <w:r>
        <w:tab/>
        <w:t xml:space="preserve">loss of or damage to property of the </w:t>
      </w:r>
      <w:r>
        <w:rPr>
          <w:b/>
          <w:i/>
        </w:rPr>
        <w:t>residential customer</w:t>
      </w:r>
      <w:r>
        <w:t>; or</w:t>
      </w:r>
    </w:p>
    <w:p w:rsidR="00AA23C5" w:rsidRDefault="00BB28A7">
      <w:pPr>
        <w:pStyle w:val="Defpara"/>
      </w:pPr>
      <w:r>
        <w:tab/>
        <w:t>(c)</w:t>
      </w:r>
      <w:r>
        <w:tab/>
        <w:t xml:space="preserve">other similar unforeseeable circumstances </w:t>
      </w:r>
      <w:r>
        <w:t xml:space="preserve">arising as a result of events beyond the control of the </w:t>
      </w:r>
      <w:r>
        <w:rPr>
          <w:b/>
          <w:i/>
        </w:rPr>
        <w:t>residential customer</w:t>
      </w:r>
      <w:r>
        <w:t>.</w:t>
      </w:r>
    </w:p>
    <w:p w:rsidR="00AA23C5" w:rsidRDefault="00BB28A7">
      <w:pPr>
        <w:pStyle w:val="Defstart"/>
      </w:pPr>
      <w:r>
        <w:rPr>
          <w:b/>
          <w:i/>
          <w:iCs/>
        </w:rPr>
        <w:tab/>
      </w:r>
      <w:r>
        <w:rPr>
          <w:rStyle w:val="CharDefText"/>
        </w:rPr>
        <w:t>Code</w:t>
      </w:r>
      <w:r>
        <w:rPr>
          <w:b/>
          <w:i/>
          <w:iCs/>
        </w:rPr>
        <w:t xml:space="preserve"> </w:t>
      </w:r>
      <w:r>
        <w:t xml:space="preserve">means this </w:t>
      </w:r>
      <w:r>
        <w:rPr>
          <w:i/>
        </w:rPr>
        <w:t>Gas Marketing Code of Conduct 2017</w:t>
      </w:r>
      <w:r>
        <w:t xml:space="preserve"> made under section 11ZPM of the </w:t>
      </w:r>
      <w:r>
        <w:rPr>
          <w:b/>
          <w:i/>
          <w:iCs/>
        </w:rPr>
        <w:t>Act</w:t>
      </w:r>
      <w:r>
        <w:t xml:space="preserve"> as amended by the </w:t>
      </w:r>
      <w:r>
        <w:rPr>
          <w:b/>
          <w:i/>
        </w:rPr>
        <w:t>Authority</w:t>
      </w:r>
      <w:r>
        <w:rPr>
          <w:b/>
          <w:i/>
          <w:iCs/>
        </w:rPr>
        <w:t xml:space="preserve"> </w:t>
      </w:r>
      <w:r>
        <w:t xml:space="preserve">under Part 2C of the </w:t>
      </w:r>
      <w:r>
        <w:rPr>
          <w:b/>
          <w:i/>
        </w:rPr>
        <w:t>Act</w:t>
      </w:r>
      <w:r>
        <w:t>.</w:t>
      </w:r>
    </w:p>
    <w:p w:rsidR="00AA23C5" w:rsidRDefault="00BB28A7">
      <w:pPr>
        <w:pStyle w:val="Defstart"/>
      </w:pPr>
      <w:r>
        <w:rPr>
          <w:b/>
          <w:i/>
          <w:iCs/>
        </w:rPr>
        <w:tab/>
      </w:r>
      <w:r>
        <w:rPr>
          <w:rStyle w:val="CharDefText"/>
        </w:rPr>
        <w:t>Compendium</w:t>
      </w:r>
      <w:r>
        <w:rPr>
          <w:b/>
        </w:rPr>
        <w:t xml:space="preserve"> </w:t>
      </w:r>
      <w:r>
        <w:t xml:space="preserve">means the Compendium of </w:t>
      </w:r>
      <w:r>
        <w:t>Gas Customer Licence Obligations.</w:t>
      </w:r>
    </w:p>
    <w:p w:rsidR="00AA23C5" w:rsidRDefault="00BB28A7">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rsidR="00AA23C5" w:rsidRDefault="00BB28A7">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rsidR="00AA23C5" w:rsidRDefault="00BB28A7">
      <w:pPr>
        <w:pStyle w:val="Defstart"/>
      </w:pPr>
      <w:r>
        <w:tab/>
      </w:r>
      <w:r>
        <w:rPr>
          <w:rStyle w:val="CharDefText"/>
        </w:rPr>
        <w:t>contact</w:t>
      </w:r>
      <w:r>
        <w:rPr>
          <w:b/>
          <w:i/>
          <w:iCs/>
        </w:rPr>
        <w:t xml:space="preserve"> </w:t>
      </w:r>
      <w:r>
        <w:t xml:space="preserve">means contact that is face to face, by </w:t>
      </w:r>
      <w:r>
        <w:rPr>
          <w:b/>
          <w:i/>
        </w:rPr>
        <w:t xml:space="preserve">telephone </w:t>
      </w:r>
      <w:r>
        <w:t xml:space="preserve">or by post, facsimile or electronic communication. </w:t>
      </w:r>
    </w:p>
    <w:p w:rsidR="00AA23C5" w:rsidRDefault="00BB28A7">
      <w:pPr>
        <w:pStyle w:val="Defstart"/>
      </w:pPr>
      <w:r>
        <w:tab/>
      </w:r>
      <w:r>
        <w:rPr>
          <w:rStyle w:val="CharDefText"/>
        </w:rPr>
        <w:t>contract</w:t>
      </w:r>
      <w:r>
        <w:rPr>
          <w:b/>
          <w:i/>
          <w:iCs/>
        </w:rPr>
        <w:t xml:space="preserve"> </w:t>
      </w:r>
      <w:r>
        <w:t xml:space="preserve">means a </w:t>
      </w:r>
      <w:r>
        <w:rPr>
          <w:b/>
          <w:i/>
          <w:iCs/>
        </w:rPr>
        <w:t>standard form contract</w:t>
      </w:r>
      <w:r>
        <w:t xml:space="preserve"> or a </w:t>
      </w:r>
      <w:r>
        <w:rPr>
          <w:b/>
          <w:i/>
          <w:iCs/>
        </w:rPr>
        <w:t xml:space="preserve">non-standard </w:t>
      </w:r>
      <w:r>
        <w:rPr>
          <w:b/>
          <w:i/>
        </w:rPr>
        <w:t>contract</w:t>
      </w:r>
      <w:r>
        <w:t>.</w:t>
      </w:r>
    </w:p>
    <w:p w:rsidR="00AA23C5" w:rsidRDefault="00BB28A7">
      <w:pPr>
        <w:pStyle w:val="Defstart"/>
      </w:pPr>
      <w:r>
        <w:tab/>
      </w:r>
      <w:r>
        <w:rPr>
          <w:rStyle w:val="CharDefText"/>
        </w:rPr>
        <w:t>cooling-off period</w:t>
      </w:r>
      <w:r>
        <w:t xml:space="preserve"> means the period specified in the </w:t>
      </w:r>
      <w:r>
        <w:rPr>
          <w:b/>
          <w:i/>
        </w:rPr>
        <w:t>contract</w:t>
      </w:r>
      <w:r>
        <w:t xml:space="preserve"> as the cooling-off period.</w:t>
      </w:r>
    </w:p>
    <w:p w:rsidR="00AA23C5" w:rsidRDefault="00BB28A7">
      <w:pPr>
        <w:pStyle w:val="Defstart"/>
      </w:pPr>
      <w:r>
        <w:tab/>
      </w:r>
      <w:r>
        <w:rPr>
          <w:rStyle w:val="CharDefText"/>
        </w:rPr>
        <w:t>customer</w:t>
      </w:r>
      <w:r>
        <w:t xml:space="preserve"> means a customer who consumes less than 1 terajoule of gas per annum.</w:t>
      </w:r>
    </w:p>
    <w:p w:rsidR="00AA23C5" w:rsidRDefault="00BB28A7">
      <w:pPr>
        <w:pStyle w:val="Defstart"/>
      </w:pPr>
      <w:r>
        <w:tab/>
      </w:r>
      <w:r>
        <w:rPr>
          <w:rStyle w:val="CharDefText"/>
        </w:rPr>
        <w:t>distributor</w:t>
      </w:r>
      <w:r>
        <w:t xml:space="preserve"> means a person who holds a distribution licence under Part 2A of the </w:t>
      </w:r>
      <w:r>
        <w:rPr>
          <w:b/>
          <w:i/>
        </w:rPr>
        <w:t>Act</w:t>
      </w:r>
      <w:r>
        <w:t>.</w:t>
      </w:r>
    </w:p>
    <w:p w:rsidR="00AA23C5" w:rsidRDefault="00BB28A7">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w:t>
      </w:r>
      <w:r>
        <w:t xml:space="preserve"> Australia or which destroys or damages, or threatens to destroy or damage, any property in Western Australia.</w:t>
      </w:r>
    </w:p>
    <w:p w:rsidR="00AA23C5" w:rsidRDefault="00BB28A7">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w:t>
      </w:r>
      <w:r>
        <w:t xml:space="preserve">tstanding amount as required by a retailer without affecting the ability to meet the </w:t>
      </w:r>
      <w:r>
        <w:rPr>
          <w:b/>
          <w:i/>
        </w:rPr>
        <w:t>basic living needs</w:t>
      </w:r>
      <w:r>
        <w:rPr>
          <w:b/>
          <w:i/>
          <w:iCs/>
        </w:rPr>
        <w:t xml:space="preserve"> </w:t>
      </w:r>
      <w:r>
        <w:t xml:space="preserve">of the </w:t>
      </w:r>
      <w:r>
        <w:rPr>
          <w:b/>
          <w:i/>
        </w:rPr>
        <w:t>residential customer</w:t>
      </w:r>
      <w:r>
        <w:t xml:space="preserve"> or a dependant of the </w:t>
      </w:r>
      <w:r>
        <w:rPr>
          <w:b/>
          <w:i/>
        </w:rPr>
        <w:t>residential customer</w:t>
      </w:r>
      <w:r>
        <w:t>.</w:t>
      </w:r>
    </w:p>
    <w:p w:rsidR="00AA23C5" w:rsidRDefault="00BB28A7">
      <w:pPr>
        <w:pStyle w:val="Defstart"/>
      </w:pPr>
      <w:r>
        <w:tab/>
      </w:r>
      <w:r>
        <w:rPr>
          <w:rStyle w:val="CharDefText"/>
        </w:rPr>
        <w:t>gas customer safety awareness program</w:t>
      </w:r>
      <w:r>
        <w:t xml:space="preserve"> means a program to communicate informatio</w:t>
      </w:r>
      <w:r>
        <w:t xml:space="preserve">n to </w:t>
      </w:r>
      <w:r>
        <w:rPr>
          <w:b/>
          <w:i/>
          <w:snapToGrid/>
        </w:rPr>
        <w:t>customers</w:t>
      </w:r>
      <w:r>
        <w:rPr>
          <w:i/>
        </w:rPr>
        <w:t xml:space="preserve"> </w:t>
      </w:r>
      <w:r>
        <w:t xml:space="preserve">regarding safety in the use of gas and must address, at a minimum, provision of the following information to </w:t>
      </w:r>
      <w:r>
        <w:rPr>
          <w:b/>
          <w:i/>
          <w:snapToGrid/>
        </w:rPr>
        <w:t>customers</w:t>
      </w:r>
      <w:r>
        <w:rPr>
          <w:b/>
          <w:i/>
        </w:rPr>
        <w:t> </w:t>
      </w:r>
      <w:r>
        <w:t xml:space="preserve">— </w:t>
      </w:r>
    </w:p>
    <w:p w:rsidR="00AA23C5" w:rsidRDefault="00BB28A7">
      <w:pPr>
        <w:pStyle w:val="Indenta"/>
      </w:pPr>
      <w:r>
        <w:tab/>
        <w:t>(a)</w:t>
      </w:r>
      <w:r>
        <w:tab/>
        <w:t xml:space="preserve">information on the properties of gas relevant to its use by </w:t>
      </w:r>
      <w:r>
        <w:rPr>
          <w:b/>
          <w:i/>
        </w:rPr>
        <w:t>customers</w:t>
      </w:r>
      <w:r>
        <w:t>;</w:t>
      </w:r>
    </w:p>
    <w:p w:rsidR="00AA23C5" w:rsidRDefault="00BB28A7">
      <w:pPr>
        <w:pStyle w:val="Indenta"/>
      </w:pPr>
      <w:r>
        <w:tab/>
        <w:t>(b)</w:t>
      </w:r>
      <w:r>
        <w:tab/>
        <w:t>a notice of the requirement for proper</w:t>
      </w:r>
      <w:r>
        <w:t xml:space="preserve"> installation and use of approved appliances and equipment; </w:t>
      </w:r>
    </w:p>
    <w:p w:rsidR="00AA23C5" w:rsidRDefault="00BB28A7">
      <w:pPr>
        <w:pStyle w:val="Indenta"/>
      </w:pPr>
      <w:r>
        <w:tab/>
        <w:t>(c)</w:t>
      </w:r>
      <w:r>
        <w:tab/>
        <w:t xml:space="preserve">a notice of the requirement to use only qualified trade persons for gas connection and appliance and equipment installation; </w:t>
      </w:r>
    </w:p>
    <w:p w:rsidR="00AA23C5" w:rsidRDefault="00BB28A7">
      <w:pPr>
        <w:pStyle w:val="Indenta"/>
      </w:pPr>
      <w:r>
        <w:tab/>
        <w:t>(d)</w:t>
      </w:r>
      <w:r>
        <w:tab/>
        <w:t>the proper procedure for the reporting of gas leaks or appl</w:t>
      </w:r>
      <w:r>
        <w:t xml:space="preserve">iance or equipment defects; and </w:t>
      </w:r>
    </w:p>
    <w:p w:rsidR="00AA23C5" w:rsidRDefault="00BB28A7">
      <w:pPr>
        <w:pStyle w:val="Indenta"/>
      </w:pPr>
      <w:r>
        <w:tab/>
        <w:t>(e)</w:t>
      </w:r>
      <w:r>
        <w:tab/>
        <w:t xml:space="preserve">safety procedures to be followed and the appropriate </w:t>
      </w:r>
      <w:r>
        <w:rPr>
          <w:b/>
          <w:i/>
        </w:rPr>
        <w:t>telephone</w:t>
      </w:r>
      <w:r>
        <w:t xml:space="preserve"> number to call in case of </w:t>
      </w:r>
      <w:r>
        <w:rPr>
          <w:b/>
          <w:i/>
        </w:rPr>
        <w:t>emergency</w:t>
      </w:r>
      <w:r>
        <w:t>.</w:t>
      </w:r>
    </w:p>
    <w:p w:rsidR="00AA23C5" w:rsidRDefault="00BB28A7">
      <w:pPr>
        <w:pStyle w:val="Defstart"/>
      </w:pPr>
      <w:r>
        <w:tab/>
      </w:r>
      <w:r>
        <w:rPr>
          <w:rStyle w:val="CharDefText"/>
        </w:rPr>
        <w:t>gas marketing agent</w:t>
      </w:r>
      <w:r>
        <w:t xml:space="preserve"> means — </w:t>
      </w:r>
    </w:p>
    <w:p w:rsidR="00AA23C5" w:rsidRDefault="00BB28A7">
      <w:pPr>
        <w:pStyle w:val="Indenta"/>
      </w:pPr>
      <w:r>
        <w:tab/>
        <w:t>(a)</w:t>
      </w:r>
      <w:r>
        <w:tab/>
        <w:t xml:space="preserve">a person who acts on behalf of a </w:t>
      </w:r>
      <w:r>
        <w:rPr>
          <w:b/>
          <w:i/>
        </w:rPr>
        <w:t>retailer</w:t>
      </w:r>
      <w:r>
        <w:t xml:space="preserve"> — </w:t>
      </w:r>
    </w:p>
    <w:p w:rsidR="00AA23C5" w:rsidRDefault="00BB28A7">
      <w:pPr>
        <w:pStyle w:val="Indenti"/>
      </w:pPr>
      <w:r>
        <w:tab/>
        <w:t>(i)</w:t>
      </w:r>
      <w:r>
        <w:tab/>
        <w:t xml:space="preserve">for the purpose of obtaining new </w:t>
      </w:r>
      <w:r>
        <w:rPr>
          <w:b/>
          <w:i/>
        </w:rPr>
        <w:t>customers</w:t>
      </w:r>
      <w:r>
        <w:t xml:space="preserve"> for the licensee; or</w:t>
      </w:r>
    </w:p>
    <w:p w:rsidR="00AA23C5" w:rsidRDefault="00BB28A7">
      <w:pPr>
        <w:pStyle w:val="Indenti"/>
      </w:pPr>
      <w:r>
        <w:tab/>
        <w:t>(ii)</w:t>
      </w:r>
      <w:r>
        <w:tab/>
        <w:t xml:space="preserve">in dealings with existing </w:t>
      </w:r>
      <w:r>
        <w:rPr>
          <w:b/>
          <w:i/>
        </w:rPr>
        <w:t>customers</w:t>
      </w:r>
      <w:r>
        <w:t xml:space="preserve"> in relation to </w:t>
      </w:r>
      <w:r>
        <w:rPr>
          <w:b/>
          <w:i/>
        </w:rPr>
        <w:t>contracts</w:t>
      </w:r>
      <w:r>
        <w:t xml:space="preserve"> for the supply of gas by the licensee; or</w:t>
      </w:r>
    </w:p>
    <w:p w:rsidR="00AA23C5" w:rsidRDefault="00BB28A7">
      <w:pPr>
        <w:pStyle w:val="Indenta"/>
      </w:pPr>
      <w:r>
        <w:tab/>
        <w:t>(b)</w:t>
      </w:r>
      <w:r>
        <w:tab/>
        <w:t>a representative, agent or employee of a person referred to in paragraph (a).</w:t>
      </w:r>
    </w:p>
    <w:p w:rsidR="00AA23C5" w:rsidRDefault="00BB28A7">
      <w:pPr>
        <w:pStyle w:val="Indenta"/>
      </w:pPr>
      <w:r>
        <w:tab/>
        <w:t>(c)</w:t>
      </w:r>
      <w:r>
        <w:tab/>
        <w:t xml:space="preserve">not a person who is a </w:t>
      </w:r>
      <w:r>
        <w:rPr>
          <w:b/>
          <w:i/>
        </w:rPr>
        <w:t>custom</w:t>
      </w:r>
      <w:r>
        <w:rPr>
          <w:b/>
          <w:i/>
        </w:rPr>
        <w:t>er</w:t>
      </w:r>
      <w:r>
        <w:t xml:space="preserve"> representative.</w:t>
      </w:r>
    </w:p>
    <w:p w:rsidR="00AA23C5" w:rsidRDefault="00BB28A7">
      <w:pPr>
        <w:pStyle w:val="Defstart"/>
      </w:pPr>
      <w:r>
        <w:tab/>
      </w:r>
      <w:r>
        <w:rPr>
          <w:rStyle w:val="CharDefText"/>
        </w:rPr>
        <w:t>gas ombudsman</w:t>
      </w:r>
      <w:r>
        <w:t xml:space="preserve"> means the ombudsman appointed under the scheme approved by the </w:t>
      </w:r>
      <w:r>
        <w:rPr>
          <w:b/>
          <w:i/>
          <w:snapToGrid/>
        </w:rPr>
        <w:t>Authority</w:t>
      </w:r>
      <w:r>
        <w:rPr>
          <w:b/>
        </w:rPr>
        <w:t xml:space="preserve"> </w:t>
      </w:r>
      <w:r>
        <w:t xml:space="preserve">pursuant to section 11ZPZ of the </w:t>
      </w:r>
      <w:r>
        <w:rPr>
          <w:b/>
          <w:i/>
        </w:rPr>
        <w:t>Act</w:t>
      </w:r>
      <w:r>
        <w:t>.</w:t>
      </w:r>
    </w:p>
    <w:p w:rsidR="00AA23C5" w:rsidRDefault="00BB28A7">
      <w:pPr>
        <w:pStyle w:val="PermNoteHeading"/>
      </w:pPr>
      <w:r>
        <w:tab/>
        <w:t>Note for this definition:</w:t>
      </w:r>
    </w:p>
    <w:p w:rsidR="00AA23C5" w:rsidRDefault="00BB28A7">
      <w:pPr>
        <w:pStyle w:val="PermNoteText"/>
      </w:pPr>
      <w:r>
        <w:tab/>
      </w:r>
      <w:r>
        <w:tab/>
      </w:r>
      <w:r>
        <w:t>The energy ombudsman Western Australia is the gas ombudsman appointed under the scheme approved by the Authority pursuant to section 11ZPZ of the Act.</w:t>
      </w:r>
    </w:p>
    <w:p w:rsidR="00AA23C5" w:rsidRDefault="00BB28A7">
      <w:pPr>
        <w:pStyle w:val="Defstart"/>
      </w:pPr>
      <w:r>
        <w:tab/>
      </w:r>
      <w:r>
        <w:rPr>
          <w:rStyle w:val="CharDefText"/>
        </w:rPr>
        <w:t>marketing</w:t>
      </w:r>
      <w:r>
        <w:t xml:space="preserve"> includes engaging or attempting to engage in any of the following activities by any means, inc</w:t>
      </w:r>
      <w:r>
        <w:t xml:space="preserve">luding door to door or by </w:t>
      </w:r>
      <w:r>
        <w:rPr>
          <w:b/>
          <w:i/>
          <w:iCs/>
        </w:rPr>
        <w:t>telephone</w:t>
      </w:r>
      <w:r>
        <w:rPr>
          <w:b/>
          <w:i/>
        </w:rPr>
        <w:t xml:space="preserve"> </w:t>
      </w:r>
      <w:r>
        <w:t xml:space="preserve">or other electronic means — </w:t>
      </w:r>
    </w:p>
    <w:p w:rsidR="00AA23C5" w:rsidRDefault="00BB28A7">
      <w:pPr>
        <w:pStyle w:val="Indenta"/>
      </w:pPr>
      <w:r>
        <w:tab/>
        <w:t>(a)</w:t>
      </w:r>
      <w:r>
        <w:tab/>
        <w:t xml:space="preserve">negotiations for, or dealings in respect of, a </w:t>
      </w:r>
      <w:r>
        <w:rPr>
          <w:b/>
          <w:i/>
          <w:iCs/>
          <w:snapToGrid w:val="0"/>
        </w:rPr>
        <w:t>contract</w:t>
      </w:r>
      <w:r>
        <w:t xml:space="preserve"> for the supply of gas to a</w:t>
      </w:r>
      <w:r>
        <w:rPr>
          <w:b/>
          <w:i/>
          <w:iCs/>
          <w:snapToGrid w:val="0"/>
        </w:rPr>
        <w:t xml:space="preserve"> </w:t>
      </w:r>
      <w:r>
        <w:rPr>
          <w:b/>
          <w:i/>
        </w:rPr>
        <w:t>customer</w:t>
      </w:r>
      <w:r>
        <w:t>; or</w:t>
      </w:r>
    </w:p>
    <w:p w:rsidR="00AA23C5" w:rsidRDefault="00BB28A7">
      <w:pPr>
        <w:pStyle w:val="Indenta"/>
      </w:pPr>
      <w:r>
        <w:tab/>
        <w:t>(b)</w:t>
      </w:r>
      <w:r>
        <w:tab/>
        <w:t>advertising, promotion, market research or public relations in relation to the supply</w:t>
      </w:r>
      <w:r>
        <w:t xml:space="preserve"> of gas to </w:t>
      </w:r>
      <w:r>
        <w:rPr>
          <w:b/>
          <w:i/>
        </w:rPr>
        <w:t>customers</w:t>
      </w:r>
      <w:r>
        <w:rPr>
          <w:i/>
        </w:rPr>
        <w:t>.</w:t>
      </w:r>
    </w:p>
    <w:p w:rsidR="00AA23C5" w:rsidRDefault="00BB28A7">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rsidR="00AA23C5" w:rsidRDefault="00BB28A7">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w:t>
      </w:r>
      <w:r>
        <w:rPr>
          <w:b/>
          <w:i/>
        </w:rPr>
        <w:t>omers</w:t>
      </w:r>
      <w:r>
        <w:t xml:space="preserve">, that is not a </w:t>
      </w:r>
      <w:r>
        <w:rPr>
          <w:b/>
          <w:i/>
        </w:rPr>
        <w:t>standard form contract</w:t>
      </w:r>
      <w:r>
        <w:t xml:space="preserve">. </w:t>
      </w:r>
    </w:p>
    <w:p w:rsidR="00AA23C5" w:rsidRDefault="00BB28A7">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w:t>
      </w:r>
      <w:r>
        <w:rPr>
          <w:b/>
          <w:i/>
        </w:rPr>
        <w:t>al circumstances</w:t>
      </w:r>
      <w:r>
        <w:t>.</w:t>
      </w:r>
    </w:p>
    <w:p w:rsidR="00AA23C5" w:rsidRDefault="00BB28A7">
      <w:pPr>
        <w:pStyle w:val="Defstart"/>
      </w:pPr>
      <w:r>
        <w:tab/>
      </w:r>
      <w:r>
        <w:rPr>
          <w:rStyle w:val="CharDefText"/>
        </w:rPr>
        <w:t>premises</w:t>
      </w:r>
      <w:r>
        <w:rPr>
          <w:b/>
          <w:i/>
          <w:iCs/>
        </w:rPr>
        <w:t xml:space="preserve"> </w:t>
      </w:r>
      <w:r>
        <w:t xml:space="preserve">means premises owned or occupied by a new or existing </w:t>
      </w:r>
      <w:r>
        <w:rPr>
          <w:b/>
          <w:i/>
        </w:rPr>
        <w:t>customer</w:t>
      </w:r>
      <w:r>
        <w:t>.</w:t>
      </w:r>
    </w:p>
    <w:p w:rsidR="00AA23C5" w:rsidRDefault="00BB28A7">
      <w:pPr>
        <w:pStyle w:val="Defstart"/>
      </w:pPr>
      <w:r>
        <w:tab/>
      </w:r>
      <w:r>
        <w:rPr>
          <w:rStyle w:val="CharDefText"/>
        </w:rPr>
        <w:t>public holiday</w:t>
      </w:r>
      <w:r>
        <w:t xml:space="preserve"> means a public holiday in Western Australia.</w:t>
      </w:r>
    </w:p>
    <w:p w:rsidR="00AA23C5" w:rsidRDefault="00BB28A7">
      <w:pPr>
        <w:pStyle w:val="Defstart"/>
      </w:pPr>
      <w:r>
        <w:tab/>
      </w:r>
      <w:r>
        <w:rPr>
          <w:rStyle w:val="CharDefText"/>
        </w:rPr>
        <w:t>residential customer</w:t>
      </w:r>
      <w:r>
        <w:t xml:space="preserve"> means a </w:t>
      </w:r>
      <w:r>
        <w:rPr>
          <w:b/>
          <w:i/>
        </w:rPr>
        <w:t>customer</w:t>
      </w:r>
      <w:r>
        <w:t xml:space="preserve"> who consumes gas solely for domestic use.</w:t>
      </w:r>
    </w:p>
    <w:p w:rsidR="00AA23C5" w:rsidRDefault="00BB28A7">
      <w:pPr>
        <w:pStyle w:val="Defstart"/>
      </w:pPr>
      <w:r>
        <w:tab/>
      </w:r>
      <w:r>
        <w:rPr>
          <w:rStyle w:val="CharDefText"/>
        </w:rPr>
        <w:t>retailer</w:t>
      </w:r>
      <w:r>
        <w:rPr>
          <w:b/>
          <w:i/>
          <w:iCs/>
        </w:rPr>
        <w:t xml:space="preserve"> </w:t>
      </w:r>
      <w:r>
        <w:t xml:space="preserve">means a </w:t>
      </w:r>
      <w:r>
        <w:t>person who holds a trading licence under Part 2A of the Act.</w:t>
      </w:r>
    </w:p>
    <w:p w:rsidR="00AA23C5" w:rsidRDefault="00BB28A7">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rsidR="00AA23C5" w:rsidRDefault="00BB28A7">
      <w:pPr>
        <w:pStyle w:val="Defstart"/>
      </w:pPr>
      <w:r>
        <w:tab/>
      </w:r>
      <w:r>
        <w:rPr>
          <w:rStyle w:val="CharDefText"/>
        </w:rPr>
        <w:t>telephone</w:t>
      </w:r>
      <w:r>
        <w:rPr>
          <w:b/>
          <w:i/>
          <w:iCs/>
        </w:rPr>
        <w:t xml:space="preserve"> </w:t>
      </w:r>
      <w:r>
        <w:t>means a device which is used to transmit and receive voice frequency signals.</w:t>
      </w:r>
    </w:p>
    <w:p w:rsidR="00AA23C5" w:rsidRDefault="00BB28A7">
      <w:pPr>
        <w:pStyle w:val="Defstart"/>
      </w:pPr>
      <w:r>
        <w:tab/>
      </w:r>
      <w:r>
        <w:rPr>
          <w:rStyle w:val="CharDefText"/>
        </w:rPr>
        <w:t>TTY</w:t>
      </w:r>
      <w:r>
        <w:rPr>
          <w:b/>
          <w:i/>
          <w:iCs/>
        </w:rPr>
        <w:t xml:space="preserve"> </w:t>
      </w:r>
      <w:r>
        <w:t>means teletypewriter.</w:t>
      </w:r>
    </w:p>
    <w:p w:rsidR="00AA23C5" w:rsidRDefault="00BB28A7">
      <w:pPr>
        <w:pStyle w:val="Defstart"/>
      </w:pPr>
      <w:r>
        <w:tab/>
      </w:r>
      <w:r>
        <w:rPr>
          <w:rStyle w:val="CharDefText"/>
        </w:rPr>
        <w:t>unsolicited consumer agreement</w:t>
      </w:r>
      <w:r>
        <w:t xml:space="preserve"> is defined in section 69 of the </w:t>
      </w:r>
      <w:r>
        <w:rPr>
          <w:b/>
          <w:i/>
        </w:rPr>
        <w:t>Australian Consumer Law (WA)</w:t>
      </w:r>
      <w:r>
        <w:t>.</w:t>
      </w:r>
    </w:p>
    <w:p w:rsidR="00AA23C5" w:rsidRDefault="00BB28A7">
      <w:pPr>
        <w:pStyle w:val="Defstart"/>
      </w:pPr>
      <w:r>
        <w:tab/>
      </w:r>
      <w:r>
        <w:rPr>
          <w:rStyle w:val="CharDefText"/>
        </w:rPr>
        <w:t>verifiable confirmation</w:t>
      </w:r>
      <w:r>
        <w:t xml:space="preserve"> means confirmation that is given — </w:t>
      </w:r>
    </w:p>
    <w:p w:rsidR="00AA23C5" w:rsidRDefault="00BB28A7">
      <w:pPr>
        <w:pStyle w:val="Defpara"/>
      </w:pPr>
      <w:r>
        <w:tab/>
        <w:t>(a)</w:t>
      </w:r>
      <w:r>
        <w:tab/>
        <w:t>expressly; and</w:t>
      </w:r>
    </w:p>
    <w:p w:rsidR="00AA23C5" w:rsidRDefault="00BB28A7">
      <w:pPr>
        <w:pStyle w:val="Defpara"/>
      </w:pPr>
      <w:r>
        <w:tab/>
        <w:t>(b)</w:t>
      </w:r>
      <w:r>
        <w:tab/>
        <w:t>in writing or orally; and</w:t>
      </w:r>
    </w:p>
    <w:p w:rsidR="00AA23C5" w:rsidRDefault="00BB28A7">
      <w:pPr>
        <w:pStyle w:val="Defpara"/>
      </w:pPr>
      <w:r>
        <w:tab/>
        <w:t>(c)</w:t>
      </w:r>
      <w:r>
        <w:tab/>
        <w:t xml:space="preserve">by the </w:t>
      </w:r>
      <w:r>
        <w:rPr>
          <w:b/>
          <w:i/>
        </w:rPr>
        <w:t>customer</w:t>
      </w:r>
      <w:r>
        <w:t xml:space="preserve"> or</w:t>
      </w:r>
      <w:r>
        <w:t xml:space="preserve"> a nominated person competent to give the confirmation on the </w:t>
      </w:r>
      <w:r>
        <w:rPr>
          <w:b/>
          <w:i/>
        </w:rPr>
        <w:t>customer’s</w:t>
      </w:r>
      <w:r>
        <w:t xml:space="preserve"> behalf.</w:t>
      </w:r>
    </w:p>
    <w:p w:rsidR="00AA23C5" w:rsidRDefault="00BB28A7">
      <w:pPr>
        <w:pStyle w:val="Defstart"/>
      </w:pPr>
      <w:r>
        <w:tab/>
      </w:r>
      <w:r>
        <w:rPr>
          <w:rStyle w:val="CharDefText"/>
        </w:rPr>
        <w:t>verifiable consent</w:t>
      </w:r>
      <w:r>
        <w:t xml:space="preserve"> means consent that is given — </w:t>
      </w:r>
    </w:p>
    <w:p w:rsidR="00AA23C5" w:rsidRDefault="00BB28A7">
      <w:pPr>
        <w:pStyle w:val="Indenta"/>
      </w:pPr>
      <w:r>
        <w:tab/>
        <w:t>(a)</w:t>
      </w:r>
      <w:r>
        <w:tab/>
        <w:t>expressly;</w:t>
      </w:r>
    </w:p>
    <w:p w:rsidR="00AA23C5" w:rsidRDefault="00BB28A7">
      <w:pPr>
        <w:pStyle w:val="Indenta"/>
      </w:pPr>
      <w:r>
        <w:tab/>
        <w:t>(b)</w:t>
      </w:r>
      <w:r>
        <w:tab/>
        <w:t>in writing or orally;</w:t>
      </w:r>
    </w:p>
    <w:p w:rsidR="00AA23C5" w:rsidRDefault="00BB28A7">
      <w:pPr>
        <w:pStyle w:val="Indenta"/>
      </w:pPr>
      <w:r>
        <w:tab/>
        <w:t>(c)</w:t>
      </w:r>
      <w:r>
        <w:tab/>
        <w:t xml:space="preserve">after the </w:t>
      </w:r>
      <w:r>
        <w:rPr>
          <w:b/>
          <w:i/>
        </w:rPr>
        <w:t>retailer</w:t>
      </w:r>
      <w:r>
        <w:t xml:space="preserve"> or </w:t>
      </w:r>
      <w:r>
        <w:rPr>
          <w:b/>
          <w:i/>
        </w:rPr>
        <w:t>gas marketing agent</w:t>
      </w:r>
      <w:r>
        <w:t xml:space="preserve"> (whichever is relevant) has in pla</w:t>
      </w:r>
      <w:r>
        <w:t xml:space="preserve">in language appropriate to that </w:t>
      </w:r>
      <w:r>
        <w:rPr>
          <w:b/>
          <w:i/>
        </w:rPr>
        <w:t xml:space="preserve">customer </w:t>
      </w:r>
      <w:r>
        <w:t xml:space="preserve">disclosed all matters materially relevant to the giving of the consent, including each specific purpose for which the consent will be used; and </w:t>
      </w:r>
    </w:p>
    <w:p w:rsidR="00AA23C5" w:rsidRDefault="00BB28A7">
      <w:pPr>
        <w:pStyle w:val="Indenta"/>
      </w:pPr>
      <w:r>
        <w:tab/>
        <w:t>(d)</w:t>
      </w:r>
      <w:r>
        <w:tab/>
        <w:t xml:space="preserve">by the </w:t>
      </w:r>
      <w:r>
        <w:rPr>
          <w:b/>
          <w:i/>
        </w:rPr>
        <w:t>customer</w:t>
      </w:r>
      <w:r>
        <w:t xml:space="preserve"> or a nominated person competent to give consent o</w:t>
      </w:r>
      <w:r>
        <w:t xml:space="preserve">n the </w:t>
      </w:r>
      <w:r>
        <w:rPr>
          <w:b/>
          <w:i/>
        </w:rPr>
        <w:t>customer’s</w:t>
      </w:r>
      <w:r>
        <w:t xml:space="preserve"> behalf.</w:t>
      </w:r>
    </w:p>
    <w:p w:rsidR="00AA23C5" w:rsidRDefault="00BB28A7">
      <w:pPr>
        <w:pStyle w:val="Footnotesection"/>
      </w:pPr>
      <w:r>
        <w:tab/>
        <w:t>[Clause 1.5 amended: Gazette 20 Sep 2019 p. 3381.]</w:t>
      </w:r>
    </w:p>
    <w:p w:rsidR="00AA23C5" w:rsidRDefault="00BB28A7">
      <w:pPr>
        <w:pStyle w:val="Heading5"/>
        <w:rPr>
          <w:spacing w:val="-2"/>
        </w:rPr>
      </w:pPr>
      <w:bookmarkStart w:id="9" w:name="_Toc32240071"/>
      <w:r>
        <w:rPr>
          <w:rStyle w:val="CharSectno"/>
        </w:rPr>
        <w:t>1.6</w:t>
      </w:r>
      <w:r>
        <w:t>.</w:t>
      </w:r>
      <w:r>
        <w:rPr>
          <w:spacing w:val="-2"/>
        </w:rPr>
        <w:tab/>
        <w:t>Application</w:t>
      </w:r>
      <w:bookmarkEnd w:id="9"/>
    </w:p>
    <w:p w:rsidR="00AA23C5" w:rsidRDefault="00BB28A7">
      <w:pPr>
        <w:pStyle w:val="Subsection"/>
      </w:pPr>
      <w:r>
        <w:tab/>
      </w:r>
      <w:r>
        <w:tab/>
        <w:t xml:space="preserve">The </w:t>
      </w:r>
      <w:r>
        <w:rPr>
          <w:b/>
          <w:i/>
        </w:rPr>
        <w:t>Code</w:t>
      </w:r>
      <w:r>
        <w:t xml:space="preserve"> applies to — </w:t>
      </w:r>
    </w:p>
    <w:p w:rsidR="00AA23C5" w:rsidRDefault="00BB28A7">
      <w:pPr>
        <w:pStyle w:val="Indenta"/>
      </w:pPr>
      <w:r>
        <w:tab/>
        <w:t>(a)</w:t>
      </w:r>
      <w:r>
        <w:tab/>
      </w:r>
      <w:r>
        <w:rPr>
          <w:b/>
          <w:bCs/>
          <w:i/>
          <w:iCs/>
        </w:rPr>
        <w:t>retailers</w:t>
      </w:r>
      <w:r>
        <w:t>; and</w:t>
      </w:r>
    </w:p>
    <w:p w:rsidR="00AA23C5" w:rsidRDefault="00BB28A7">
      <w:pPr>
        <w:pStyle w:val="Indenta"/>
      </w:pPr>
      <w:r>
        <w:tab/>
        <w:t>(b)</w:t>
      </w:r>
      <w:r>
        <w:tab/>
      </w:r>
      <w:r>
        <w:rPr>
          <w:b/>
          <w:bCs/>
          <w:i/>
          <w:iCs/>
        </w:rPr>
        <w:t>gas marketing agents</w:t>
      </w:r>
      <w:r>
        <w:t>.</w:t>
      </w:r>
    </w:p>
    <w:p w:rsidR="00AA23C5" w:rsidRDefault="00BB28A7">
      <w:pPr>
        <w:pStyle w:val="Heading5"/>
        <w:rPr>
          <w:spacing w:val="-2"/>
        </w:rPr>
      </w:pPr>
      <w:bookmarkStart w:id="10" w:name="_Toc32240072"/>
      <w:r>
        <w:rPr>
          <w:rStyle w:val="CharSectno"/>
        </w:rPr>
        <w:t>1.7</w:t>
      </w:r>
      <w:r>
        <w:t>.</w:t>
      </w:r>
      <w:r>
        <w:rPr>
          <w:spacing w:val="-2"/>
        </w:rPr>
        <w:tab/>
        <w:t>Purpose</w:t>
      </w:r>
      <w:bookmarkEnd w:id="10"/>
    </w:p>
    <w:p w:rsidR="00AA23C5" w:rsidRDefault="00BB28A7">
      <w:pPr>
        <w:pStyle w:val="Subsection"/>
      </w:pPr>
      <w:r>
        <w:tab/>
      </w:r>
      <w:r>
        <w:tab/>
        <w:t xml:space="preserve">The </w:t>
      </w:r>
      <w:r>
        <w:rPr>
          <w:b/>
          <w:i/>
        </w:rPr>
        <w:t xml:space="preserve">Code </w:t>
      </w:r>
      <w:r>
        <w:t xml:space="preserve">regulates and controls the conduct of </w:t>
      </w:r>
      <w:r>
        <w:rPr>
          <w:b/>
          <w:i/>
        </w:rPr>
        <w:t>gas marketing agents</w:t>
      </w:r>
      <w:r>
        <w:t xml:space="preserve"> and </w:t>
      </w:r>
      <w:r>
        <w:rPr>
          <w:b/>
          <w:i/>
        </w:rPr>
        <w:t>ret</w:t>
      </w:r>
      <w:r>
        <w:rPr>
          <w:b/>
          <w:i/>
        </w:rPr>
        <w:t>ailers</w:t>
      </w:r>
      <w:r>
        <w:t>.</w:t>
      </w:r>
    </w:p>
    <w:p w:rsidR="00AA23C5" w:rsidRDefault="00BB28A7">
      <w:pPr>
        <w:pStyle w:val="PermNoteHeading"/>
      </w:pPr>
      <w:r>
        <w:tab/>
        <w:t>Note for this clause:</w:t>
      </w:r>
    </w:p>
    <w:p w:rsidR="00AA23C5" w:rsidRDefault="00BB28A7">
      <w:pPr>
        <w:pStyle w:val="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w:t>
      </w:r>
      <w:r>
        <w:t xml:space="preserve">),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rsidR="00AA23C5" w:rsidRDefault="00BB28A7">
      <w:pPr>
        <w:pStyle w:val="Heading5"/>
        <w:rPr>
          <w:spacing w:val="-2"/>
        </w:rPr>
      </w:pPr>
      <w:bookmarkStart w:id="11" w:name="_Toc32240073"/>
      <w:r>
        <w:rPr>
          <w:rStyle w:val="CharSectno"/>
        </w:rPr>
        <w:t>1.8</w:t>
      </w:r>
      <w:r>
        <w:t>.</w:t>
      </w:r>
      <w:r>
        <w:rPr>
          <w:spacing w:val="-2"/>
        </w:rPr>
        <w:tab/>
        <w:t>Objectives</w:t>
      </w:r>
      <w:bookmarkEnd w:id="11"/>
    </w:p>
    <w:p w:rsidR="00AA23C5" w:rsidRDefault="00BB28A7">
      <w:pPr>
        <w:pStyle w:val="Subsection"/>
        <w:keepNext/>
      </w:pPr>
      <w:r>
        <w:tab/>
      </w:r>
      <w:r>
        <w:tab/>
        <w:t>The objectives of t</w:t>
      </w:r>
      <w:r>
        <w:t xml:space="preserve">he </w:t>
      </w:r>
      <w:r>
        <w:rPr>
          <w:b/>
          <w:i/>
        </w:rPr>
        <w:t>Code</w:t>
      </w:r>
      <w:r>
        <w:t xml:space="preserve"> are to — </w:t>
      </w:r>
    </w:p>
    <w:p w:rsidR="00AA23C5" w:rsidRDefault="00BB28A7">
      <w:pPr>
        <w:pStyle w:val="Indenta"/>
      </w:pPr>
      <w:r>
        <w:tab/>
        <w:t>(a)</w:t>
      </w:r>
      <w:r>
        <w:tab/>
        <w:t xml:space="preserve">define standards of conduct in the </w:t>
      </w:r>
      <w:r>
        <w:rPr>
          <w:b/>
          <w:i/>
        </w:rPr>
        <w:t>marketing</w:t>
      </w:r>
      <w:r>
        <w:t xml:space="preserve"> of gas to </w:t>
      </w:r>
      <w:r>
        <w:rPr>
          <w:b/>
          <w:i/>
        </w:rPr>
        <w:t>customers</w:t>
      </w:r>
      <w:r>
        <w:t>; and</w:t>
      </w:r>
    </w:p>
    <w:p w:rsidR="00AA23C5" w:rsidRDefault="00BB28A7">
      <w:pPr>
        <w:pStyle w:val="Indenta"/>
      </w:pPr>
      <w:r>
        <w:tab/>
        <w:t>(b)</w:t>
      </w:r>
      <w:r>
        <w:tab/>
        <w:t xml:space="preserve">protect </w:t>
      </w:r>
      <w:r>
        <w:rPr>
          <w:b/>
          <w:i/>
          <w:iCs/>
        </w:rPr>
        <w:t>customers</w:t>
      </w:r>
      <w:r>
        <w:t xml:space="preserve"> from undesirable </w:t>
      </w:r>
      <w:r>
        <w:rPr>
          <w:b/>
          <w:i/>
          <w:iCs/>
        </w:rPr>
        <w:t>marketing</w:t>
      </w:r>
      <w:r>
        <w:t xml:space="preserve"> conduct.</w:t>
      </w:r>
    </w:p>
    <w:p w:rsidR="00AA23C5" w:rsidRDefault="00BB28A7">
      <w:pPr>
        <w:pStyle w:val="Heading5"/>
        <w:rPr>
          <w:spacing w:val="-2"/>
        </w:rPr>
      </w:pPr>
      <w:bookmarkStart w:id="12" w:name="_Toc32240074"/>
      <w:r>
        <w:rPr>
          <w:rStyle w:val="CharSectno"/>
        </w:rPr>
        <w:t>1.9</w:t>
      </w:r>
      <w:r>
        <w:t>.</w:t>
      </w:r>
      <w:r>
        <w:rPr>
          <w:spacing w:val="-2"/>
        </w:rPr>
        <w:tab/>
        <w:t>Amendment and Review</w:t>
      </w:r>
      <w:bookmarkEnd w:id="12"/>
    </w:p>
    <w:p w:rsidR="00AA23C5" w:rsidRDefault="00BB28A7">
      <w:pPr>
        <w:pStyle w:val="Subsection"/>
      </w:pPr>
      <w:r>
        <w:tab/>
      </w:r>
      <w:r>
        <w:tab/>
        <w:t xml:space="preserve">The </w:t>
      </w:r>
      <w:r>
        <w:rPr>
          <w:b/>
          <w:i/>
        </w:rPr>
        <w:t>Code</w:t>
      </w:r>
      <w:r>
        <w:t xml:space="preserve"> will be amended in accordance with Part 2C of the Act.</w:t>
      </w:r>
    </w:p>
    <w:p w:rsidR="00AA23C5" w:rsidRDefault="00BB28A7">
      <w:pPr>
        <w:pStyle w:val="Heading2"/>
      </w:pPr>
      <w:bookmarkStart w:id="13" w:name="_Toc32240075"/>
      <w:r>
        <w:rPr>
          <w:rStyle w:val="CharPartNo"/>
        </w:rPr>
        <w:t>Part 2</w:t>
      </w:r>
      <w:r>
        <w:t> — </w:t>
      </w:r>
      <w:r>
        <w:rPr>
          <w:rStyle w:val="CharPartText"/>
        </w:rPr>
        <w:t>Marketing</w:t>
      </w:r>
      <w:bookmarkEnd w:id="13"/>
    </w:p>
    <w:p w:rsidR="00AA23C5" w:rsidRDefault="00BB28A7">
      <w:pPr>
        <w:pStyle w:val="Heading3"/>
      </w:pPr>
      <w:bookmarkStart w:id="14" w:name="_Toc32240076"/>
      <w:r>
        <w:rPr>
          <w:rStyle w:val="CharDivNo"/>
        </w:rPr>
        <w:t>Division 1</w:t>
      </w:r>
      <w:r>
        <w:t> — </w:t>
      </w:r>
      <w:r>
        <w:rPr>
          <w:rStyle w:val="CharDivText"/>
        </w:rPr>
        <w:t>Obligations particular to retailers</w:t>
      </w:r>
      <w:bookmarkEnd w:id="14"/>
    </w:p>
    <w:p w:rsidR="00AA23C5" w:rsidRDefault="00BB28A7">
      <w:pPr>
        <w:pStyle w:val="Heading5"/>
        <w:rPr>
          <w:spacing w:val="-2"/>
        </w:rPr>
      </w:pPr>
      <w:bookmarkStart w:id="15" w:name="_Toc32240077"/>
      <w:r>
        <w:rPr>
          <w:rStyle w:val="CharSectno"/>
        </w:rPr>
        <w:t>2.1</w:t>
      </w:r>
      <w:r>
        <w:t>.</w:t>
      </w:r>
      <w:r>
        <w:rPr>
          <w:spacing w:val="-2"/>
        </w:rPr>
        <w:tab/>
        <w:t>Retailers to ensure representatives comply with this Part</w:t>
      </w:r>
      <w:bookmarkEnd w:id="15"/>
    </w:p>
    <w:p w:rsidR="00AA23C5" w:rsidRDefault="00BB28A7">
      <w:pPr>
        <w:pStyle w:val="Subsection"/>
      </w:pPr>
      <w:r>
        <w:tab/>
      </w:r>
      <w:r>
        <w:tab/>
        <w:t xml:space="preserve">A </w:t>
      </w:r>
      <w:r>
        <w:rPr>
          <w:b/>
          <w:i/>
        </w:rPr>
        <w:t>retailer</w:t>
      </w:r>
      <w:r>
        <w:t xml:space="preserve"> must ensure that its </w:t>
      </w:r>
      <w:r>
        <w:rPr>
          <w:b/>
          <w:i/>
        </w:rPr>
        <w:t>gas marketing agents</w:t>
      </w:r>
      <w:r>
        <w:t xml:space="preserve"> comply with this Part.</w:t>
      </w:r>
    </w:p>
    <w:p w:rsidR="00AA23C5" w:rsidRDefault="00BB28A7">
      <w:pPr>
        <w:pStyle w:val="Heading3"/>
      </w:pPr>
      <w:bookmarkStart w:id="16" w:name="_Toc32240078"/>
      <w:r>
        <w:rPr>
          <w:rStyle w:val="CharDivNo"/>
        </w:rPr>
        <w:t>Division 2</w:t>
      </w:r>
      <w:r>
        <w:t> — </w:t>
      </w:r>
      <w:r>
        <w:rPr>
          <w:rStyle w:val="CharDivText"/>
        </w:rPr>
        <w:t>Contracts and information to be provided to</w:t>
      </w:r>
      <w:r>
        <w:rPr>
          <w:rStyle w:val="CharDivText"/>
        </w:rPr>
        <w:t xml:space="preserve"> customers</w:t>
      </w:r>
      <w:bookmarkEnd w:id="16"/>
    </w:p>
    <w:p w:rsidR="00AA23C5" w:rsidRDefault="00BB28A7">
      <w:pPr>
        <w:pStyle w:val="Heading5"/>
        <w:rPr>
          <w:spacing w:val="-2"/>
        </w:rPr>
      </w:pPr>
      <w:bookmarkStart w:id="17" w:name="_Toc32240079"/>
      <w:r>
        <w:rPr>
          <w:rStyle w:val="CharSectno"/>
        </w:rPr>
        <w:t>2.2</w:t>
      </w:r>
      <w:r>
        <w:t>.</w:t>
      </w:r>
      <w:r>
        <w:rPr>
          <w:spacing w:val="-2"/>
        </w:rPr>
        <w:tab/>
        <w:t>Entering into a standard form contract</w:t>
      </w:r>
      <w:bookmarkEnd w:id="17"/>
    </w:p>
    <w:p w:rsidR="00AA23C5" w:rsidRDefault="00BB28A7">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w:t>
      </w:r>
      <w:r>
        <w:rPr>
          <w:b/>
          <w:i/>
        </w:rPr>
        <w:t>retailer</w:t>
      </w:r>
      <w:r>
        <w:t xml:space="preserve"> or </w:t>
      </w:r>
      <w:r>
        <w:rPr>
          <w:b/>
          <w:i/>
        </w:rPr>
        <w:t>gas marketing agent</w:t>
      </w:r>
      <w:r>
        <w:t xml:space="preserve"> must — </w:t>
      </w:r>
    </w:p>
    <w:p w:rsidR="00AA23C5" w:rsidRDefault="00BB28A7">
      <w:pPr>
        <w:pStyle w:val="Indenta"/>
      </w:pPr>
      <w:r>
        <w:tab/>
        <w:t>(a)</w:t>
      </w:r>
      <w:r>
        <w:tab/>
        <w:t xml:space="preserve">record the date the </w:t>
      </w:r>
      <w:r>
        <w:rPr>
          <w:b/>
          <w:i/>
        </w:rPr>
        <w:t>standard form contract</w:t>
      </w:r>
      <w:r>
        <w:t xml:space="preserve"> was entered int</w:t>
      </w:r>
      <w:r>
        <w:t>o;</w:t>
      </w:r>
    </w:p>
    <w:p w:rsidR="00AA23C5" w:rsidRDefault="00BB28A7">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rsidR="00AA23C5" w:rsidRDefault="00BB28A7">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rsidR="00AA23C5" w:rsidRDefault="00BB28A7">
      <w:pPr>
        <w:pStyle w:val="Indenti"/>
      </w:pPr>
      <w:r>
        <w:tab/>
        <w:t>(ii)</w:t>
      </w:r>
      <w:r>
        <w:tab/>
        <w:t xml:space="preserve">as soon as </w:t>
      </w:r>
      <w:r>
        <w:t>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rsidR="00AA23C5" w:rsidRDefault="00BB28A7">
      <w:pPr>
        <w:pStyle w:val="Subsection"/>
      </w:pPr>
      <w:r>
        <w:tab/>
        <w:t>(2)</w:t>
      </w:r>
      <w:r>
        <w:tab/>
        <w:t xml:space="preserve">Subject to subclause (3), if a </w:t>
      </w:r>
      <w:r>
        <w:rPr>
          <w:b/>
          <w:i/>
        </w:rPr>
        <w:t>customer</w:t>
      </w:r>
      <w:r>
        <w:t xml:space="preserve"> enters into a contract described in subclause (1)</w:t>
      </w:r>
      <w:r>
        <w:t xml:space="preserve">, the </w:t>
      </w:r>
      <w:r>
        <w:rPr>
          <w:b/>
          <w:i/>
        </w:rPr>
        <w:t>retailer</w:t>
      </w:r>
      <w:r>
        <w:t xml:space="preserve"> or </w:t>
      </w:r>
      <w:r>
        <w:rPr>
          <w:b/>
          <w:i/>
        </w:rPr>
        <w:t>gas marketing agent</w:t>
      </w:r>
      <w:r>
        <w:t xml:space="preserve"> must give the following information to the </w:t>
      </w:r>
      <w:r>
        <w:rPr>
          <w:b/>
          <w:i/>
        </w:rPr>
        <w:t xml:space="preserve">customer </w:t>
      </w:r>
      <w:r>
        <w:t xml:space="preserve">before or at the time of giving the </w:t>
      </w:r>
      <w:r>
        <w:rPr>
          <w:b/>
          <w:i/>
        </w:rPr>
        <w:t>customer’s</w:t>
      </w:r>
      <w:r>
        <w:t xml:space="preserve"> first bill — </w:t>
      </w:r>
    </w:p>
    <w:p w:rsidR="00AA23C5" w:rsidRDefault="00BB28A7">
      <w:pPr>
        <w:pStyle w:val="Indenta"/>
      </w:pPr>
      <w:r>
        <w:tab/>
        <w:t>(a)</w:t>
      </w:r>
      <w:r>
        <w:tab/>
        <w:t xml:space="preserve">how the </w:t>
      </w:r>
      <w:r>
        <w:rPr>
          <w:b/>
          <w:i/>
        </w:rPr>
        <w:t>customer</w:t>
      </w:r>
      <w:r>
        <w:t xml:space="preserve"> may obtain — </w:t>
      </w:r>
    </w:p>
    <w:p w:rsidR="00AA23C5" w:rsidRDefault="00BB28A7">
      <w:pPr>
        <w:pStyle w:val="Indenti"/>
      </w:pPr>
      <w:r>
        <w:tab/>
        <w:t>(i)</w:t>
      </w:r>
      <w:r>
        <w:tab/>
        <w:t xml:space="preserve">a copy of the </w:t>
      </w:r>
      <w:r>
        <w:rPr>
          <w:b/>
          <w:i/>
        </w:rPr>
        <w:t>Code</w:t>
      </w:r>
      <w:r>
        <w:t xml:space="preserve"> and </w:t>
      </w:r>
      <w:r>
        <w:rPr>
          <w:b/>
          <w:i/>
        </w:rPr>
        <w:t>Compendium</w:t>
      </w:r>
      <w:r>
        <w:t>; and</w:t>
      </w:r>
    </w:p>
    <w:p w:rsidR="00AA23C5" w:rsidRDefault="00BB28A7">
      <w:pPr>
        <w:pStyle w:val="Indenti"/>
      </w:pPr>
      <w:r>
        <w:tab/>
        <w:t>(ii)</w:t>
      </w:r>
      <w:r>
        <w:tab/>
        <w:t>details on all rele</w:t>
      </w:r>
      <w:r>
        <w:t xml:space="preserve">vant tariffs, fees, charges, </w:t>
      </w:r>
      <w:r>
        <w:rPr>
          <w:b/>
          <w:i/>
        </w:rPr>
        <w:t>alternative tariffs</w:t>
      </w:r>
      <w:r>
        <w:t xml:space="preserve"> and service levels that may apply to the </w:t>
      </w:r>
      <w:r>
        <w:rPr>
          <w:b/>
          <w:i/>
        </w:rPr>
        <w:t>customer</w:t>
      </w:r>
      <w:r>
        <w:t xml:space="preserve">, </w:t>
      </w:r>
    </w:p>
    <w:p w:rsidR="00AA23C5" w:rsidRDefault="00BB28A7">
      <w:pPr>
        <w:pStyle w:val="Indenta"/>
      </w:pPr>
      <w:r>
        <w:tab/>
        <w:t>(b)</w:t>
      </w:r>
      <w:r>
        <w:tab/>
        <w:t xml:space="preserve">the scope of the </w:t>
      </w:r>
      <w:r>
        <w:rPr>
          <w:b/>
          <w:i/>
        </w:rPr>
        <w:t>Code</w:t>
      </w:r>
      <w:r>
        <w:t xml:space="preserve">; </w:t>
      </w:r>
    </w:p>
    <w:p w:rsidR="00AA23C5" w:rsidRDefault="00BB28A7">
      <w:pPr>
        <w:pStyle w:val="Indenta"/>
      </w:pPr>
      <w:r>
        <w:tab/>
        <w:t>(c)</w:t>
      </w:r>
      <w:r>
        <w:tab/>
        <w:t xml:space="preserve">that a retailer and gas marketing agent must comply with the </w:t>
      </w:r>
      <w:r>
        <w:rPr>
          <w:b/>
          <w:i/>
        </w:rPr>
        <w:t>Code</w:t>
      </w:r>
      <w:r>
        <w:t xml:space="preserve">; </w:t>
      </w:r>
    </w:p>
    <w:p w:rsidR="00AA23C5" w:rsidRDefault="00BB28A7">
      <w:pPr>
        <w:pStyle w:val="Indenta"/>
      </w:pPr>
      <w:r>
        <w:tab/>
        <w:t>(d)</w:t>
      </w:r>
      <w:r>
        <w:tab/>
        <w:t xml:space="preserve">how the </w:t>
      </w:r>
      <w:r>
        <w:rPr>
          <w:b/>
          <w:i/>
        </w:rPr>
        <w:t xml:space="preserve">retailer </w:t>
      </w:r>
      <w:r>
        <w:t xml:space="preserve">may assist if the </w:t>
      </w:r>
      <w:r>
        <w:rPr>
          <w:b/>
          <w:i/>
        </w:rPr>
        <w:t xml:space="preserve">customer </w:t>
      </w:r>
      <w:r>
        <w:t>is e</w:t>
      </w:r>
      <w:r>
        <w:t xml:space="preserve">xperiencing </w:t>
      </w:r>
      <w:r>
        <w:rPr>
          <w:b/>
          <w:i/>
        </w:rPr>
        <w:t xml:space="preserve">payment </w:t>
      </w:r>
      <w:r>
        <w:t xml:space="preserve">difficulties or </w:t>
      </w:r>
      <w:r>
        <w:rPr>
          <w:b/>
          <w:i/>
        </w:rPr>
        <w:t>financial hardship</w:t>
      </w:r>
      <w:r>
        <w:t>;</w:t>
      </w:r>
    </w:p>
    <w:p w:rsidR="00AA23C5" w:rsidRDefault="00BB28A7">
      <w:pPr>
        <w:pStyle w:val="Indenta"/>
      </w:pPr>
      <w:r>
        <w:tab/>
        <w:t>(e)</w:t>
      </w:r>
      <w:r>
        <w:tab/>
        <w:t xml:space="preserve">with respect to a </w:t>
      </w:r>
      <w:r>
        <w:rPr>
          <w:b/>
          <w:i/>
        </w:rPr>
        <w:t>residential customer</w:t>
      </w:r>
      <w:r>
        <w:t xml:space="preserve">, a statement that the </w:t>
      </w:r>
      <w:r>
        <w:rPr>
          <w:b/>
          <w:i/>
        </w:rPr>
        <w:t>residential customer</w:t>
      </w:r>
      <w:r>
        <w:t xml:space="preserve"> may be eligible to receive </w:t>
      </w:r>
      <w:r>
        <w:rPr>
          <w:b/>
          <w:i/>
        </w:rPr>
        <w:t>concessions</w:t>
      </w:r>
      <w:r>
        <w:t xml:space="preserve"> and how the </w:t>
      </w:r>
      <w:r>
        <w:rPr>
          <w:b/>
          <w:i/>
        </w:rPr>
        <w:t>residential customer</w:t>
      </w:r>
      <w:r>
        <w:t xml:space="preserve"> may find out about their eligibility for </w:t>
      </w:r>
      <w:r>
        <w:t xml:space="preserve">those </w:t>
      </w:r>
      <w:r>
        <w:rPr>
          <w:b/>
          <w:i/>
        </w:rPr>
        <w:t>concessions</w:t>
      </w:r>
      <w:r>
        <w:t>;</w:t>
      </w:r>
    </w:p>
    <w:p w:rsidR="00AA23C5" w:rsidRDefault="00BB28A7">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rsidR="00AA23C5" w:rsidRDefault="00BB28A7">
      <w:pPr>
        <w:pStyle w:val="Indenta"/>
      </w:pPr>
      <w:r>
        <w:tab/>
        <w:t>(g)</w:t>
      </w:r>
      <w:r>
        <w:tab/>
        <w:t xml:space="preserve">with respect to a </w:t>
      </w:r>
      <w:r>
        <w:rPr>
          <w:b/>
          <w:i/>
        </w:rPr>
        <w:t>residential customer</w:t>
      </w:r>
      <w:r>
        <w:t xml:space="preserve"> — </w:t>
      </w:r>
    </w:p>
    <w:p w:rsidR="00AA23C5" w:rsidRDefault="00BB28A7">
      <w:pPr>
        <w:pStyle w:val="Indenti"/>
      </w:pPr>
      <w:r>
        <w:tab/>
        <w:t>(i)</w:t>
      </w:r>
      <w:r>
        <w:tab/>
        <w:t xml:space="preserve">the </w:t>
      </w:r>
      <w:r>
        <w:rPr>
          <w:b/>
          <w:i/>
        </w:rPr>
        <w:t>telephone</w:t>
      </w:r>
      <w:r>
        <w:t xml:space="preserve"> number for interpreter services, identified by the National Interpreter Symbol; and</w:t>
      </w:r>
    </w:p>
    <w:p w:rsidR="00AA23C5" w:rsidRDefault="00BB28A7">
      <w:pPr>
        <w:pStyle w:val="Indenti"/>
      </w:pPr>
      <w:r>
        <w:tab/>
        <w:t>(ii)</w:t>
      </w:r>
      <w:r>
        <w:tab/>
        <w:t xml:space="preserve">the </w:t>
      </w:r>
      <w:r>
        <w:rPr>
          <w:b/>
          <w:i/>
        </w:rPr>
        <w:t>telephone</w:t>
      </w:r>
      <w:r>
        <w:t xml:space="preserve"> number for </w:t>
      </w:r>
      <w:r>
        <w:rPr>
          <w:b/>
          <w:i/>
        </w:rPr>
        <w:t>TTY</w:t>
      </w:r>
      <w:r>
        <w:t xml:space="preserve"> services;</w:t>
      </w:r>
    </w:p>
    <w:p w:rsidR="00AA23C5" w:rsidRDefault="00BB28A7">
      <w:pPr>
        <w:pStyle w:val="Indenta"/>
      </w:pPr>
      <w:r>
        <w:tab/>
        <w:t>(h)</w:t>
      </w:r>
      <w:r>
        <w:tab/>
        <w:t xml:space="preserve">how to make an enquiry of, or </w:t>
      </w:r>
      <w:r>
        <w:rPr>
          <w:b/>
          <w:i/>
        </w:rPr>
        <w:t>complaint</w:t>
      </w:r>
      <w:r>
        <w:t xml:space="preserve"> to, the </w:t>
      </w:r>
      <w:r>
        <w:rPr>
          <w:b/>
          <w:i/>
        </w:rPr>
        <w:t>retailer</w:t>
      </w:r>
      <w:r>
        <w:t>.</w:t>
      </w:r>
    </w:p>
    <w:p w:rsidR="00AA23C5" w:rsidRDefault="00BB28A7">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rsidR="00AA23C5" w:rsidRDefault="00BB28A7">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rsidR="00AA23C5" w:rsidRDefault="00BB28A7">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w:t>
      </w:r>
      <w:r>
        <w:t xml:space="preserve">the information. </w:t>
      </w:r>
    </w:p>
    <w:p w:rsidR="00AA23C5" w:rsidRDefault="00BB28A7">
      <w:pPr>
        <w:pStyle w:val="Footnotesection"/>
      </w:pPr>
      <w:r>
        <w:tab/>
        <w:t>[Clause 2.2 amended: Gazette 20 Sep 2019 p. 3382.]</w:t>
      </w:r>
    </w:p>
    <w:p w:rsidR="00AA23C5" w:rsidRDefault="00BB28A7">
      <w:pPr>
        <w:pStyle w:val="Heading5"/>
        <w:rPr>
          <w:spacing w:val="-2"/>
        </w:rPr>
      </w:pPr>
      <w:bookmarkStart w:id="18" w:name="_Toc32240080"/>
      <w:r>
        <w:rPr>
          <w:rStyle w:val="CharSectno"/>
        </w:rPr>
        <w:t>2.3</w:t>
      </w:r>
      <w:r>
        <w:t>.</w:t>
      </w:r>
      <w:r>
        <w:rPr>
          <w:spacing w:val="-2"/>
        </w:rPr>
        <w:tab/>
        <w:t>Entering into a non-standard contract</w:t>
      </w:r>
      <w:bookmarkEnd w:id="18"/>
    </w:p>
    <w:p w:rsidR="00AA23C5" w:rsidRDefault="00BB28A7">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rsidR="00AA23C5" w:rsidRDefault="00BB28A7">
      <w:pPr>
        <w:pStyle w:val="Indenta"/>
      </w:pPr>
      <w:r>
        <w:tab/>
        <w:t>(a)</w:t>
      </w:r>
      <w:r>
        <w:tab/>
        <w:t>o</w:t>
      </w:r>
      <w:r>
        <w:t xml:space="preserve">btain and make a record of the </w:t>
      </w:r>
      <w:r>
        <w:rPr>
          <w:b/>
          <w:i/>
        </w:rPr>
        <w:t>customer’s verifiable consent</w:t>
      </w:r>
      <w:r>
        <w:t xml:space="preserve"> to entering into the </w:t>
      </w:r>
      <w:r>
        <w:rPr>
          <w:b/>
          <w:i/>
        </w:rPr>
        <w:t>non</w:t>
      </w:r>
      <w:r>
        <w:rPr>
          <w:b/>
          <w:i/>
        </w:rPr>
        <w:noBreakHyphen/>
        <w:t>standard contract</w:t>
      </w:r>
      <w:r>
        <w:t>; and</w:t>
      </w:r>
    </w:p>
    <w:p w:rsidR="00AA23C5" w:rsidRDefault="00BB28A7">
      <w:pPr>
        <w:pStyle w:val="Indenta"/>
      </w:pPr>
      <w:r>
        <w:tab/>
        <w:t>(b)</w:t>
      </w:r>
      <w:r>
        <w:tab/>
        <w:t xml:space="preserve">give, or make available to the </w:t>
      </w:r>
      <w:r>
        <w:rPr>
          <w:b/>
          <w:i/>
        </w:rPr>
        <w:t>customer</w:t>
      </w:r>
      <w:r>
        <w:t xml:space="preserve"> at no charge, a copy of the </w:t>
      </w:r>
      <w:r>
        <w:rPr>
          <w:b/>
          <w:i/>
        </w:rPr>
        <w:t>non</w:t>
      </w:r>
      <w:r>
        <w:rPr>
          <w:b/>
          <w:i/>
        </w:rPr>
        <w:noBreakHyphen/>
        <w:t>standard contract</w:t>
      </w:r>
      <w:r>
        <w:t xml:space="preserve"> — </w:t>
      </w:r>
    </w:p>
    <w:p w:rsidR="00AA23C5" w:rsidRDefault="00BB28A7">
      <w:pPr>
        <w:pStyle w:val="Indenti"/>
      </w:pPr>
      <w:r>
        <w:tab/>
        <w:t>(i)</w:t>
      </w:r>
      <w:r>
        <w:tab/>
        <w:t xml:space="preserve">at the time the </w:t>
      </w:r>
      <w:r>
        <w:rPr>
          <w:b/>
          <w:i/>
        </w:rPr>
        <w:t>non-standard contract</w:t>
      </w:r>
      <w:r>
        <w:t xml:space="preserve"> is ent</w:t>
      </w:r>
      <w:r>
        <w:t xml:space="preserve">ered into, if the </w:t>
      </w:r>
      <w:r>
        <w:rPr>
          <w:b/>
          <w:i/>
        </w:rPr>
        <w:t>non</w:t>
      </w:r>
      <w:r>
        <w:rPr>
          <w:b/>
          <w:i/>
        </w:rPr>
        <w:noBreakHyphen/>
        <w:t>standard contract</w:t>
      </w:r>
      <w:r>
        <w:t xml:space="preserve"> was not entered into over the </w:t>
      </w:r>
      <w:r>
        <w:rPr>
          <w:b/>
          <w:i/>
        </w:rPr>
        <w:t>telephone</w:t>
      </w:r>
      <w:r>
        <w:t>; or</w:t>
      </w:r>
    </w:p>
    <w:p w:rsidR="00AA23C5" w:rsidRDefault="00BB28A7">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w:t>
      </w:r>
      <w:r>
        <w:rPr>
          <w:b/>
          <w:i/>
        </w:rPr>
        <w:t>one</w:t>
      </w:r>
      <w:r>
        <w:t>.</w:t>
      </w:r>
    </w:p>
    <w:p w:rsidR="00AA23C5" w:rsidRDefault="00BB28A7">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rsidR="00AA23C5" w:rsidRDefault="00BB28A7">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rsidR="00AA23C5" w:rsidRDefault="00BB28A7">
      <w:pPr>
        <w:pStyle w:val="Indenta"/>
      </w:pPr>
      <w:r>
        <w:tab/>
        <w:t>(b)</w:t>
      </w:r>
      <w:r>
        <w:tab/>
      </w:r>
      <w:r>
        <w:t xml:space="preserve">the difference between the </w:t>
      </w:r>
      <w:r>
        <w:rPr>
          <w:b/>
          <w:i/>
        </w:rPr>
        <w:t>non-standard contract</w:t>
      </w:r>
      <w:r>
        <w:t xml:space="preserve"> and the </w:t>
      </w:r>
      <w:r>
        <w:rPr>
          <w:b/>
          <w:i/>
        </w:rPr>
        <w:t>standard form contract</w:t>
      </w:r>
      <w:r>
        <w:t xml:space="preserve">; </w:t>
      </w:r>
    </w:p>
    <w:p w:rsidR="00AA23C5" w:rsidRDefault="00BB28A7">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w:t>
      </w:r>
      <w:r>
        <w:rPr>
          <w:b/>
          <w:i/>
        </w:rPr>
        <w:t>on-standard contract</w:t>
      </w:r>
      <w:r>
        <w:t>.</w:t>
      </w:r>
    </w:p>
    <w:p w:rsidR="00AA23C5" w:rsidRDefault="00BB28A7">
      <w:pPr>
        <w:pStyle w:val="Subsection"/>
      </w:pPr>
      <w:r>
        <w:tab/>
        <w:t>(2A)</w:t>
      </w:r>
      <w:r>
        <w:tab/>
        <w:t xml:space="preserve">Subject to subclause (3), if a </w:t>
      </w:r>
      <w:r>
        <w:rPr>
          <w:b/>
          <w:i/>
        </w:rPr>
        <w:t>customer</w:t>
      </w:r>
      <w:r>
        <w:t xml:space="preserve"> enters into a </w:t>
      </w:r>
      <w:r>
        <w:rPr>
          <w:b/>
          <w:i/>
        </w:rPr>
        <w:t>non</w:t>
      </w:r>
      <w:r>
        <w:rPr>
          <w:b/>
          <w:i/>
        </w:rPr>
        <w:noBreakHyphen/>
        <w:t>standard contract</w:t>
      </w:r>
      <w:r>
        <w:t xml:space="preserve">, the </w:t>
      </w:r>
      <w:r>
        <w:rPr>
          <w:b/>
          <w:i/>
        </w:rPr>
        <w:t>retailer</w:t>
      </w:r>
      <w:r>
        <w:t xml:space="preserve"> or </w:t>
      </w:r>
      <w:r>
        <w:rPr>
          <w:b/>
          <w:i/>
        </w:rPr>
        <w:t>gas marketing agent</w:t>
      </w:r>
      <w:r>
        <w:t xml:space="preserve"> must give the following information to the </w:t>
      </w:r>
      <w:r>
        <w:rPr>
          <w:b/>
          <w:i/>
        </w:rPr>
        <w:t>customer</w:t>
      </w:r>
      <w:r>
        <w:t xml:space="preserve"> before or at the time of giving the </w:t>
      </w:r>
      <w:r>
        <w:rPr>
          <w:b/>
          <w:i/>
        </w:rPr>
        <w:t>customer’s</w:t>
      </w:r>
      <w:r>
        <w:t xml:space="preserve"> first bill — </w:t>
      </w:r>
    </w:p>
    <w:p w:rsidR="00AA23C5" w:rsidRDefault="00BB28A7">
      <w:pPr>
        <w:pStyle w:val="Indenta"/>
      </w:pPr>
      <w:r>
        <w:tab/>
        <w:t>(</w:t>
      </w:r>
      <w:r>
        <w:t>a)</w:t>
      </w:r>
      <w:r>
        <w:tab/>
        <w:t xml:space="preserve">how the </w:t>
      </w:r>
      <w:r>
        <w:rPr>
          <w:b/>
          <w:i/>
        </w:rPr>
        <w:t xml:space="preserve">customer </w:t>
      </w:r>
      <w:r>
        <w:t xml:space="preserve">may obtain — </w:t>
      </w:r>
    </w:p>
    <w:p w:rsidR="00AA23C5" w:rsidRDefault="00BB28A7">
      <w:pPr>
        <w:pStyle w:val="Indenti"/>
      </w:pPr>
      <w:r>
        <w:tab/>
        <w:t>(i)</w:t>
      </w:r>
      <w:r>
        <w:tab/>
        <w:t xml:space="preserve">a copy of the </w:t>
      </w:r>
      <w:r>
        <w:rPr>
          <w:b/>
          <w:i/>
        </w:rPr>
        <w:t xml:space="preserve">Code </w:t>
      </w:r>
      <w:r>
        <w:t xml:space="preserve">and the </w:t>
      </w:r>
      <w:r>
        <w:rPr>
          <w:b/>
          <w:i/>
        </w:rPr>
        <w:t>Compendium</w:t>
      </w:r>
      <w:r>
        <w:t>; and</w:t>
      </w:r>
    </w:p>
    <w:p w:rsidR="00AA23C5" w:rsidRDefault="00BB28A7">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rsidR="00AA23C5" w:rsidRDefault="00BB28A7">
      <w:pPr>
        <w:pStyle w:val="Indenta"/>
      </w:pPr>
      <w:r>
        <w:tab/>
        <w:t>(b)</w:t>
      </w:r>
      <w:r>
        <w:tab/>
        <w:t xml:space="preserve">the scope of the </w:t>
      </w:r>
      <w:r>
        <w:rPr>
          <w:b/>
          <w:i/>
        </w:rPr>
        <w:t>Code</w:t>
      </w:r>
      <w:r>
        <w:t xml:space="preserve">; </w:t>
      </w:r>
    </w:p>
    <w:p w:rsidR="00AA23C5" w:rsidRDefault="00BB28A7">
      <w:pPr>
        <w:pStyle w:val="Indenta"/>
      </w:pPr>
      <w:r>
        <w:tab/>
        <w:t>(c)</w:t>
      </w:r>
      <w:r>
        <w:tab/>
        <w:t xml:space="preserve">that a </w:t>
      </w:r>
      <w:r>
        <w:rPr>
          <w:b/>
          <w:i/>
        </w:rPr>
        <w:t>retailer</w:t>
      </w:r>
      <w:r>
        <w:rPr>
          <w:b/>
          <w:i/>
        </w:rPr>
        <w:t xml:space="preserve"> </w:t>
      </w:r>
      <w:r>
        <w:t xml:space="preserve">and </w:t>
      </w:r>
      <w:r>
        <w:rPr>
          <w:b/>
          <w:i/>
        </w:rPr>
        <w:t>gas marketing agent</w:t>
      </w:r>
      <w:r>
        <w:t xml:space="preserve"> must comply with the </w:t>
      </w:r>
      <w:r>
        <w:rPr>
          <w:b/>
          <w:i/>
        </w:rPr>
        <w:t>Code</w:t>
      </w:r>
      <w:r>
        <w:t xml:space="preserve">; </w:t>
      </w:r>
    </w:p>
    <w:p w:rsidR="00AA23C5" w:rsidRDefault="00BB28A7">
      <w:pPr>
        <w:pStyle w:val="Indenta"/>
      </w:pPr>
      <w:r>
        <w:tab/>
        <w:t>(d)</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rsidR="00AA23C5" w:rsidRDefault="00BB28A7">
      <w:pPr>
        <w:pStyle w:val="Indenta"/>
      </w:pPr>
      <w:r>
        <w:tab/>
        <w:t>(e)</w:t>
      </w:r>
      <w:r>
        <w:tab/>
        <w:t xml:space="preserve">with respect to a </w:t>
      </w:r>
      <w:r>
        <w:rPr>
          <w:b/>
          <w:i/>
        </w:rPr>
        <w:t>residential customer</w:t>
      </w:r>
      <w:r>
        <w:t xml:space="preserve">, a statement that the </w:t>
      </w:r>
      <w:r>
        <w:rPr>
          <w:b/>
          <w:i/>
        </w:rPr>
        <w:t>residential customer</w:t>
      </w:r>
      <w:r>
        <w:t xml:space="preserve"> may be </w:t>
      </w:r>
      <w:r>
        <w:t xml:space="preserve">eligible to receive </w:t>
      </w:r>
      <w:r>
        <w:rPr>
          <w:b/>
          <w:i/>
        </w:rPr>
        <w:t>concessions</w:t>
      </w:r>
      <w:r>
        <w:t xml:space="preserve"> and how the </w:t>
      </w:r>
      <w:r>
        <w:rPr>
          <w:b/>
          <w:i/>
        </w:rPr>
        <w:t>residential customer</w:t>
      </w:r>
      <w:r>
        <w:t xml:space="preserve"> may find out about their eligibility for those </w:t>
      </w:r>
      <w:r>
        <w:rPr>
          <w:b/>
          <w:i/>
        </w:rPr>
        <w:t>concessions</w:t>
      </w:r>
      <w:r>
        <w:t>;</w:t>
      </w:r>
    </w:p>
    <w:p w:rsidR="00AA23C5" w:rsidRDefault="00BB28A7">
      <w:pPr>
        <w:pStyle w:val="Indenta"/>
      </w:pPr>
      <w:r>
        <w:tab/>
        <w:t>(f)</w:t>
      </w:r>
      <w:r>
        <w:tab/>
        <w:t xml:space="preserve">the </w:t>
      </w:r>
      <w:r>
        <w:rPr>
          <w:b/>
          <w:i/>
        </w:rPr>
        <w:t>distributor’s</w:t>
      </w:r>
      <w:r>
        <w:t xml:space="preserve"> 24 hour </w:t>
      </w:r>
      <w:r>
        <w:rPr>
          <w:b/>
          <w:i/>
        </w:rPr>
        <w:t>telephone</w:t>
      </w:r>
      <w:r>
        <w:t xml:space="preserve"> number for faults and emergencies;</w:t>
      </w:r>
    </w:p>
    <w:p w:rsidR="00AA23C5" w:rsidRDefault="00BB28A7">
      <w:pPr>
        <w:pStyle w:val="Indenta"/>
      </w:pPr>
      <w:r>
        <w:tab/>
        <w:t>(g)</w:t>
      </w:r>
      <w:r>
        <w:tab/>
        <w:t xml:space="preserve">with respect to a </w:t>
      </w:r>
      <w:r>
        <w:rPr>
          <w:b/>
          <w:i/>
        </w:rPr>
        <w:t>residential customer</w:t>
      </w:r>
      <w:r>
        <w:t xml:space="preserve"> — </w:t>
      </w:r>
    </w:p>
    <w:p w:rsidR="00AA23C5" w:rsidRDefault="00BB28A7">
      <w:pPr>
        <w:pStyle w:val="Indenti"/>
      </w:pPr>
      <w:r>
        <w:tab/>
        <w:t>(i)</w:t>
      </w:r>
      <w:r>
        <w:tab/>
        <w:t>the</w:t>
      </w:r>
      <w:r>
        <w:t xml:space="preserve"> </w:t>
      </w:r>
      <w:r>
        <w:rPr>
          <w:b/>
          <w:i/>
        </w:rPr>
        <w:t>telephone</w:t>
      </w:r>
      <w:r>
        <w:t xml:space="preserve"> number for interpreter services, identified by the National Interpreter Symbol; and</w:t>
      </w:r>
    </w:p>
    <w:p w:rsidR="00AA23C5" w:rsidRDefault="00BB28A7">
      <w:pPr>
        <w:pStyle w:val="Indenti"/>
      </w:pPr>
      <w:r>
        <w:tab/>
        <w:t>(ii)</w:t>
      </w:r>
      <w:r>
        <w:tab/>
        <w:t xml:space="preserve">the </w:t>
      </w:r>
      <w:r>
        <w:rPr>
          <w:b/>
          <w:i/>
        </w:rPr>
        <w:t>telephone</w:t>
      </w:r>
      <w:r>
        <w:t xml:space="preserve"> number for </w:t>
      </w:r>
      <w:r>
        <w:rPr>
          <w:b/>
          <w:i/>
        </w:rPr>
        <w:t>TTY</w:t>
      </w:r>
      <w:r>
        <w:t xml:space="preserve"> services;</w:t>
      </w:r>
    </w:p>
    <w:p w:rsidR="00AA23C5" w:rsidRDefault="00BB28A7">
      <w:pPr>
        <w:pStyle w:val="Indenta"/>
      </w:pPr>
      <w:r>
        <w:tab/>
        <w:t>(h)</w:t>
      </w:r>
      <w:r>
        <w:tab/>
        <w:t xml:space="preserve">how to make an enquiry of, or </w:t>
      </w:r>
      <w:r>
        <w:rPr>
          <w:b/>
          <w:i/>
        </w:rPr>
        <w:t>complaint</w:t>
      </w:r>
      <w:r>
        <w:t xml:space="preserve"> to, the </w:t>
      </w:r>
      <w:r>
        <w:rPr>
          <w:b/>
          <w:i/>
        </w:rPr>
        <w:t>retailer</w:t>
      </w:r>
      <w:r>
        <w:t>.</w:t>
      </w:r>
    </w:p>
    <w:p w:rsidR="00AA23C5" w:rsidRDefault="00BB28A7">
      <w:pPr>
        <w:pStyle w:val="Subsection"/>
      </w:pPr>
      <w:r>
        <w:tab/>
        <w:t>(3)</w:t>
      </w:r>
      <w:r>
        <w:tab/>
        <w:t xml:space="preserve">For the purposes of subclause (2A),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rsidR="00AA23C5" w:rsidRDefault="00BB28A7">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rsidR="00AA23C5" w:rsidRDefault="00BB28A7">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rsidR="00AA23C5" w:rsidRDefault="00BB28A7">
      <w:pPr>
        <w:pStyle w:val="Subsection"/>
      </w:pPr>
      <w:r>
        <w:tab/>
        <w:t>(4)</w:t>
      </w:r>
      <w:r>
        <w:tab/>
        <w:t xml:space="preserve">A </w:t>
      </w:r>
      <w:r>
        <w:rPr>
          <w:b/>
          <w:i/>
        </w:rPr>
        <w:t xml:space="preserve">retailer </w:t>
      </w:r>
      <w:r>
        <w:t xml:space="preserve">or </w:t>
      </w:r>
      <w:r>
        <w:rPr>
          <w:b/>
          <w:i/>
        </w:rPr>
        <w:t>gas marketing agent</w:t>
      </w:r>
      <w:r>
        <w:t xml:space="preserve"> must obtain the </w:t>
      </w:r>
      <w:r>
        <w:rPr>
          <w:b/>
          <w:i/>
        </w:rPr>
        <w:t xml:space="preserve">customer’s verifiable confirmation </w:t>
      </w:r>
      <w:r>
        <w:t>that the information referred to in s</w:t>
      </w:r>
      <w:r>
        <w:t>ubclause (2) has been given.</w:t>
      </w:r>
    </w:p>
    <w:p w:rsidR="00AA23C5" w:rsidRDefault="00BB28A7">
      <w:pPr>
        <w:pStyle w:val="Footnotesection"/>
      </w:pPr>
      <w:r>
        <w:tab/>
        <w:t>[Clause 2.3 amended: Gazette 20 Sep 2019 p. 3382-3.]</w:t>
      </w:r>
    </w:p>
    <w:p w:rsidR="00AA23C5" w:rsidRDefault="00BB28A7">
      <w:pPr>
        <w:pStyle w:val="Heading3"/>
      </w:pPr>
      <w:bookmarkStart w:id="19" w:name="_Toc32240081"/>
      <w:r>
        <w:rPr>
          <w:rStyle w:val="CharDivNo"/>
        </w:rPr>
        <w:t>Division 3</w:t>
      </w:r>
      <w:r>
        <w:t> — </w:t>
      </w:r>
      <w:r>
        <w:rPr>
          <w:rStyle w:val="CharDivText"/>
        </w:rPr>
        <w:t>Marketing conduct</w:t>
      </w:r>
      <w:bookmarkEnd w:id="19"/>
    </w:p>
    <w:p w:rsidR="00AA23C5" w:rsidRDefault="00BB28A7">
      <w:pPr>
        <w:pStyle w:val="Heading5"/>
        <w:rPr>
          <w:spacing w:val="-2"/>
        </w:rPr>
      </w:pPr>
      <w:bookmarkStart w:id="20" w:name="_Toc32240082"/>
      <w:r>
        <w:rPr>
          <w:rStyle w:val="CharSectno"/>
        </w:rPr>
        <w:t>2.4</w:t>
      </w:r>
      <w:r>
        <w:t>.</w:t>
      </w:r>
      <w:r>
        <w:rPr>
          <w:spacing w:val="-2"/>
        </w:rPr>
        <w:tab/>
        <w:t>Standards of conduct</w:t>
      </w:r>
      <w:bookmarkEnd w:id="20"/>
    </w:p>
    <w:p w:rsidR="00AA23C5" w:rsidRDefault="00BB28A7">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w:t>
      </w:r>
      <w:r>
        <w:rPr>
          <w:b/>
          <w:i/>
        </w:rPr>
        <w:t>stomers</w:t>
      </w:r>
      <w:r>
        <w:t xml:space="preserve"> and any prices that exclude </w:t>
      </w:r>
      <w:r>
        <w:rPr>
          <w:b/>
          <w:i/>
        </w:rPr>
        <w:t xml:space="preserve">concessions </w:t>
      </w:r>
      <w:r>
        <w:t>are disclosed.</w:t>
      </w:r>
    </w:p>
    <w:p w:rsidR="00AA23C5" w:rsidRDefault="00BB28A7">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contact details, including </w:t>
      </w:r>
      <w:r>
        <w:rPr>
          <w:b/>
          <w:i/>
        </w:rPr>
        <w:t>t</w:t>
      </w:r>
      <w:r>
        <w:rPr>
          <w:b/>
          <w:i/>
        </w:rPr>
        <w: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rsidR="00AA23C5" w:rsidRDefault="00BB28A7">
      <w:pPr>
        <w:pStyle w:val="Heading5"/>
        <w:rPr>
          <w:spacing w:val="-2"/>
        </w:rPr>
      </w:pPr>
      <w:bookmarkStart w:id="21" w:name="_Toc32240083"/>
      <w:r>
        <w:rPr>
          <w:rStyle w:val="CharSectno"/>
        </w:rPr>
        <w:t>2.5</w:t>
      </w:r>
      <w:r>
        <w:t>.</w:t>
      </w:r>
      <w:r>
        <w:rPr>
          <w:spacing w:val="-2"/>
        </w:rPr>
        <w:tab/>
        <w:t>Contact for the purposes of marketing</w:t>
      </w:r>
      <w:bookmarkEnd w:id="21"/>
    </w:p>
    <w:p w:rsidR="00AA23C5" w:rsidRDefault="00BB28A7">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rsidR="00AA23C5" w:rsidRDefault="00BB28A7">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rsidR="00AA23C5" w:rsidRDefault="00BB28A7">
      <w:pPr>
        <w:pStyle w:val="Indenta"/>
      </w:pPr>
      <w:r>
        <w:tab/>
        <w:t>(b)</w:t>
      </w:r>
      <w:r>
        <w:tab/>
        <w:t xml:space="preserve">provide the </w:t>
      </w:r>
      <w:r>
        <w:rPr>
          <w:b/>
          <w:i/>
        </w:rPr>
        <w:t>customer</w:t>
      </w:r>
      <w:r>
        <w:t xml:space="preserve"> with th</w:t>
      </w:r>
      <w:r>
        <w:t xml:space="preserve">e </w:t>
      </w:r>
      <w:r>
        <w:rPr>
          <w:b/>
          <w:i/>
        </w:rPr>
        <w:t xml:space="preserve">telephone </w:t>
      </w:r>
      <w:r>
        <w:t xml:space="preserve">number of the </w:t>
      </w:r>
      <w:r>
        <w:rPr>
          <w:b/>
          <w:i/>
        </w:rPr>
        <w:t>gas ombudsman</w:t>
      </w:r>
      <w:r>
        <w:t>; and</w:t>
      </w:r>
    </w:p>
    <w:p w:rsidR="00AA23C5" w:rsidRDefault="00BB28A7">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rsidR="00AA23C5" w:rsidRDefault="00BB28A7">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w:t>
      </w:r>
      <w:r>
        <w:t xml:space="preserve">the purposes of </w:t>
      </w:r>
      <w:r>
        <w:rPr>
          <w:b/>
          <w:i/>
        </w:rPr>
        <w:t xml:space="preserve">marketing </w:t>
      </w:r>
      <w:r>
        <w:t xml:space="preserve">must — </w:t>
      </w:r>
    </w:p>
    <w:p w:rsidR="00AA23C5" w:rsidRDefault="00BB28A7">
      <w:pPr>
        <w:pStyle w:val="Indenta"/>
      </w:pPr>
      <w:r>
        <w:tab/>
        <w:t>(a)</w:t>
      </w:r>
      <w:r>
        <w:tab/>
        <w:t xml:space="preserve">wear a clearly visible and legible identity card that shows — </w:t>
      </w:r>
    </w:p>
    <w:p w:rsidR="00AA23C5" w:rsidRDefault="00BB28A7">
      <w:pPr>
        <w:pStyle w:val="Indenti"/>
      </w:pPr>
      <w:r>
        <w:tab/>
        <w:t>(i)</w:t>
      </w:r>
      <w:r>
        <w:tab/>
        <w:t>his or her first name;</w:t>
      </w:r>
    </w:p>
    <w:p w:rsidR="00AA23C5" w:rsidRDefault="00BB28A7">
      <w:pPr>
        <w:pStyle w:val="Indenti"/>
      </w:pPr>
      <w:r>
        <w:tab/>
        <w:t>(ii)</w:t>
      </w:r>
      <w:r>
        <w:tab/>
        <w:t>his or her photograph;</w:t>
      </w:r>
    </w:p>
    <w:p w:rsidR="00AA23C5" w:rsidRDefault="00BB28A7">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rsidR="00AA23C5" w:rsidRDefault="00BB28A7">
      <w:pPr>
        <w:pStyle w:val="Indenti"/>
      </w:pPr>
      <w:r>
        <w:tab/>
        <w:t>(i</w:t>
      </w:r>
      <w:r>
        <w:t>v)</w:t>
      </w:r>
      <w:r>
        <w:tab/>
        <w:t xml:space="preserve">the name of the </w:t>
      </w:r>
      <w:r>
        <w:rPr>
          <w:b/>
          <w:i/>
        </w:rPr>
        <w:t>retailer</w:t>
      </w:r>
      <w:r>
        <w:t xml:space="preserve"> on whose behalf the </w:t>
      </w:r>
      <w:r>
        <w:rPr>
          <w:b/>
          <w:i/>
        </w:rPr>
        <w:t xml:space="preserve">contact </w:t>
      </w:r>
      <w:r>
        <w:t>is being made; and</w:t>
      </w:r>
    </w:p>
    <w:p w:rsidR="00AA23C5" w:rsidRDefault="00BB28A7">
      <w:pPr>
        <w:pStyle w:val="Indenta"/>
      </w:pPr>
      <w:r>
        <w:tab/>
        <w:t>(b)</w:t>
      </w:r>
      <w:r>
        <w:tab/>
        <w:t xml:space="preserve">provide the </w:t>
      </w:r>
      <w:r>
        <w:rPr>
          <w:b/>
          <w:i/>
        </w:rPr>
        <w:t>customer</w:t>
      </w:r>
      <w:r>
        <w:t xml:space="preserve">, in writing — </w:t>
      </w:r>
    </w:p>
    <w:p w:rsidR="00AA23C5" w:rsidRDefault="00BB28A7">
      <w:pPr>
        <w:pStyle w:val="Indenti"/>
      </w:pPr>
      <w:r>
        <w:tab/>
        <w:t>(i)</w:t>
      </w:r>
      <w:r>
        <w:tab/>
        <w:t>his or her first name;</w:t>
      </w:r>
    </w:p>
    <w:p w:rsidR="00AA23C5" w:rsidRDefault="00BB28A7">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rsidR="00AA23C5" w:rsidRDefault="00BB28A7">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rsidR="00AA23C5" w:rsidRDefault="00BB28A7">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rsidR="00AA23C5" w:rsidRDefault="00BB28A7">
      <w:pPr>
        <w:pStyle w:val="Indenti"/>
      </w:pPr>
      <w:r>
        <w:tab/>
        <w:t>(v)</w:t>
      </w:r>
      <w:r>
        <w:tab/>
        <w:t xml:space="preserve">the business address and Australian Business or Company Number of the retailer on whose behalf the </w:t>
      </w:r>
      <w:r>
        <w:rPr>
          <w:b/>
          <w:i/>
        </w:rPr>
        <w:t>co</w:t>
      </w:r>
      <w:r>
        <w:rPr>
          <w:b/>
          <w:i/>
        </w:rPr>
        <w:t>ntact</w:t>
      </w:r>
      <w:r>
        <w:t xml:space="preserve"> is being made; and</w:t>
      </w:r>
    </w:p>
    <w:p w:rsidR="00AA23C5" w:rsidRDefault="00BB28A7">
      <w:pPr>
        <w:pStyle w:val="Indenti"/>
      </w:pPr>
      <w:r>
        <w:tab/>
        <w:t>(vi)</w:t>
      </w:r>
      <w:r>
        <w:tab/>
        <w:t xml:space="preserve">the </w:t>
      </w:r>
      <w:r>
        <w:rPr>
          <w:b/>
          <w:i/>
        </w:rPr>
        <w:t>telephone</w:t>
      </w:r>
      <w:r>
        <w:t xml:space="preserve"> number of the </w:t>
      </w:r>
      <w:r>
        <w:rPr>
          <w:b/>
          <w:i/>
        </w:rPr>
        <w:t>gas ombudsman</w:t>
      </w:r>
      <w:r>
        <w:t>;</w:t>
      </w:r>
    </w:p>
    <w:p w:rsidR="00AA23C5" w:rsidRDefault="00BB28A7">
      <w:pPr>
        <w:pStyle w:val="Indenta"/>
      </w:pPr>
      <w:r>
        <w:tab/>
      </w:r>
      <w:r>
        <w:tab/>
        <w:t xml:space="preserve">as soon as practicable following a request by the </w:t>
      </w:r>
      <w:r>
        <w:rPr>
          <w:b/>
          <w:i/>
        </w:rPr>
        <w:t xml:space="preserve">customer </w:t>
      </w:r>
      <w:r>
        <w:rPr>
          <w:i/>
        </w:rPr>
        <w:t>for the information.</w:t>
      </w:r>
    </w:p>
    <w:p w:rsidR="00AA23C5" w:rsidRDefault="00BB28A7">
      <w:pPr>
        <w:pStyle w:val="Heading5"/>
        <w:rPr>
          <w:spacing w:val="-2"/>
        </w:rPr>
      </w:pPr>
      <w:bookmarkStart w:id="22" w:name="_Toc32240084"/>
      <w:r>
        <w:rPr>
          <w:rStyle w:val="CharSectno"/>
        </w:rPr>
        <w:t>2.6</w:t>
      </w:r>
      <w:r>
        <w:t>.</w:t>
      </w:r>
      <w:r>
        <w:rPr>
          <w:spacing w:val="-2"/>
        </w:rPr>
        <w:tab/>
        <w:t>No canvassing or advertising signs</w:t>
      </w:r>
      <w:bookmarkEnd w:id="22"/>
    </w:p>
    <w:p w:rsidR="00AA23C5" w:rsidRDefault="00BB28A7">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rsidR="00AA23C5" w:rsidRDefault="00BB28A7">
      <w:pPr>
        <w:pStyle w:val="Indenta"/>
      </w:pPr>
      <w:r>
        <w:tab/>
        <w:t>(a)</w:t>
      </w:r>
      <w:r>
        <w:tab/>
        <w:t xml:space="preserve">canvassing is not permitted at the </w:t>
      </w:r>
      <w:r>
        <w:rPr>
          <w:b/>
          <w:i/>
        </w:rPr>
        <w:t>premises</w:t>
      </w:r>
      <w:r>
        <w:t>; or</w:t>
      </w:r>
    </w:p>
    <w:p w:rsidR="00AA23C5" w:rsidRDefault="00BB28A7">
      <w:pPr>
        <w:pStyle w:val="Indenta"/>
      </w:pPr>
      <w:r>
        <w:tab/>
        <w:t>(b)</w:t>
      </w:r>
      <w:r>
        <w:tab/>
        <w:t xml:space="preserve">no advertising or similar material is to be left at the </w:t>
      </w:r>
      <w:r>
        <w:rPr>
          <w:b/>
          <w:i/>
        </w:rPr>
        <w:t>premises</w:t>
      </w:r>
      <w:r>
        <w:t xml:space="preserve"> or in a letter</w:t>
      </w:r>
      <w:r>
        <w:t xml:space="preserve">box or other receptacle at, or associated with, the </w:t>
      </w:r>
      <w:r>
        <w:rPr>
          <w:b/>
          <w:i/>
        </w:rPr>
        <w:t>premises</w:t>
      </w:r>
      <w:r>
        <w:t>.</w:t>
      </w:r>
    </w:p>
    <w:p w:rsidR="00AA23C5" w:rsidRDefault="00BB28A7">
      <w:pPr>
        <w:pStyle w:val="Heading3"/>
      </w:pPr>
      <w:bookmarkStart w:id="23" w:name="_Toc32240085"/>
      <w:r>
        <w:rPr>
          <w:rStyle w:val="CharDivNo"/>
        </w:rPr>
        <w:t>Division 4</w:t>
      </w:r>
      <w:r>
        <w:t> — </w:t>
      </w:r>
      <w:r>
        <w:rPr>
          <w:rStyle w:val="CharDivText"/>
        </w:rPr>
        <w:t>Miscellaneous</w:t>
      </w:r>
      <w:bookmarkEnd w:id="23"/>
    </w:p>
    <w:p w:rsidR="00AA23C5" w:rsidRDefault="00BB28A7">
      <w:pPr>
        <w:pStyle w:val="Heading5"/>
        <w:rPr>
          <w:spacing w:val="-2"/>
        </w:rPr>
      </w:pPr>
      <w:bookmarkStart w:id="24" w:name="_Toc32240086"/>
      <w:r>
        <w:rPr>
          <w:rStyle w:val="CharSectno"/>
        </w:rPr>
        <w:t>2.7</w:t>
      </w:r>
      <w:r>
        <w:t>.</w:t>
      </w:r>
      <w:r>
        <w:rPr>
          <w:spacing w:val="-2"/>
        </w:rPr>
        <w:tab/>
        <w:t>Compliance</w:t>
      </w:r>
      <w:bookmarkEnd w:id="24"/>
    </w:p>
    <w:p w:rsidR="00AA23C5" w:rsidRDefault="00BB28A7">
      <w:pPr>
        <w:pStyle w:val="Subsection"/>
      </w:pPr>
      <w:r>
        <w:tab/>
        <w:t>(1)</w:t>
      </w:r>
      <w:r>
        <w:tab/>
        <w:t xml:space="preserve">A </w:t>
      </w:r>
      <w:r>
        <w:rPr>
          <w:b/>
          <w:i/>
        </w:rPr>
        <w:t>gas marketing agent</w:t>
      </w:r>
      <w:r>
        <w:t xml:space="preserve"> who contravenes a provision of this </w:t>
      </w:r>
      <w:r>
        <w:rPr>
          <w:b/>
          <w:i/>
        </w:rPr>
        <w:t>Code</w:t>
      </w:r>
      <w:r>
        <w:t xml:space="preserve"> commits an offence.</w:t>
      </w:r>
    </w:p>
    <w:p w:rsidR="00AA23C5" w:rsidRDefault="00BB28A7">
      <w:pPr>
        <w:pStyle w:val="Penstart"/>
      </w:pPr>
      <w:r>
        <w:tab/>
        <w:t xml:space="preserve">Penalty — </w:t>
      </w:r>
    </w:p>
    <w:p w:rsidR="00AA23C5" w:rsidRDefault="00BB28A7">
      <w:pPr>
        <w:pStyle w:val="Penpara"/>
      </w:pPr>
      <w:r>
        <w:tab/>
        <w:t>(a)</w:t>
      </w:r>
      <w:r>
        <w:tab/>
        <w:t>for an individual, $5 000;</w:t>
      </w:r>
    </w:p>
    <w:p w:rsidR="00AA23C5" w:rsidRDefault="00BB28A7">
      <w:pPr>
        <w:pStyle w:val="Penpara"/>
      </w:pPr>
      <w:r>
        <w:tab/>
        <w:t>(b)</w:t>
      </w:r>
      <w:r>
        <w:tab/>
        <w:t>for a body cor</w:t>
      </w:r>
      <w:r>
        <w:t xml:space="preserve">porate, $20 000. </w:t>
      </w:r>
    </w:p>
    <w:p w:rsidR="00AA23C5" w:rsidRDefault="00BB28A7">
      <w:pPr>
        <w:pStyle w:val="Subsection"/>
      </w:pPr>
      <w:r>
        <w:tab/>
        <w:t>(2)</w:t>
      </w:r>
      <w:r>
        <w:tab/>
        <w:t xml:space="preserve">If a </w:t>
      </w:r>
      <w:r>
        <w:rPr>
          <w:b/>
          <w:i/>
        </w:rPr>
        <w:t>gas marketing agent</w:t>
      </w:r>
      <w:r>
        <w:t xml:space="preserve"> of a </w:t>
      </w:r>
      <w:r>
        <w:rPr>
          <w:b/>
          <w:i/>
        </w:rPr>
        <w:t>retailer</w:t>
      </w:r>
      <w:r>
        <w:t xml:space="preserve"> contravenes a provision of this </w:t>
      </w:r>
      <w:r>
        <w:rPr>
          <w:b/>
          <w:i/>
        </w:rPr>
        <w:t>Code</w:t>
      </w:r>
      <w:r>
        <w:t xml:space="preserve">, the </w:t>
      </w:r>
      <w:r>
        <w:rPr>
          <w:b/>
          <w:i/>
        </w:rPr>
        <w:t>retailer</w:t>
      </w:r>
      <w:r>
        <w:t xml:space="preserve"> commits an offence. </w:t>
      </w:r>
    </w:p>
    <w:p w:rsidR="00AA23C5" w:rsidRDefault="00BB28A7">
      <w:pPr>
        <w:pStyle w:val="Penstart"/>
      </w:pPr>
      <w:r>
        <w:tab/>
        <w:t xml:space="preserve">Penalty — </w:t>
      </w:r>
    </w:p>
    <w:p w:rsidR="00AA23C5" w:rsidRDefault="00BB28A7">
      <w:pPr>
        <w:pStyle w:val="Penpara"/>
      </w:pPr>
      <w:r>
        <w:tab/>
        <w:t>(a)</w:t>
      </w:r>
      <w:r>
        <w:tab/>
        <w:t>for an individual, $5 000;</w:t>
      </w:r>
    </w:p>
    <w:p w:rsidR="00AA23C5" w:rsidRDefault="00BB28A7">
      <w:pPr>
        <w:pStyle w:val="Penpara"/>
      </w:pPr>
      <w:r>
        <w:tab/>
        <w:t>(b)</w:t>
      </w:r>
      <w:r>
        <w:tab/>
        <w:t xml:space="preserve">for a body corporate, $20 000. </w:t>
      </w:r>
    </w:p>
    <w:p w:rsidR="00AA23C5" w:rsidRDefault="00BB28A7">
      <w:pPr>
        <w:pStyle w:val="Subsection"/>
      </w:pPr>
      <w:r>
        <w:tab/>
        <w:t>(3)</w:t>
      </w:r>
      <w:r>
        <w:tab/>
      </w:r>
      <w:r>
        <w:t xml:space="preserve">It is a defence to a prosecution for a contravention of subclause (2) if the </w:t>
      </w:r>
      <w:r>
        <w:rPr>
          <w:b/>
          <w:i/>
        </w:rPr>
        <w:t>retailer</w:t>
      </w:r>
      <w:r>
        <w:t xml:space="preserve"> proves that the retailer used reasonable endeavours to ensure that the </w:t>
      </w:r>
      <w:r>
        <w:rPr>
          <w:b/>
          <w:i/>
        </w:rPr>
        <w:t>gas marketing agent</w:t>
      </w:r>
      <w:r>
        <w:t xml:space="preserve"> complied with this </w:t>
      </w:r>
      <w:r>
        <w:rPr>
          <w:b/>
          <w:i/>
        </w:rPr>
        <w:t>Code</w:t>
      </w:r>
      <w:r>
        <w:t>.</w:t>
      </w:r>
    </w:p>
    <w:p w:rsidR="00AA23C5" w:rsidRDefault="00BB28A7">
      <w:pPr>
        <w:pStyle w:val="Heading5"/>
        <w:rPr>
          <w:spacing w:val="-2"/>
        </w:rPr>
      </w:pPr>
      <w:bookmarkStart w:id="25" w:name="_Toc32240087"/>
      <w:r>
        <w:rPr>
          <w:rStyle w:val="CharSectno"/>
        </w:rPr>
        <w:t>2.8</w:t>
      </w:r>
      <w:r>
        <w:t>.</w:t>
      </w:r>
      <w:r>
        <w:rPr>
          <w:spacing w:val="-2"/>
        </w:rPr>
        <w:tab/>
        <w:t>Presumption of authority</w:t>
      </w:r>
      <w:bookmarkEnd w:id="25"/>
    </w:p>
    <w:p w:rsidR="00AA23C5" w:rsidRDefault="00BB28A7">
      <w:pPr>
        <w:pStyle w:val="Subsection"/>
      </w:pPr>
      <w:r>
        <w:tab/>
      </w:r>
      <w:r>
        <w:tab/>
        <w:t>A person who carries o</w:t>
      </w:r>
      <w:r>
        <w:t xml:space="preserve">ut any </w:t>
      </w:r>
      <w:r>
        <w:rPr>
          <w:b/>
          <w:i/>
        </w:rPr>
        <w:t>marketing</w:t>
      </w:r>
      <w:r>
        <w:t xml:space="preserve"> activity in the name of or for the benefit of — </w:t>
      </w:r>
    </w:p>
    <w:p w:rsidR="00AA23C5" w:rsidRDefault="00BB28A7">
      <w:pPr>
        <w:pStyle w:val="Indenta"/>
      </w:pPr>
      <w:r>
        <w:tab/>
        <w:t>(a)</w:t>
      </w:r>
      <w:r>
        <w:tab/>
        <w:t xml:space="preserve">a </w:t>
      </w:r>
      <w:r>
        <w:rPr>
          <w:b/>
          <w:i/>
        </w:rPr>
        <w:t>retailer</w:t>
      </w:r>
      <w:r>
        <w:t>; or</w:t>
      </w:r>
    </w:p>
    <w:p w:rsidR="00AA23C5" w:rsidRDefault="00BB28A7">
      <w:pPr>
        <w:pStyle w:val="Indenta"/>
      </w:pPr>
      <w:r>
        <w:tab/>
        <w:t>(b)</w:t>
      </w:r>
      <w:r>
        <w:tab/>
        <w:t xml:space="preserve">a </w:t>
      </w:r>
      <w:r>
        <w:rPr>
          <w:b/>
          <w:i/>
        </w:rPr>
        <w:t>gas marketing agent</w:t>
      </w:r>
      <w:r>
        <w:t>,</w:t>
      </w:r>
    </w:p>
    <w:p w:rsidR="00AA23C5" w:rsidRDefault="00BB28A7">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w:t>
      </w:r>
      <w:r>
        <w:t>activity.</w:t>
      </w:r>
    </w:p>
    <w:p w:rsidR="00AA23C5" w:rsidRDefault="00BB28A7">
      <w:pPr>
        <w:pStyle w:val="Heading5"/>
        <w:rPr>
          <w:spacing w:val="-2"/>
        </w:rPr>
      </w:pPr>
      <w:bookmarkStart w:id="26" w:name="_Toc32240088"/>
      <w:r>
        <w:rPr>
          <w:rStyle w:val="CharSectno"/>
        </w:rPr>
        <w:t>2.9</w:t>
      </w:r>
      <w:r>
        <w:t>.</w:t>
      </w:r>
      <w:r>
        <w:rPr>
          <w:spacing w:val="-2"/>
        </w:rPr>
        <w:tab/>
        <w:t>Gas marketing agent complaints</w:t>
      </w:r>
      <w:bookmarkEnd w:id="26"/>
    </w:p>
    <w:p w:rsidR="00AA23C5" w:rsidRDefault="00BB28A7">
      <w:pPr>
        <w:pStyle w:val="Subsection"/>
      </w:pPr>
      <w:r>
        <w:tab/>
      </w:r>
      <w:r>
        <w:tab/>
        <w:t xml:space="preserve">A </w:t>
      </w:r>
      <w:r>
        <w:rPr>
          <w:b/>
          <w:i/>
        </w:rPr>
        <w:t>gas marketing agent</w:t>
      </w:r>
      <w:r>
        <w:t xml:space="preserve"> must — </w:t>
      </w:r>
    </w:p>
    <w:p w:rsidR="00AA23C5" w:rsidRDefault="00BB28A7">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w:t>
      </w:r>
      <w:r>
        <w:rPr>
          <w:b/>
          <w:i/>
        </w:rPr>
        <w:t>gent</w:t>
      </w:r>
      <w:r>
        <w:t>; and</w:t>
      </w:r>
    </w:p>
    <w:p w:rsidR="00AA23C5" w:rsidRDefault="00BB28A7">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rsidR="00AA23C5" w:rsidRDefault="00BB28A7">
      <w:pPr>
        <w:pStyle w:val="Heading5"/>
        <w:rPr>
          <w:spacing w:val="-2"/>
        </w:rPr>
      </w:pPr>
      <w:bookmarkStart w:id="27" w:name="_Toc32240089"/>
      <w:r>
        <w:rPr>
          <w:rStyle w:val="CharSectno"/>
        </w:rPr>
        <w:t>2.10</w:t>
      </w:r>
      <w:r>
        <w:t>.</w:t>
      </w:r>
      <w:r>
        <w:rPr>
          <w:spacing w:val="-2"/>
        </w:rPr>
        <w:tab/>
        <w:t>Records to be kept</w:t>
      </w:r>
      <w:bookmarkEnd w:id="27"/>
    </w:p>
    <w:p w:rsidR="00AA23C5" w:rsidRDefault="00BB28A7">
      <w:pPr>
        <w:pStyle w:val="Subsection"/>
      </w:pPr>
      <w:r>
        <w:tab/>
      </w:r>
      <w:r>
        <w:tab/>
      </w:r>
      <w:r>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rsidR="00AA23C5" w:rsidRDefault="00BB28A7">
      <w:pPr>
        <w:pStyle w:val="Footnotesection"/>
      </w:pPr>
      <w:r>
        <w:tab/>
        <w:t>[Clause 2.</w:t>
      </w:r>
      <w:r>
        <w:t>10 amended: Gazette 20 Sep 2019 p. 3384.]</w:t>
      </w:r>
    </w:p>
    <w:p w:rsidR="00AA23C5" w:rsidRDefault="00BB28A7">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AA23C5" w:rsidRDefault="00AA23C5"/>
    <w:p w:rsidR="00AA23C5" w:rsidRDefault="00AA23C5">
      <w:pPr>
        <w:sectPr w:rsidR="00AA23C5">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rsidR="00AA23C5" w:rsidRDefault="00BB28A7">
      <w:pPr>
        <w:pStyle w:val="nHeading2"/>
      </w:pPr>
      <w:bookmarkStart w:id="28" w:name="_Toc32240090"/>
      <w:r>
        <w:t>Notes</w:t>
      </w:r>
      <w:bookmarkEnd w:id="28"/>
    </w:p>
    <w:p w:rsidR="00AA23C5" w:rsidRDefault="00BB28A7">
      <w:pPr>
        <w:pStyle w:val="nStatement"/>
      </w:pPr>
      <w:r>
        <w:t xml:space="preserve">This is a compilation of the </w:t>
      </w:r>
      <w:r>
        <w:rPr>
          <w:i/>
          <w:noProof/>
        </w:rPr>
        <w:t>Gas Marketing Code of Conduct 2017</w:t>
      </w:r>
      <w:r>
        <w:t xml:space="preserve"> and includes amendments made by other written laws. For provisions that have come into operation see the compilation table.</w:t>
      </w:r>
    </w:p>
    <w:p w:rsidR="00AA23C5" w:rsidRDefault="00BB28A7">
      <w:pPr>
        <w:pStyle w:val="nHeading3"/>
      </w:pPr>
      <w:bookmarkStart w:id="29" w:name="_Toc32240091"/>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A23C5">
        <w:trPr>
          <w:tblHeader/>
        </w:trPr>
        <w:tc>
          <w:tcPr>
            <w:tcW w:w="3118" w:type="dxa"/>
          </w:tcPr>
          <w:p w:rsidR="00AA23C5" w:rsidRDefault="00BB28A7">
            <w:pPr>
              <w:pStyle w:val="nTable"/>
              <w:spacing w:after="40"/>
              <w:rPr>
                <w:b/>
              </w:rPr>
            </w:pPr>
            <w:r>
              <w:rPr>
                <w:b/>
              </w:rPr>
              <w:t>Citation</w:t>
            </w:r>
          </w:p>
        </w:tc>
        <w:tc>
          <w:tcPr>
            <w:tcW w:w="1276" w:type="dxa"/>
          </w:tcPr>
          <w:p w:rsidR="00AA23C5" w:rsidRDefault="00BB28A7">
            <w:pPr>
              <w:pStyle w:val="nTable"/>
              <w:spacing w:after="40"/>
              <w:rPr>
                <w:b/>
              </w:rPr>
            </w:pPr>
            <w:r>
              <w:rPr>
                <w:b/>
              </w:rPr>
              <w:t>Published</w:t>
            </w:r>
          </w:p>
        </w:tc>
        <w:tc>
          <w:tcPr>
            <w:tcW w:w="2693" w:type="dxa"/>
          </w:tcPr>
          <w:p w:rsidR="00AA23C5" w:rsidRDefault="00BB28A7">
            <w:pPr>
              <w:pStyle w:val="nTable"/>
              <w:spacing w:after="40"/>
              <w:rPr>
                <w:b/>
              </w:rPr>
            </w:pPr>
            <w:r>
              <w:rPr>
                <w:b/>
              </w:rPr>
              <w:t>Commencement</w:t>
            </w:r>
          </w:p>
        </w:tc>
      </w:tr>
      <w:tr w:rsidR="00AA23C5">
        <w:tblPrEx>
          <w:tblBorders>
            <w:top w:val="single" w:sz="4" w:space="0" w:color="auto"/>
            <w:insideH w:val="single" w:sz="4" w:space="0" w:color="auto"/>
          </w:tblBorders>
        </w:tblPrEx>
        <w:trPr>
          <w:cantSplit/>
        </w:trPr>
        <w:tc>
          <w:tcPr>
            <w:tcW w:w="3118" w:type="dxa"/>
            <w:tcBorders>
              <w:bottom w:val="nil"/>
            </w:tcBorders>
          </w:tcPr>
          <w:p w:rsidR="00AA23C5" w:rsidRDefault="00BB28A7">
            <w:pPr>
              <w:pStyle w:val="nTable"/>
              <w:rPr>
                <w:iCs/>
              </w:rPr>
            </w:pPr>
            <w:r>
              <w:rPr>
                <w:i/>
              </w:rPr>
              <w:t>Gas Marketing Code of Conduct 2017</w:t>
            </w:r>
          </w:p>
        </w:tc>
        <w:tc>
          <w:tcPr>
            <w:tcW w:w="1276" w:type="dxa"/>
            <w:tcBorders>
              <w:bottom w:val="nil"/>
            </w:tcBorders>
          </w:tcPr>
          <w:p w:rsidR="00AA23C5" w:rsidRDefault="00BB28A7">
            <w:pPr>
              <w:pStyle w:val="nTable"/>
            </w:pPr>
            <w:r>
              <w:t>29 May 2017 p. 2715</w:t>
            </w:r>
            <w:r>
              <w:noBreakHyphen/>
              <w:t>24</w:t>
            </w:r>
          </w:p>
        </w:tc>
        <w:tc>
          <w:tcPr>
            <w:tcW w:w="2693" w:type="dxa"/>
            <w:tcBorders>
              <w:bottom w:val="nil"/>
            </w:tcBorders>
          </w:tcPr>
          <w:p w:rsidR="00AA23C5" w:rsidRDefault="00BB28A7">
            <w:pPr>
              <w:pStyle w:val="nTable"/>
            </w:pPr>
            <w:r>
              <w:t xml:space="preserve">1 Jul 2017 (see cl. 1.3 and </w:t>
            </w:r>
            <w:r>
              <w:rPr>
                <w:i/>
              </w:rPr>
              <w:t>Gazette</w:t>
            </w:r>
            <w:r>
              <w:t xml:space="preserve"> 29 May 2017 p. 2716)</w:t>
            </w:r>
          </w:p>
        </w:tc>
      </w:tr>
      <w:tr w:rsidR="00AA23C5">
        <w:tblPrEx>
          <w:tblBorders>
            <w:top w:val="single" w:sz="4" w:space="0" w:color="auto"/>
            <w:insideH w:val="single" w:sz="4" w:space="0" w:color="auto"/>
          </w:tblBorders>
        </w:tblPrEx>
        <w:trPr>
          <w:cantSplit/>
        </w:trPr>
        <w:tc>
          <w:tcPr>
            <w:tcW w:w="3118" w:type="dxa"/>
            <w:tcBorders>
              <w:top w:val="nil"/>
              <w:bottom w:val="single" w:sz="4" w:space="0" w:color="auto"/>
            </w:tcBorders>
          </w:tcPr>
          <w:p w:rsidR="00AA23C5" w:rsidRDefault="00BB28A7">
            <w:pPr>
              <w:pStyle w:val="nTable"/>
              <w:rPr>
                <w:i/>
              </w:rPr>
            </w:pPr>
            <w:r>
              <w:rPr>
                <w:i/>
              </w:rPr>
              <w:t>Gas Marketing Code of Conduct Amendment Code 2019</w:t>
            </w:r>
          </w:p>
        </w:tc>
        <w:tc>
          <w:tcPr>
            <w:tcW w:w="1276" w:type="dxa"/>
            <w:tcBorders>
              <w:top w:val="nil"/>
              <w:bottom w:val="single" w:sz="4" w:space="0" w:color="auto"/>
            </w:tcBorders>
          </w:tcPr>
          <w:p w:rsidR="00AA23C5" w:rsidRDefault="00BB28A7">
            <w:pPr>
              <w:pStyle w:val="nTable"/>
            </w:pPr>
            <w:r>
              <w:t>20 Sep 2019 p. 3381-4</w:t>
            </w:r>
          </w:p>
        </w:tc>
        <w:tc>
          <w:tcPr>
            <w:tcW w:w="2693" w:type="dxa"/>
            <w:tcBorders>
              <w:top w:val="nil"/>
              <w:bottom w:val="single" w:sz="4" w:space="0" w:color="auto"/>
            </w:tcBorders>
          </w:tcPr>
          <w:p w:rsidR="00AA23C5" w:rsidRDefault="00BB28A7">
            <w:pPr>
              <w:pStyle w:val="nTable"/>
            </w:pPr>
            <w:r>
              <w:t>cl. 1 and 2: 20 Sep 2019 (see cl. 2(a));</w:t>
            </w:r>
            <w:r>
              <w:br/>
            </w:r>
            <w:r>
              <w:t>Code other than cl. 1 and 2: 1 Jan 2020 (see cl. 2(b))</w:t>
            </w:r>
          </w:p>
        </w:tc>
      </w:tr>
    </w:tbl>
    <w:p w:rsidR="00AA23C5" w:rsidRDefault="00AA23C5"/>
    <w:p w:rsidR="00AA23C5" w:rsidRDefault="00AA23C5">
      <w:pPr>
        <w:sectPr w:rsidR="00AA23C5">
          <w:headerReference w:type="even" r:id="rId26"/>
          <w:headerReference w:type="default" r:id="rId27"/>
          <w:pgSz w:w="11907" w:h="16840" w:code="9"/>
          <w:pgMar w:top="2376" w:right="2404" w:bottom="3544" w:left="2404" w:header="720" w:footer="3380" w:gutter="0"/>
          <w:cols w:space="720"/>
          <w:noEndnote/>
          <w:docGrid w:linePitch="326"/>
        </w:sectPr>
      </w:pPr>
    </w:p>
    <w:p w:rsidR="00AA23C5" w:rsidRDefault="00BB28A7">
      <w:pPr>
        <w:pStyle w:val="nHeading2"/>
        <w:rPr>
          <w:sz w:val="28"/>
        </w:rPr>
      </w:pPr>
      <w:bookmarkStart w:id="31" w:name="_Toc32240092"/>
      <w:r>
        <w:rPr>
          <w:sz w:val="28"/>
        </w:rPr>
        <w:t>Defined terms</w:t>
      </w:r>
      <w:bookmarkEnd w:id="31"/>
    </w:p>
    <w:p w:rsidR="00AA23C5" w:rsidRDefault="00AA23C5">
      <w:pPr>
        <w:ind w:left="850" w:right="850"/>
        <w:jc w:val="center"/>
        <w:rPr>
          <w:i/>
          <w:sz w:val="18"/>
        </w:rPr>
      </w:pPr>
    </w:p>
    <w:p w:rsidR="00AA23C5" w:rsidRDefault="00BB28A7">
      <w:pPr>
        <w:ind w:left="850" w:right="850"/>
        <w:jc w:val="center"/>
        <w:rPr>
          <w:i/>
          <w:sz w:val="18"/>
        </w:rPr>
      </w:pPr>
      <w:r>
        <w:rPr>
          <w:i/>
          <w:sz w:val="18"/>
        </w:rPr>
        <w:t>[This is a list of terms defined and the provisions where they are defined.  The list is not part of the law.]</w:t>
      </w:r>
    </w:p>
    <w:p w:rsidR="00AA23C5" w:rsidRDefault="00BB28A7">
      <w:pPr>
        <w:pBdr>
          <w:bottom w:val="single" w:sz="4" w:space="1" w:color="auto"/>
        </w:pBdr>
        <w:tabs>
          <w:tab w:val="right" w:pos="7070"/>
        </w:tabs>
        <w:ind w:left="578"/>
        <w:rPr>
          <w:b/>
          <w:sz w:val="20"/>
        </w:rPr>
      </w:pPr>
      <w:r>
        <w:rPr>
          <w:b/>
          <w:sz w:val="20"/>
        </w:rPr>
        <w:t>Defined</w:t>
      </w:r>
      <w:r>
        <w:rPr>
          <w:b/>
          <w:sz w:val="20"/>
        </w:rPr>
        <w:t xml:space="preserve"> term</w:t>
      </w:r>
      <w:r>
        <w:rPr>
          <w:b/>
          <w:sz w:val="20"/>
        </w:rPr>
        <w:tab/>
        <w:t>Provision(s)</w:t>
      </w:r>
    </w:p>
    <w:p w:rsidR="00AA23C5" w:rsidRDefault="00BB28A7">
      <w:pPr>
        <w:pStyle w:val="DefinedTerms"/>
      </w:pPr>
      <w:r>
        <w:t>Code</w:t>
      </w:r>
      <w:r>
        <w:tab/>
        <w:t>1.1, 1.5</w:t>
      </w:r>
    </w:p>
    <w:p w:rsidR="00AA23C5" w:rsidRDefault="00BB28A7">
      <w:pPr>
        <w:pStyle w:val="DefinedTerms"/>
      </w:pPr>
      <w:r>
        <w:t>Act</w:t>
      </w:r>
      <w:r>
        <w:tab/>
        <w:t>1.5</w:t>
      </w:r>
    </w:p>
    <w:p w:rsidR="00AA23C5" w:rsidRDefault="00BB28A7">
      <w:pPr>
        <w:pStyle w:val="DefinedTerms"/>
      </w:pPr>
      <w:r>
        <w:t>alternative tariff</w:t>
      </w:r>
      <w:r>
        <w:tab/>
        <w:t>1.5</w:t>
      </w:r>
    </w:p>
    <w:p w:rsidR="00AA23C5" w:rsidRDefault="00BB28A7">
      <w:pPr>
        <w:pStyle w:val="DefinedTerms"/>
      </w:pPr>
      <w:r>
        <w:t>Australian Consumer Law (WA)</w:t>
      </w:r>
      <w:r>
        <w:tab/>
        <w:t>1.5</w:t>
      </w:r>
    </w:p>
    <w:p w:rsidR="00AA23C5" w:rsidRDefault="00BB28A7">
      <w:pPr>
        <w:pStyle w:val="DefinedTerms"/>
      </w:pPr>
      <w:r>
        <w:t>Authority</w:t>
      </w:r>
      <w:r>
        <w:tab/>
        <w:t>1.5</w:t>
      </w:r>
    </w:p>
    <w:p w:rsidR="00AA23C5" w:rsidRDefault="00BB28A7">
      <w:pPr>
        <w:pStyle w:val="DefinedTerms"/>
      </w:pPr>
      <w:r>
        <w:t>basic living needs</w:t>
      </w:r>
      <w:r>
        <w:tab/>
        <w:t>1.5</w:t>
      </w:r>
    </w:p>
    <w:p w:rsidR="00AA23C5" w:rsidRDefault="00BB28A7">
      <w:pPr>
        <w:pStyle w:val="DefinedTerms"/>
      </w:pPr>
      <w:r>
        <w:t>business day</w:t>
      </w:r>
      <w:r>
        <w:tab/>
        <w:t>1.5</w:t>
      </w:r>
    </w:p>
    <w:p w:rsidR="00AA23C5" w:rsidRDefault="00BB28A7">
      <w:pPr>
        <w:pStyle w:val="DefinedTerms"/>
      </w:pPr>
      <w:r>
        <w:t>change in personal circumstances</w:t>
      </w:r>
      <w:r>
        <w:tab/>
        <w:t>1.5</w:t>
      </w:r>
    </w:p>
    <w:p w:rsidR="00AA23C5" w:rsidRDefault="00BB28A7">
      <w:pPr>
        <w:pStyle w:val="DefinedTerms"/>
      </w:pPr>
      <w:r>
        <w:t>Compendium</w:t>
      </w:r>
      <w:r>
        <w:tab/>
        <w:t>1.5</w:t>
      </w:r>
    </w:p>
    <w:p w:rsidR="00AA23C5" w:rsidRDefault="00BB28A7">
      <w:pPr>
        <w:pStyle w:val="DefinedTerms"/>
      </w:pPr>
      <w:r>
        <w:t>complaint</w:t>
      </w:r>
      <w:r>
        <w:tab/>
        <w:t>1.5</w:t>
      </w:r>
    </w:p>
    <w:p w:rsidR="00AA23C5" w:rsidRDefault="00BB28A7">
      <w:pPr>
        <w:pStyle w:val="DefinedTerms"/>
      </w:pPr>
      <w:r>
        <w:t>concession</w:t>
      </w:r>
      <w:r>
        <w:tab/>
        <w:t>1.5</w:t>
      </w:r>
    </w:p>
    <w:p w:rsidR="00AA23C5" w:rsidRDefault="00BB28A7">
      <w:pPr>
        <w:pStyle w:val="DefinedTerms"/>
      </w:pPr>
      <w:r>
        <w:t>contact</w:t>
      </w:r>
      <w:r>
        <w:tab/>
        <w:t>1.5</w:t>
      </w:r>
    </w:p>
    <w:p w:rsidR="00AA23C5" w:rsidRDefault="00BB28A7">
      <w:pPr>
        <w:pStyle w:val="DefinedTerms"/>
      </w:pPr>
      <w:r>
        <w:t>contract</w:t>
      </w:r>
      <w:r>
        <w:tab/>
        <w:t>1.5</w:t>
      </w:r>
    </w:p>
    <w:p w:rsidR="00AA23C5" w:rsidRDefault="00BB28A7">
      <w:pPr>
        <w:pStyle w:val="DefinedTerms"/>
      </w:pPr>
      <w:r>
        <w:t>cooling-off period</w:t>
      </w:r>
      <w:r>
        <w:tab/>
        <w:t>1.5</w:t>
      </w:r>
    </w:p>
    <w:p w:rsidR="00AA23C5" w:rsidRDefault="00BB28A7">
      <w:pPr>
        <w:pStyle w:val="DefinedTerms"/>
      </w:pPr>
      <w:r>
        <w:t>customer</w:t>
      </w:r>
      <w:r>
        <w:tab/>
        <w:t>1.5</w:t>
      </w:r>
    </w:p>
    <w:p w:rsidR="00AA23C5" w:rsidRDefault="00BB28A7">
      <w:pPr>
        <w:pStyle w:val="DefinedTerms"/>
      </w:pPr>
      <w:r>
        <w:t>distributor</w:t>
      </w:r>
      <w:r>
        <w:tab/>
        <w:t>1.5</w:t>
      </w:r>
    </w:p>
    <w:p w:rsidR="00AA23C5" w:rsidRDefault="00BB28A7">
      <w:pPr>
        <w:pStyle w:val="DefinedTerms"/>
      </w:pPr>
      <w:r>
        <w:t>emergency</w:t>
      </w:r>
      <w:r>
        <w:tab/>
        <w:t>1.5</w:t>
      </w:r>
    </w:p>
    <w:p w:rsidR="00AA23C5" w:rsidRDefault="00BB28A7">
      <w:pPr>
        <w:pStyle w:val="DefinedTerms"/>
      </w:pPr>
      <w:r>
        <w:t>financial hardship</w:t>
      </w:r>
      <w:r>
        <w:tab/>
        <w:t>1.5</w:t>
      </w:r>
    </w:p>
    <w:p w:rsidR="00AA23C5" w:rsidRDefault="00BB28A7">
      <w:pPr>
        <w:pStyle w:val="DefinedTerms"/>
      </w:pPr>
      <w:r>
        <w:t>gas customer safety awareness program</w:t>
      </w:r>
      <w:r>
        <w:tab/>
        <w:t>1.5</w:t>
      </w:r>
    </w:p>
    <w:p w:rsidR="00AA23C5" w:rsidRDefault="00BB28A7">
      <w:pPr>
        <w:pStyle w:val="DefinedTerms"/>
      </w:pPr>
      <w:r>
        <w:t>gas marketing agent</w:t>
      </w:r>
      <w:r>
        <w:tab/>
        <w:t>1.5</w:t>
      </w:r>
    </w:p>
    <w:p w:rsidR="00AA23C5" w:rsidRDefault="00BB28A7">
      <w:pPr>
        <w:pStyle w:val="DefinedTerms"/>
      </w:pPr>
      <w:r>
        <w:t>gas ombudsman</w:t>
      </w:r>
      <w:r>
        <w:tab/>
        <w:t>1.5</w:t>
      </w:r>
    </w:p>
    <w:p w:rsidR="00AA23C5" w:rsidRDefault="00BB28A7">
      <w:pPr>
        <w:pStyle w:val="DefinedTerms"/>
      </w:pPr>
      <w:r>
        <w:t>marketing</w:t>
      </w:r>
      <w:r>
        <w:tab/>
        <w:t>1.5</w:t>
      </w:r>
    </w:p>
    <w:p w:rsidR="00AA23C5" w:rsidRDefault="00BB28A7">
      <w:pPr>
        <w:pStyle w:val="DefinedTerms"/>
      </w:pPr>
      <w:r>
        <w:t>marketing identification number</w:t>
      </w:r>
      <w:r>
        <w:tab/>
        <w:t>1.5</w:t>
      </w:r>
    </w:p>
    <w:p w:rsidR="00AA23C5" w:rsidRDefault="00BB28A7">
      <w:pPr>
        <w:pStyle w:val="DefinedTerms"/>
      </w:pPr>
      <w:r>
        <w:t>non-standard contract</w:t>
      </w:r>
      <w:r>
        <w:tab/>
        <w:t>1.5</w:t>
      </w:r>
    </w:p>
    <w:p w:rsidR="00AA23C5" w:rsidRDefault="00BB28A7">
      <w:pPr>
        <w:pStyle w:val="DefinedTerms"/>
      </w:pPr>
      <w:r>
        <w:t>paymen</w:t>
      </w:r>
      <w:r>
        <w:t>t difficulties</w:t>
      </w:r>
      <w:r>
        <w:tab/>
        <w:t>1.5</w:t>
      </w:r>
    </w:p>
    <w:p w:rsidR="00AA23C5" w:rsidRDefault="00BB28A7">
      <w:pPr>
        <w:pStyle w:val="DefinedTerms"/>
      </w:pPr>
      <w:r>
        <w:t>premises</w:t>
      </w:r>
      <w:r>
        <w:tab/>
        <w:t>1.5</w:t>
      </w:r>
    </w:p>
    <w:p w:rsidR="00AA23C5" w:rsidRDefault="00BB28A7">
      <w:pPr>
        <w:pStyle w:val="DefinedTerms"/>
      </w:pPr>
      <w:r>
        <w:t>public holiday</w:t>
      </w:r>
      <w:r>
        <w:tab/>
        <w:t>1.5</w:t>
      </w:r>
    </w:p>
    <w:p w:rsidR="00AA23C5" w:rsidRDefault="00BB28A7">
      <w:pPr>
        <w:pStyle w:val="DefinedTerms"/>
      </w:pPr>
      <w:r>
        <w:t>residential customer</w:t>
      </w:r>
      <w:r>
        <w:tab/>
        <w:t>1.5</w:t>
      </w:r>
    </w:p>
    <w:p w:rsidR="00AA23C5" w:rsidRDefault="00BB28A7">
      <w:pPr>
        <w:pStyle w:val="DefinedTerms"/>
      </w:pPr>
      <w:r>
        <w:t>retailer</w:t>
      </w:r>
      <w:r>
        <w:tab/>
        <w:t>1.5</w:t>
      </w:r>
    </w:p>
    <w:p w:rsidR="00AA23C5" w:rsidRDefault="00BB28A7">
      <w:pPr>
        <w:pStyle w:val="DefinedTerms"/>
      </w:pPr>
      <w:r>
        <w:t>standard form contract</w:t>
      </w:r>
      <w:r>
        <w:tab/>
        <w:t>1.5</w:t>
      </w:r>
    </w:p>
    <w:p w:rsidR="00AA23C5" w:rsidRDefault="00BB28A7">
      <w:pPr>
        <w:pStyle w:val="DefinedTerms"/>
      </w:pPr>
      <w:r>
        <w:t>telephone</w:t>
      </w:r>
      <w:r>
        <w:tab/>
        <w:t>1.5</w:t>
      </w:r>
    </w:p>
    <w:p w:rsidR="00AA23C5" w:rsidRDefault="00BB28A7">
      <w:pPr>
        <w:pStyle w:val="DefinedTerms"/>
      </w:pPr>
      <w:r>
        <w:t>TTY</w:t>
      </w:r>
      <w:r>
        <w:tab/>
        <w:t>1.5</w:t>
      </w:r>
    </w:p>
    <w:p w:rsidR="00AA23C5" w:rsidRDefault="00BB28A7">
      <w:pPr>
        <w:pStyle w:val="DefinedTerms"/>
      </w:pPr>
      <w:r>
        <w:t>unsolicited consumer agreement</w:t>
      </w:r>
      <w:r>
        <w:tab/>
        <w:t>1.5</w:t>
      </w:r>
    </w:p>
    <w:p w:rsidR="00AA23C5" w:rsidRDefault="00BB28A7">
      <w:pPr>
        <w:pStyle w:val="DefinedTerms"/>
      </w:pPr>
      <w:r>
        <w:t>verifiable confirmation</w:t>
      </w:r>
      <w:r>
        <w:tab/>
        <w:t>1.5</w:t>
      </w:r>
    </w:p>
    <w:p w:rsidR="00AA23C5" w:rsidRDefault="00BB28A7">
      <w:pPr>
        <w:pStyle w:val="DefinedTerms"/>
      </w:pPr>
      <w:r>
        <w:t>verifiable consent</w:t>
      </w:r>
      <w:r>
        <w:tab/>
        <w:t>1.5</w:t>
      </w:r>
    </w:p>
    <w:p w:rsidR="00AA23C5" w:rsidRDefault="00AA23C5"/>
    <w:p w:rsidR="00AA23C5" w:rsidRDefault="00AA23C5">
      <w:pPr>
        <w:sectPr w:rsidR="00AA23C5">
          <w:headerReference w:type="even" r:id="rId28"/>
          <w:headerReference w:type="default" r:id="rId29"/>
          <w:pgSz w:w="11907" w:h="16840" w:code="9"/>
          <w:pgMar w:top="2381" w:right="2409" w:bottom="3543" w:left="2409" w:header="720" w:footer="3380" w:gutter="0"/>
          <w:cols w:space="720"/>
          <w:noEndnote/>
          <w:docGrid w:linePitch="326"/>
        </w:sectPr>
      </w:pPr>
    </w:p>
    <w:p w:rsidR="00AA23C5" w:rsidRDefault="00AA23C5"/>
    <w:sectPr w:rsidR="00AA23C5">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3C5" w:rsidRDefault="00BB28A7">
      <w:r>
        <w:separator/>
      </w:r>
    </w:p>
  </w:endnote>
  <w:endnote w:type="continuationSeparator" w:id="0">
    <w:p w:rsidR="00AA23C5" w:rsidRDefault="00BB28A7">
      <w:r>
        <w:continuationSeparator/>
      </w:r>
    </w:p>
  </w:endnote>
  <w:endnote w:type="continuationNotice" w:id="1">
    <w:p w:rsidR="00AA23C5" w:rsidRDefault="00AA23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Footer"/>
      <w:pBdr>
        <w:bottom w:val="single" w:sz="4" w:space="1" w:color="auto"/>
      </w:pBdr>
      <w:rPr>
        <w:sz w:val="20"/>
      </w:rPr>
    </w:pPr>
  </w:p>
  <w:p w:rsidR="00AA23C5" w:rsidRDefault="00BB28A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rsidR="00AA23C5" w:rsidRDefault="00BB28A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Footer"/>
      <w:pBdr>
        <w:bottom w:val="single" w:sz="4" w:space="1" w:color="auto"/>
      </w:pBdr>
      <w:rPr>
        <w:sz w:val="20"/>
      </w:rPr>
    </w:pPr>
  </w:p>
  <w:p w:rsidR="00AA23C5" w:rsidRDefault="00BB28A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rsidR="00AA23C5" w:rsidRDefault="00BB28A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Footer"/>
      <w:pBdr>
        <w:bottom w:val="single" w:sz="4" w:space="1" w:color="auto"/>
      </w:pBdr>
      <w:rPr>
        <w:sz w:val="20"/>
      </w:rPr>
    </w:pPr>
  </w:p>
  <w:p w:rsidR="00AA23C5" w:rsidRDefault="00BB28A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Versi</w:t>
    </w:r>
    <w:r>
      <w:rPr>
        <w:sz w:val="20"/>
      </w:rPr>
      <w:t xml:space="preserve">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rsidR="00AA23C5" w:rsidRDefault="00BB28A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Footer"/>
      <w:pBdr>
        <w:bottom w:val="single" w:sz="4" w:space="1" w:color="auto"/>
      </w:pBdr>
      <w:rPr>
        <w:sz w:val="20"/>
      </w:rPr>
    </w:pPr>
  </w:p>
  <w:p w:rsidR="00AA23C5" w:rsidRDefault="00BB28A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rsidR="00AA23C5" w:rsidRDefault="00BB28A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Footer"/>
      <w:pBdr>
        <w:bottom w:val="single" w:sz="4" w:space="1" w:color="auto"/>
      </w:pBdr>
      <w:rPr>
        <w:sz w:val="20"/>
      </w:rPr>
    </w:pPr>
  </w:p>
  <w:p w:rsidR="00AA23C5" w:rsidRDefault="00BB28A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rsidR="00AA23C5" w:rsidRDefault="00BB28A7">
    <w:pPr>
      <w:pStyle w:val="Footer"/>
      <w:tabs>
        <w:tab w:val="center" w:pos="3600"/>
      </w:tabs>
      <w:rPr>
        <w:sz w:val="16"/>
      </w:rPr>
    </w:pPr>
    <w:r>
      <w:rPr>
        <w:sz w:val="16"/>
      </w:rPr>
      <w:tab/>
      <w:t>Published on</w:t>
    </w:r>
    <w:r>
      <w:rPr>
        <w:sz w:val="16"/>
      </w:rPr>
      <w:t xml:space="preserve">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Footer"/>
      <w:pBdr>
        <w:bottom w:val="single" w:sz="4" w:space="1" w:color="auto"/>
      </w:pBdr>
      <w:rPr>
        <w:sz w:val="20"/>
      </w:rPr>
    </w:pPr>
  </w:p>
  <w:p w:rsidR="00AA23C5" w:rsidRDefault="00BB28A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AA23C5" w:rsidRDefault="00BB28A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3C5" w:rsidRDefault="00BB28A7">
      <w:r>
        <w:separator/>
      </w:r>
    </w:p>
  </w:footnote>
  <w:footnote w:type="continuationSeparator" w:id="0">
    <w:p w:rsidR="00AA23C5" w:rsidRDefault="00BB28A7">
      <w:r>
        <w:continuationSeparator/>
      </w:r>
    </w:p>
  </w:footnote>
  <w:footnote w:type="continuationNotice" w:id="1">
    <w:p w:rsidR="00AA23C5" w:rsidRDefault="00AA23C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A7" w:rsidRDefault="00BB28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8A7" w:rsidRDefault="00BB28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23C5">
      <w:trPr>
        <w:cantSplit/>
      </w:trPr>
      <w:tc>
        <w:tcPr>
          <w:tcW w:w="7258" w:type="dxa"/>
          <w:gridSpan w:val="2"/>
        </w:tcPr>
        <w:p w:rsidR="00AA23C5" w:rsidRDefault="00BB28A7">
          <w:pPr>
            <w:pStyle w:val="Header"/>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rsidR="00AA23C5">
      <w:tc>
        <w:tcPr>
          <w:tcW w:w="1548" w:type="dxa"/>
        </w:tcPr>
        <w:p w:rsidR="00AA23C5" w:rsidRDefault="00AA23C5">
          <w:pPr>
            <w:pStyle w:val="Header"/>
            <w:spacing w:before="40"/>
          </w:pPr>
        </w:p>
      </w:tc>
      <w:tc>
        <w:tcPr>
          <w:tcW w:w="5715" w:type="dxa"/>
        </w:tcPr>
        <w:p w:rsidR="00AA23C5" w:rsidRDefault="00AA23C5">
          <w:pPr>
            <w:pStyle w:val="Header"/>
            <w:spacing w:before="40"/>
          </w:pPr>
        </w:p>
      </w:tc>
    </w:tr>
    <w:tr w:rsidR="00AA23C5">
      <w:tc>
        <w:tcPr>
          <w:tcW w:w="1548" w:type="dxa"/>
        </w:tcPr>
        <w:p w:rsidR="00AA23C5" w:rsidRDefault="00AA23C5">
          <w:pPr>
            <w:pStyle w:val="Header"/>
            <w:spacing w:before="40"/>
          </w:pPr>
        </w:p>
      </w:tc>
      <w:tc>
        <w:tcPr>
          <w:tcW w:w="5715" w:type="dxa"/>
        </w:tcPr>
        <w:p w:rsidR="00AA23C5" w:rsidRDefault="00AA23C5">
          <w:pPr>
            <w:pStyle w:val="Header"/>
            <w:spacing w:before="40"/>
          </w:pPr>
        </w:p>
      </w:tc>
    </w:tr>
    <w:tr w:rsidR="00AA23C5">
      <w:trPr>
        <w:cantSplit/>
      </w:trPr>
      <w:tc>
        <w:tcPr>
          <w:tcW w:w="7258" w:type="dxa"/>
          <w:gridSpan w:val="2"/>
        </w:tcPr>
        <w:p w:rsidR="00AA23C5" w:rsidRDefault="00BB28A7">
          <w:pPr>
            <w:pStyle w:val="Header"/>
            <w:spacing w:before="40"/>
          </w:pPr>
          <w:r>
            <w:t>Contents</w:t>
          </w:r>
        </w:p>
      </w:tc>
    </w:tr>
  </w:tbl>
  <w:p w:rsidR="00AA23C5" w:rsidRDefault="00AA23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23C5">
      <w:trPr>
        <w:cantSplit/>
      </w:trPr>
      <w:tc>
        <w:tcPr>
          <w:tcW w:w="7258" w:type="dxa"/>
          <w:gridSpan w:val="2"/>
        </w:tcPr>
        <w:p w:rsidR="00AA23C5" w:rsidRDefault="00BB28A7">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rsidR="00AA23C5">
      <w:tc>
        <w:tcPr>
          <w:tcW w:w="5715" w:type="dxa"/>
        </w:tcPr>
        <w:p w:rsidR="00AA23C5" w:rsidRDefault="00AA23C5">
          <w:pPr>
            <w:pStyle w:val="Header"/>
            <w:spacing w:before="40"/>
            <w:jc w:val="right"/>
          </w:pPr>
        </w:p>
      </w:tc>
      <w:tc>
        <w:tcPr>
          <w:tcW w:w="1548" w:type="dxa"/>
        </w:tcPr>
        <w:p w:rsidR="00AA23C5" w:rsidRDefault="00AA23C5">
          <w:pPr>
            <w:pStyle w:val="Header"/>
            <w:spacing w:before="40"/>
            <w:ind w:right="17"/>
            <w:jc w:val="right"/>
          </w:pPr>
        </w:p>
      </w:tc>
    </w:tr>
    <w:tr w:rsidR="00AA23C5">
      <w:tc>
        <w:tcPr>
          <w:tcW w:w="5715" w:type="dxa"/>
        </w:tcPr>
        <w:p w:rsidR="00AA23C5" w:rsidRDefault="00AA23C5">
          <w:pPr>
            <w:pStyle w:val="Header"/>
            <w:spacing w:before="40"/>
            <w:jc w:val="right"/>
          </w:pPr>
        </w:p>
      </w:tc>
      <w:tc>
        <w:tcPr>
          <w:tcW w:w="1548" w:type="dxa"/>
        </w:tcPr>
        <w:p w:rsidR="00AA23C5" w:rsidRDefault="00AA23C5">
          <w:pPr>
            <w:pStyle w:val="Header"/>
            <w:spacing w:before="40"/>
            <w:ind w:right="17"/>
            <w:jc w:val="right"/>
          </w:pPr>
        </w:p>
      </w:tc>
    </w:tr>
    <w:tr w:rsidR="00AA23C5">
      <w:trPr>
        <w:cantSplit/>
      </w:trPr>
      <w:tc>
        <w:tcPr>
          <w:tcW w:w="7258" w:type="dxa"/>
          <w:gridSpan w:val="2"/>
        </w:tcPr>
        <w:p w:rsidR="00AA23C5" w:rsidRDefault="00BB28A7">
          <w:pPr>
            <w:pStyle w:val="Header"/>
            <w:spacing w:before="40"/>
            <w:ind w:right="17"/>
            <w:jc w:val="right"/>
          </w:pPr>
          <w:r>
            <w:t>Contents</w:t>
          </w:r>
        </w:p>
      </w:tc>
    </w:tr>
  </w:tbl>
  <w:p w:rsidR="00AA23C5" w:rsidRDefault="00AA23C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23C5">
      <w:trPr>
        <w:cantSplit/>
      </w:trPr>
      <w:tc>
        <w:tcPr>
          <w:tcW w:w="7263" w:type="dxa"/>
          <w:gridSpan w:val="2"/>
        </w:tcPr>
        <w:p w:rsidR="00AA23C5" w:rsidRDefault="00BB28A7">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rsidR="00AA23C5">
      <w:tc>
        <w:tcPr>
          <w:tcW w:w="1548" w:type="dxa"/>
        </w:tcPr>
        <w:p w:rsidR="00AA23C5" w:rsidRDefault="00BB28A7">
          <w:pPr>
            <w:pStyle w:val="Header"/>
            <w:spacing w:before="40"/>
          </w:pPr>
          <w:r>
            <w:rPr>
              <w:b/>
            </w:rPr>
            <w:fldChar w:fldCharType="begin"/>
          </w:r>
          <w:r>
            <w:rPr>
              <w:b/>
            </w:rPr>
            <w:instrText>styleref CharPartNo</w:instrText>
          </w:r>
          <w:r>
            <w:rPr>
              <w:b/>
            </w:rPr>
            <w:fldChar w:fldCharType="end"/>
          </w:r>
        </w:p>
      </w:tc>
      <w:tc>
        <w:tcPr>
          <w:tcW w:w="5715" w:type="dxa"/>
        </w:tcPr>
        <w:p w:rsidR="00AA23C5" w:rsidRDefault="00BB28A7">
          <w:pPr>
            <w:pStyle w:val="Header"/>
            <w:spacing w:before="40"/>
          </w:pPr>
          <w:r>
            <w:fldChar w:fldCharType="begin"/>
          </w:r>
          <w:r>
            <w:instrText>styleref CharPartText</w:instrText>
          </w:r>
          <w:r>
            <w:fldChar w:fldCharType="end"/>
          </w:r>
        </w:p>
      </w:tc>
    </w:tr>
    <w:tr w:rsidR="00AA23C5">
      <w:tc>
        <w:tcPr>
          <w:tcW w:w="1548" w:type="dxa"/>
        </w:tcPr>
        <w:p w:rsidR="00AA23C5" w:rsidRDefault="00BB28A7">
          <w:pPr>
            <w:pStyle w:val="Header"/>
            <w:spacing w:before="40"/>
          </w:pPr>
          <w:r>
            <w:rPr>
              <w:b/>
            </w:rPr>
            <w:fldChar w:fldCharType="begin"/>
          </w:r>
          <w:r>
            <w:rPr>
              <w:b/>
            </w:rPr>
            <w:instrText>styleref CharDivNo</w:instrText>
          </w:r>
          <w:r>
            <w:rPr>
              <w:b/>
            </w:rPr>
            <w:fldChar w:fldCharType="end"/>
          </w:r>
        </w:p>
      </w:tc>
      <w:tc>
        <w:tcPr>
          <w:tcW w:w="5715" w:type="dxa"/>
        </w:tcPr>
        <w:p w:rsidR="00AA23C5" w:rsidRDefault="00BB28A7">
          <w:pPr>
            <w:pStyle w:val="Header"/>
            <w:spacing w:before="40"/>
          </w:pPr>
          <w:r>
            <w:fldChar w:fldCharType="begin"/>
          </w:r>
          <w:r>
            <w:instrText>styleref CharDivText</w:instrText>
          </w:r>
          <w:r>
            <w:fldChar w:fldCharType="end"/>
          </w:r>
        </w:p>
      </w:tc>
    </w:tr>
    <w:tr w:rsidR="00AA23C5">
      <w:trPr>
        <w:cantSplit/>
      </w:trPr>
      <w:tc>
        <w:tcPr>
          <w:tcW w:w="7263" w:type="dxa"/>
          <w:gridSpan w:val="2"/>
        </w:tcPr>
        <w:p w:rsidR="00AA23C5" w:rsidRDefault="00BB28A7">
          <w:pPr>
            <w:pStyle w:val="Header"/>
            <w:spacing w:before="40"/>
          </w:pPr>
          <w:r>
            <w:rPr>
              <w:b/>
            </w:rPr>
            <w:t xml:space="preserve">cl. </w:t>
          </w:r>
          <w:r>
            <w:rPr>
              <w:b/>
            </w:rPr>
            <w:fldChar w:fldCharType="begin"/>
          </w:r>
          <w:r>
            <w:rPr>
              <w:b/>
            </w:rPr>
            <w:instrText>styleref</w:instrText>
          </w:r>
          <w:r>
            <w:rPr>
              <w:b/>
            </w:rPr>
            <w:instrText xml:space="preserve"> CharSectno</w:instrText>
          </w:r>
          <w:r>
            <w:rPr>
              <w:b/>
            </w:rPr>
            <w:fldChar w:fldCharType="separate"/>
          </w:r>
          <w:r>
            <w:rPr>
              <w:b/>
            </w:rPr>
            <w:t>1.1</w:t>
          </w:r>
          <w:r>
            <w:rPr>
              <w:b/>
            </w:rPr>
            <w:fldChar w:fldCharType="end"/>
          </w:r>
        </w:p>
      </w:tc>
    </w:tr>
  </w:tbl>
  <w:p w:rsidR="00AA23C5" w:rsidRDefault="00AA23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23C5">
      <w:trPr>
        <w:cantSplit/>
      </w:trPr>
      <w:tc>
        <w:tcPr>
          <w:tcW w:w="7263" w:type="dxa"/>
          <w:gridSpan w:val="2"/>
        </w:tcPr>
        <w:p w:rsidR="00AA23C5" w:rsidRDefault="00BB28A7">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rsidR="00AA23C5">
      <w:tc>
        <w:tcPr>
          <w:tcW w:w="5715" w:type="dxa"/>
        </w:tcPr>
        <w:p w:rsidR="00AA23C5" w:rsidRDefault="00BB28A7">
          <w:pPr>
            <w:pStyle w:val="Header"/>
            <w:spacing w:before="40"/>
            <w:jc w:val="right"/>
          </w:pPr>
          <w:r>
            <w:fldChar w:fldCharType="begin"/>
          </w:r>
          <w:r>
            <w:instrText>styleref CharPartText</w:instrText>
          </w:r>
          <w:r>
            <w:fldChar w:fldCharType="end"/>
          </w:r>
        </w:p>
      </w:tc>
      <w:tc>
        <w:tcPr>
          <w:tcW w:w="1548" w:type="dxa"/>
        </w:tcPr>
        <w:p w:rsidR="00AA23C5" w:rsidRDefault="00BB28A7">
          <w:pPr>
            <w:pStyle w:val="Header"/>
            <w:spacing w:before="40"/>
            <w:ind w:right="17"/>
            <w:jc w:val="right"/>
          </w:pPr>
          <w:r>
            <w:rPr>
              <w:b/>
            </w:rPr>
            <w:fldChar w:fldCharType="begin"/>
          </w:r>
          <w:r>
            <w:rPr>
              <w:b/>
            </w:rPr>
            <w:instrText>styleref CharPartNo</w:instrText>
          </w:r>
          <w:r>
            <w:rPr>
              <w:b/>
            </w:rPr>
            <w:fldChar w:fldCharType="end"/>
          </w:r>
        </w:p>
      </w:tc>
    </w:tr>
    <w:tr w:rsidR="00AA23C5">
      <w:tc>
        <w:tcPr>
          <w:tcW w:w="5715" w:type="dxa"/>
        </w:tcPr>
        <w:p w:rsidR="00AA23C5" w:rsidRDefault="00BB28A7">
          <w:pPr>
            <w:pStyle w:val="Header"/>
            <w:spacing w:before="40"/>
            <w:jc w:val="right"/>
          </w:pPr>
          <w:r>
            <w:fldChar w:fldCharType="begin"/>
          </w:r>
          <w:r>
            <w:instrText>styleref CharDivText</w:instrText>
          </w:r>
          <w:r>
            <w:fldChar w:fldCharType="end"/>
          </w:r>
        </w:p>
      </w:tc>
      <w:tc>
        <w:tcPr>
          <w:tcW w:w="1548" w:type="dxa"/>
        </w:tcPr>
        <w:p w:rsidR="00AA23C5" w:rsidRDefault="00BB28A7">
          <w:pPr>
            <w:pStyle w:val="Header"/>
            <w:spacing w:before="40"/>
            <w:ind w:right="17"/>
            <w:jc w:val="right"/>
          </w:pPr>
          <w:r>
            <w:rPr>
              <w:b/>
            </w:rPr>
            <w:fldChar w:fldCharType="begin"/>
          </w:r>
          <w:r>
            <w:rPr>
              <w:b/>
            </w:rPr>
            <w:instrText>styleref CharDivNo</w:instrText>
          </w:r>
          <w:r>
            <w:rPr>
              <w:b/>
            </w:rPr>
            <w:fldChar w:fldCharType="end"/>
          </w:r>
        </w:p>
      </w:tc>
    </w:tr>
    <w:tr w:rsidR="00AA23C5">
      <w:trPr>
        <w:cantSplit/>
      </w:trPr>
      <w:tc>
        <w:tcPr>
          <w:tcW w:w="7263" w:type="dxa"/>
          <w:gridSpan w:val="2"/>
        </w:tcPr>
        <w:p w:rsidR="00AA23C5" w:rsidRDefault="00BB28A7">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rsidR="00AA23C5" w:rsidRDefault="00AA23C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23C5">
      <w:trPr>
        <w:cantSplit/>
      </w:trPr>
      <w:tc>
        <w:tcPr>
          <w:tcW w:w="7258" w:type="dxa"/>
          <w:gridSpan w:val="2"/>
        </w:tcPr>
        <w:p w:rsidR="00AA23C5" w:rsidRDefault="00BB28A7">
          <w:pPr>
            <w:pStyle w:val="Header"/>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rsidR="00AA23C5">
      <w:tc>
        <w:tcPr>
          <w:tcW w:w="1548" w:type="dxa"/>
        </w:tcPr>
        <w:p w:rsidR="00AA23C5" w:rsidRDefault="00BB28A7">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AA23C5" w:rsidRDefault="00BB28A7">
          <w:pPr>
            <w:pStyle w:val="Header"/>
            <w:spacing w:before="40"/>
          </w:pPr>
          <w:r>
            <w:fldChar w:fldCharType="begin"/>
          </w:r>
          <w:r>
            <w:instrText xml:space="preserve"> STYLEREF "nHeading 3" </w:instrText>
          </w:r>
          <w:r>
            <w:fldChar w:fldCharType="separate"/>
          </w:r>
          <w:r>
            <w:t>Compilation table</w:t>
          </w:r>
          <w:r>
            <w:fldChar w:fldCharType="end"/>
          </w:r>
        </w:p>
      </w:tc>
    </w:tr>
    <w:tr w:rsidR="00AA23C5">
      <w:tc>
        <w:tcPr>
          <w:tcW w:w="1548" w:type="dxa"/>
        </w:tcPr>
        <w:p w:rsidR="00AA23C5" w:rsidRDefault="00AA23C5">
          <w:pPr>
            <w:pStyle w:val="Header"/>
            <w:spacing w:before="40"/>
          </w:pPr>
        </w:p>
      </w:tc>
      <w:tc>
        <w:tcPr>
          <w:tcW w:w="5715" w:type="dxa"/>
        </w:tcPr>
        <w:p w:rsidR="00AA23C5" w:rsidRDefault="00AA23C5">
          <w:pPr>
            <w:pStyle w:val="Header"/>
            <w:spacing w:before="40"/>
          </w:pPr>
        </w:p>
      </w:tc>
    </w:tr>
    <w:tr w:rsidR="00AA23C5">
      <w:trPr>
        <w:cantSplit/>
      </w:trPr>
      <w:tc>
        <w:tcPr>
          <w:tcW w:w="7258" w:type="dxa"/>
          <w:gridSpan w:val="2"/>
        </w:tcPr>
        <w:p w:rsidR="00AA23C5" w:rsidRDefault="00AA23C5">
          <w:pPr>
            <w:pStyle w:val="Header"/>
            <w:spacing w:before="40"/>
          </w:pPr>
        </w:p>
      </w:tc>
    </w:tr>
  </w:tbl>
  <w:p w:rsidR="00AA23C5" w:rsidRDefault="00AA23C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23C5">
      <w:trPr>
        <w:cantSplit/>
      </w:trPr>
      <w:tc>
        <w:tcPr>
          <w:tcW w:w="7258" w:type="dxa"/>
          <w:gridSpan w:val="2"/>
        </w:tcPr>
        <w:p w:rsidR="00AA23C5" w:rsidRDefault="00BB28A7">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rsidR="00AA23C5">
      <w:tc>
        <w:tcPr>
          <w:tcW w:w="5715" w:type="dxa"/>
        </w:tcPr>
        <w:p w:rsidR="00AA23C5" w:rsidRDefault="00BB28A7">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AA23C5" w:rsidRDefault="00BB28A7">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AA23C5">
      <w:tc>
        <w:tcPr>
          <w:tcW w:w="5715" w:type="dxa"/>
        </w:tcPr>
        <w:p w:rsidR="00AA23C5" w:rsidRDefault="00AA23C5">
          <w:pPr>
            <w:pStyle w:val="Header"/>
            <w:spacing w:before="40"/>
            <w:jc w:val="right"/>
          </w:pPr>
        </w:p>
      </w:tc>
      <w:tc>
        <w:tcPr>
          <w:tcW w:w="1548" w:type="dxa"/>
        </w:tcPr>
        <w:p w:rsidR="00AA23C5" w:rsidRDefault="00AA23C5">
          <w:pPr>
            <w:pStyle w:val="Header"/>
            <w:spacing w:before="40"/>
            <w:ind w:right="17"/>
            <w:jc w:val="right"/>
          </w:pPr>
        </w:p>
      </w:tc>
    </w:tr>
    <w:tr w:rsidR="00AA23C5">
      <w:trPr>
        <w:cantSplit/>
      </w:trPr>
      <w:tc>
        <w:tcPr>
          <w:tcW w:w="7258" w:type="dxa"/>
          <w:gridSpan w:val="2"/>
        </w:tcPr>
        <w:p w:rsidR="00AA23C5" w:rsidRDefault="00AA23C5">
          <w:pPr>
            <w:pStyle w:val="Header"/>
            <w:spacing w:before="40"/>
            <w:ind w:right="17"/>
            <w:jc w:val="right"/>
          </w:pPr>
        </w:p>
      </w:tc>
    </w:tr>
  </w:tbl>
  <w:p w:rsidR="00AA23C5" w:rsidRDefault="00AA23C5">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AA23C5">
      <w:trPr>
        <w:cantSplit/>
      </w:trPr>
      <w:tc>
        <w:tcPr>
          <w:tcW w:w="7263" w:type="dxa"/>
          <w:gridSpan w:val="2"/>
        </w:tcPr>
        <w:p w:rsidR="00AA23C5" w:rsidRDefault="00BB28A7">
          <w:pPr>
            <w:pStyle w:val="Header"/>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rsidR="00AA23C5">
      <w:tc>
        <w:tcPr>
          <w:tcW w:w="1348" w:type="dxa"/>
        </w:tcPr>
        <w:p w:rsidR="00AA23C5" w:rsidRDefault="00AA23C5">
          <w:pPr>
            <w:pStyle w:val="Header"/>
            <w:spacing w:before="40"/>
          </w:pPr>
        </w:p>
      </w:tc>
      <w:tc>
        <w:tcPr>
          <w:tcW w:w="5915" w:type="dxa"/>
        </w:tcPr>
        <w:p w:rsidR="00AA23C5" w:rsidRDefault="00AA23C5">
          <w:pPr>
            <w:pStyle w:val="Header"/>
            <w:spacing w:before="40"/>
          </w:pPr>
        </w:p>
      </w:tc>
    </w:tr>
    <w:tr w:rsidR="00AA23C5">
      <w:tc>
        <w:tcPr>
          <w:tcW w:w="1348" w:type="dxa"/>
        </w:tcPr>
        <w:p w:rsidR="00AA23C5" w:rsidRDefault="00AA23C5">
          <w:pPr>
            <w:pStyle w:val="Header"/>
            <w:spacing w:before="40"/>
          </w:pPr>
        </w:p>
      </w:tc>
      <w:tc>
        <w:tcPr>
          <w:tcW w:w="5915" w:type="dxa"/>
        </w:tcPr>
        <w:p w:rsidR="00AA23C5" w:rsidRDefault="00AA23C5">
          <w:pPr>
            <w:pStyle w:val="Header"/>
            <w:spacing w:before="40"/>
          </w:pPr>
        </w:p>
      </w:tc>
    </w:tr>
    <w:tr w:rsidR="00AA23C5">
      <w:trPr>
        <w:cantSplit/>
      </w:trPr>
      <w:tc>
        <w:tcPr>
          <w:tcW w:w="7263" w:type="dxa"/>
          <w:gridSpan w:val="2"/>
        </w:tcPr>
        <w:p w:rsidR="00AA23C5" w:rsidRDefault="00BB28A7">
          <w:pPr>
            <w:pStyle w:val="Header"/>
            <w:spacing w:before="40"/>
          </w:pPr>
          <w:r>
            <w:t>Defined terms</w:t>
          </w:r>
        </w:p>
      </w:tc>
    </w:tr>
  </w:tbl>
  <w:p w:rsidR="00AA23C5" w:rsidRDefault="00AA23C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AA23C5">
      <w:trPr>
        <w:cantSplit/>
      </w:trPr>
      <w:tc>
        <w:tcPr>
          <w:tcW w:w="7263" w:type="dxa"/>
          <w:gridSpan w:val="2"/>
        </w:tcPr>
        <w:p w:rsidR="00AA23C5" w:rsidRDefault="00BB28A7">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rsidR="00AA23C5">
      <w:tc>
        <w:tcPr>
          <w:tcW w:w="5884" w:type="dxa"/>
        </w:tcPr>
        <w:p w:rsidR="00AA23C5" w:rsidRDefault="00AA23C5">
          <w:pPr>
            <w:pStyle w:val="Header"/>
            <w:spacing w:before="40"/>
            <w:jc w:val="right"/>
          </w:pPr>
        </w:p>
      </w:tc>
      <w:tc>
        <w:tcPr>
          <w:tcW w:w="1379" w:type="dxa"/>
        </w:tcPr>
        <w:p w:rsidR="00AA23C5" w:rsidRDefault="00AA23C5">
          <w:pPr>
            <w:pStyle w:val="Header"/>
            <w:spacing w:before="40"/>
            <w:ind w:right="17"/>
            <w:jc w:val="right"/>
          </w:pPr>
        </w:p>
      </w:tc>
    </w:tr>
    <w:tr w:rsidR="00AA23C5">
      <w:tc>
        <w:tcPr>
          <w:tcW w:w="5884" w:type="dxa"/>
        </w:tcPr>
        <w:p w:rsidR="00AA23C5" w:rsidRDefault="00AA23C5">
          <w:pPr>
            <w:pStyle w:val="Header"/>
            <w:spacing w:before="40"/>
            <w:jc w:val="right"/>
          </w:pPr>
        </w:p>
      </w:tc>
      <w:tc>
        <w:tcPr>
          <w:tcW w:w="1379" w:type="dxa"/>
        </w:tcPr>
        <w:p w:rsidR="00AA23C5" w:rsidRDefault="00AA23C5">
          <w:pPr>
            <w:pStyle w:val="Header"/>
            <w:spacing w:before="40"/>
            <w:ind w:right="17"/>
            <w:jc w:val="right"/>
          </w:pPr>
        </w:p>
      </w:tc>
    </w:tr>
    <w:tr w:rsidR="00AA23C5">
      <w:trPr>
        <w:cantSplit/>
      </w:trPr>
      <w:tc>
        <w:tcPr>
          <w:tcW w:w="7263" w:type="dxa"/>
          <w:gridSpan w:val="2"/>
        </w:tcPr>
        <w:p w:rsidR="00AA23C5" w:rsidRDefault="00BB28A7">
          <w:pPr>
            <w:pStyle w:val="Header"/>
            <w:spacing w:before="40"/>
            <w:ind w:right="17"/>
            <w:jc w:val="right"/>
          </w:pPr>
          <w:r>
            <w:t>Defined terms</w:t>
          </w:r>
        </w:p>
      </w:tc>
    </w:tr>
  </w:tbl>
  <w:p w:rsidR="00AA23C5" w:rsidRDefault="00AA23C5">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3C5" w:rsidRDefault="00AA23C5">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51236"/>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5093822" w:val="UpdateStyles"/>
    <w:docVar w:name="WAFER_20151125093822_GUID" w:val="59a16c21-559b-40d7-8d51-00b3f23e2ea8"/>
    <w:docVar w:name="WAFER_20151126130122" w:val="UsedStyles"/>
    <w:docVar w:name="WAFER_20151126130122_GUID" w:val="c9fcde99-861e-4430-b70b-520372e7ba21"/>
    <w:docVar w:name="WAFER_20170526173605" w:val="RemoveTocBookmarks,RemoveUnusedBookmarks,RemoveLanguageTags,UsedStyles,ResetPageSize"/>
    <w:docVar w:name="WAFER_20170526173605_GUID" w:val="9ac94c30-7811-432d-99a8-87314855f98f"/>
    <w:docVar w:name="WAFER_20170602105957" w:val="RemoveTocBookmarks,RemoveUnusedBookmarks,RemoveLanguageTags,UpdateStyles,UsedStyles,ResetPageSize"/>
    <w:docVar w:name="WAFER_20170602105957_GUID" w:val="72e5a821-9450-4632-b93c-2df63b447a46"/>
    <w:docVar w:name="WAFER_20170602110407" w:val="RemoveTocBookmarks,RemoveUnusedBookmarks,RemoveLanguageTags,UpdateStyles,UsedStyles,ResetPageSize"/>
    <w:docVar w:name="WAFER_20170602110407_GUID" w:val="0fc4bb43-39d3-4cec-9099-313aa20db55f"/>
    <w:docVar w:name="WAFER_20190919153919" w:val="RemoveTocBookmarks,RemoveUnusedBookmarks,RemoveLanguageTags,ResetPageSize,RunningHeaders,UpdateStyles,UsedStyles"/>
    <w:docVar w:name="WAFER_20190919153919_GUID" w:val="4eb339b5-88b5-4e20-84fd-078f7d8d0329"/>
    <w:docVar w:name="WAFER_20191202155130" w:val="RemoveTocBookmarks,RemoveUnusedBookmarks,RemoveLanguageTags,ResetPageSize,RunningHeaders,UpdateStyles,UsedStyles"/>
    <w:docVar w:name="WAFER_20191202155130_GUID" w:val="ff2b5e2c-9549-477d-9021-5d4586420d50"/>
    <w:docVar w:name="WAFER_20200210151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1236_GUID" w:val="21bdb4c4-7275-47cc-99da-3fd6b5e4d2af"/>
  </w:docVars>
  <w:rsids>
    <w:rsidRoot w:val="00AA23C5"/>
    <w:rsid w:val="00060016"/>
    <w:rsid w:val="0070776C"/>
    <w:rsid w:val="00AA23C5"/>
    <w:rsid w:val="00BB28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NAm"/>
  </w:style>
  <w:style w:type="paragraph" w:customStyle="1" w:styleId="zTHeadingNAm">
    <w:name w:val="zTHeadingNAm"/>
    <w:basedOn w:val="THeadingNAm"/>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NAm"/>
  </w:style>
  <w:style w:type="paragraph" w:customStyle="1" w:styleId="zTHeadingNAm">
    <w:name w:val="zTHeadingNAm"/>
    <w:basedOn w:val="THeadingNAm"/>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2EECE-FC55-4A66-B140-1B775EC66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3629</Words>
  <Characters>18581</Characters>
  <Application>Microsoft Office Word</Application>
  <DocSecurity>0</DocSecurity>
  <Lines>563</Lines>
  <Paragraphs>364</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21846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2017 - 00-d0-02</dc:title>
  <dc:subject/>
  <dc:creator/>
  <cp:keywords/>
  <dc:description/>
  <cp:lastModifiedBy>Master Repository Process</cp:lastModifiedBy>
  <cp:revision>4</cp:revision>
  <cp:lastPrinted>2019-12-18T07:51:00Z</cp:lastPrinted>
  <dcterms:created xsi:type="dcterms:W3CDTF">2021-01-18T07:13:00Z</dcterms:created>
  <dcterms:modified xsi:type="dcterms:W3CDTF">2021-01-18T07:13:00Z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 2015 p 1959-68</vt:lpwstr>
  </property>
  <property fmtid="{D5CDD505-2E9C-101B-9397-08002B2CF9AE}" pid="3" name="DocumentType">
    <vt:lpwstr>Reg</vt:lpwstr>
  </property>
  <property fmtid="{D5CDD505-2E9C-101B-9397-08002B2CF9AE}" pid="4" name="CommencementDate">
    <vt:lpwstr>20200101</vt:lpwstr>
  </property>
  <property fmtid="{D5CDD505-2E9C-101B-9397-08002B2CF9AE}" pid="5" name="AsAtDate">
    <vt:lpwstr>01 Jan 2020</vt:lpwstr>
  </property>
  <property fmtid="{D5CDD505-2E9C-101B-9397-08002B2CF9AE}" pid="6" name="Suffix">
    <vt:lpwstr>00-d0-02</vt:lpwstr>
  </property>
</Properties>
</file>