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_Toc35930922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_Toc35930923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_Toc35930924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_Toc35930925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_Toc35930926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_Toc35930928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_Toc35930929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_Toc35930930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_Toc35930932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_Toc35930935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_Toc35930936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_Toc35930937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_Toc35930938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_Toc35930939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_Toc35930940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_Toc35930941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_Toc35930942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_Toc35930944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_Toc35930945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_Toc35930947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_Toc35930948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_Toc35930949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_Toc35930951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_Toc35930952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_Toc35930953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_Toc35930954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_Toc35930955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_Toc35930957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_Toc35930958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_Toc35930959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_Toc35930960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_Toc35930961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_Toc35930962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_Toc35930963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_Toc35930964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_Toc35930965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_Toc35930966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_Toc35930969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_Toc35930970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_Toc35930971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_Toc35930972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_Toc35930973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_Toc35930974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_Toc35930975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_Toc35930976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_Toc35930978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_Toc35930979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_Toc35930980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_Toc35930981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_Toc35930982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_Toc35930984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_Toc35930986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_Toc35930987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_Toc35930988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_Toc35930990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_Toc35930991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_Toc35930992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_Toc35930993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_Toc35930995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_Toc35930996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_Toc35930997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_Toc35930998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_Toc35931006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_Toc35931007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_Toc35931008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_Toc35931009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_Toc35931010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_Toc35931011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_Toc35931012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_Toc35931013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_Toc35931014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_Toc35931015 \h </w:instrText>
      </w:r>
      <w:r>
        <w:fldChar w:fldCharType="separate"/>
      </w:r>
      <w:r>
        <w:t>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_Toc35931016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_Toc35931017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_Toc35931018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_Toc35931019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_Toc35931022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_Toc35931023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_Toc35931024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_Toc35931025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_Toc35931026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_Toc35931028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_Toc35931029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_Toc35931032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_Toc35931033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34142095"/>
      <w:bookmarkStart w:id="4" w:name="_Toc34147238"/>
      <w:bookmarkStart w:id="5" w:name="_Toc3593092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593092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3593092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35930924"/>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9" w:name="_Toc35930925"/>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35930926"/>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34142101"/>
      <w:bookmarkStart w:id="12" w:name="_Toc34147244"/>
      <w:bookmarkStart w:id="13" w:name="_Toc35930927"/>
      <w:r>
        <w:rPr>
          <w:rStyle w:val="CharPartNo"/>
        </w:rPr>
        <w:t>Part 2</w:t>
      </w:r>
      <w:r>
        <w:rPr>
          <w:rStyle w:val="CharDivNo"/>
        </w:rPr>
        <w:t> </w:t>
      </w:r>
      <w:r>
        <w:t>—</w:t>
      </w:r>
      <w:r>
        <w:rPr>
          <w:rStyle w:val="CharDivText"/>
        </w:rPr>
        <w:t> </w:t>
      </w:r>
      <w:r>
        <w:rPr>
          <w:rStyle w:val="CharPartText"/>
        </w:rPr>
        <w:t>Enforcement</w:t>
      </w:r>
      <w:bookmarkEnd w:id="11"/>
      <w:bookmarkEnd w:id="12"/>
      <w:bookmarkEnd w:id="13"/>
    </w:p>
    <w:p>
      <w:pPr>
        <w:pStyle w:val="Heading5"/>
        <w:rPr>
          <w:snapToGrid w:val="0"/>
        </w:rPr>
      </w:pPr>
      <w:bookmarkStart w:id="14" w:name="_Toc35930928"/>
      <w:r>
        <w:rPr>
          <w:rStyle w:val="CharSectno"/>
        </w:rPr>
        <w:t>5</w:t>
      </w:r>
      <w:r>
        <w:rPr>
          <w:snapToGrid w:val="0"/>
        </w:rPr>
        <w:t>.</w:t>
      </w:r>
      <w:r>
        <w:rPr>
          <w:snapToGrid w:val="0"/>
        </w:rPr>
        <w:tab/>
        <w:t>Forfeiture, offences prescribed (Act s. 32(2))</w:t>
      </w:r>
      <w:bookmarkEnd w:id="1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5" w:name="_Toc35930929"/>
      <w:r>
        <w:rPr>
          <w:rStyle w:val="CharSectno"/>
        </w:rPr>
        <w:t>6</w:t>
      </w:r>
      <w:r>
        <w:rPr>
          <w:snapToGrid w:val="0"/>
        </w:rPr>
        <w:t>.</w:t>
      </w:r>
      <w:r>
        <w:rPr>
          <w:snapToGrid w:val="0"/>
        </w:rPr>
        <w:tab/>
        <w:t>Modified penalties and infringement notices (Act s. 36(1))</w:t>
      </w:r>
      <w:bookmarkEnd w:id="1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 w:name="_Toc35930930"/>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34142105"/>
      <w:bookmarkStart w:id="18" w:name="_Toc34147248"/>
      <w:bookmarkStart w:id="19" w:name="_Toc35930931"/>
      <w:r>
        <w:rPr>
          <w:rStyle w:val="CharPartNo"/>
        </w:rPr>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35930932"/>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34142107"/>
      <w:bookmarkStart w:id="22" w:name="_Toc34147250"/>
      <w:bookmarkStart w:id="23" w:name="_Toc35930933"/>
      <w:r>
        <w:rPr>
          <w:rStyle w:val="CharPartNo"/>
        </w:rPr>
        <w:t>Part 4</w:t>
      </w:r>
      <w:r>
        <w:t> — </w:t>
      </w:r>
      <w:r>
        <w:rPr>
          <w:rStyle w:val="CharPartText"/>
        </w:rPr>
        <w:t>Permitted gaming</w:t>
      </w:r>
      <w:bookmarkEnd w:id="21"/>
      <w:bookmarkEnd w:id="22"/>
      <w:bookmarkEnd w:id="23"/>
    </w:p>
    <w:p>
      <w:pPr>
        <w:pStyle w:val="Heading3"/>
        <w:spacing w:before="220"/>
      </w:pPr>
      <w:bookmarkStart w:id="24" w:name="_Toc34142108"/>
      <w:bookmarkStart w:id="25" w:name="_Toc34147251"/>
      <w:bookmarkStart w:id="26" w:name="_Toc35930934"/>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35930935"/>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35930936"/>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35930937"/>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35930938"/>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1" w:name="_Toc35930939"/>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35930940"/>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35930941"/>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35930942"/>
      <w:r>
        <w:rPr>
          <w:rStyle w:val="CharSectno"/>
        </w:rPr>
        <w:t>13A</w:t>
      </w:r>
      <w:r>
        <w:t>.</w:t>
      </w:r>
      <w:r>
        <w:tab/>
        <w:t>Conviction of license holder etc., holders to notify Commission</w:t>
      </w:r>
      <w:bookmarkEnd w:id="3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34142117"/>
      <w:bookmarkStart w:id="36" w:name="_Toc34147260"/>
      <w:bookmarkStart w:id="37" w:name="_Toc35930943"/>
      <w:r>
        <w:rPr>
          <w:rStyle w:val="CharDivNo"/>
        </w:rPr>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35930944"/>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35930945"/>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34142120"/>
      <w:bookmarkStart w:id="41" w:name="_Toc34147263"/>
      <w:bookmarkStart w:id="42" w:name="_Toc35930946"/>
      <w:r>
        <w:rPr>
          <w:rStyle w:val="CharDivNo"/>
        </w:rPr>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35930947"/>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35930948"/>
      <w:r>
        <w:rPr>
          <w:rStyle w:val="CharSectno"/>
        </w:rPr>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35930949"/>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34142124"/>
      <w:bookmarkStart w:id="47" w:name="_Toc34147267"/>
      <w:bookmarkStart w:id="48" w:name="_Toc35930950"/>
      <w:r>
        <w:rPr>
          <w:rStyle w:val="CharDivNo"/>
        </w:rPr>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35930951"/>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35930952"/>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35930953"/>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35930954"/>
      <w:r>
        <w:rPr>
          <w:rStyle w:val="CharSectno"/>
        </w:rPr>
        <w:t>18B</w:t>
      </w:r>
      <w:r>
        <w:rPr>
          <w:snapToGrid w:val="0"/>
        </w:rPr>
        <w:t>.</w:t>
      </w:r>
      <w:r>
        <w:rPr>
          <w:snapToGrid w:val="0"/>
        </w:rPr>
        <w:tab/>
        <w:t>Machines that dispense vouchers, possession etc. of</w:t>
      </w:r>
      <w:bookmarkEnd w:id="52"/>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35930955"/>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34142130"/>
      <w:bookmarkStart w:id="55" w:name="_Toc34147273"/>
      <w:bookmarkStart w:id="56" w:name="_Toc35930956"/>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35930957"/>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35930958"/>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35930959"/>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35930960"/>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35930961"/>
      <w:r>
        <w:rPr>
          <w:rStyle w:val="CharSectno"/>
        </w:rPr>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35930962"/>
      <w:r>
        <w:rPr>
          <w:rStyle w:val="CharSectno"/>
        </w:rPr>
        <w:t>23</w:t>
      </w:r>
      <w:r>
        <w:rPr>
          <w:snapToGrid w:val="0"/>
        </w:rPr>
        <w:t>.</w:t>
      </w:r>
      <w:r>
        <w:rPr>
          <w:snapToGrid w:val="0"/>
        </w:rPr>
        <w:tab/>
        <w:t>Controllers of sessions, appointment and duties of</w:t>
      </w:r>
      <w:bookmarkEnd w:id="6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pPr>
      <w:r>
        <w:tab/>
        <w:t>(c)</w:t>
      </w:r>
      <w:r>
        <w:tab/>
        <w:t xml:space="preserve">at the conclusion of each game in the session, cause the winning card numbers to be — </w:t>
      </w:r>
    </w:p>
    <w:p>
      <w:pPr>
        <w:pStyle w:val="Indenti"/>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3" w:name="_Toc35930963"/>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4" w:name="_Toc35930964"/>
      <w:r>
        <w:rPr>
          <w:rStyle w:val="CharSectno"/>
        </w:rPr>
        <w:t>24</w:t>
      </w:r>
      <w:r>
        <w:rPr>
          <w:snapToGrid w:val="0"/>
        </w:rPr>
        <w:t>.</w:t>
      </w:r>
      <w:r>
        <w:rPr>
          <w:snapToGrid w:val="0"/>
        </w:rPr>
        <w:tab/>
        <w:t>Prizes, permitted value of</w:t>
      </w:r>
      <w:bookmarkEnd w:id="6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35930965"/>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35930966"/>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34142141"/>
      <w:bookmarkStart w:id="68" w:name="_Toc34147284"/>
      <w:bookmarkStart w:id="69" w:name="_Toc35930967"/>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34142142"/>
      <w:bookmarkStart w:id="71" w:name="_Toc34147285"/>
      <w:bookmarkStart w:id="72" w:name="_Toc35930968"/>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35930969"/>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35930970"/>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35930971"/>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35930972"/>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35930973"/>
      <w:r>
        <w:rPr>
          <w:rStyle w:val="CharSectno"/>
        </w:rPr>
        <w:t>30</w:t>
      </w:r>
      <w:r>
        <w:rPr>
          <w:snapToGrid w:val="0"/>
        </w:rPr>
        <w:t>.</w:t>
      </w:r>
      <w:r>
        <w:rPr>
          <w:snapToGrid w:val="0"/>
        </w:rPr>
        <w:tab/>
        <w:t>Unclaimed prizes in standard lotteries</w:t>
      </w:r>
      <w:bookmarkEnd w:id="7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35930974"/>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35930975"/>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35930976"/>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34142151"/>
      <w:bookmarkStart w:id="82" w:name="_Toc34147294"/>
      <w:bookmarkStart w:id="83" w:name="_Toc35930977"/>
      <w:r>
        <w:rPr>
          <w:snapToGrid w:val="0"/>
        </w:rPr>
        <w:t>Subdivision 2 — Continuing lotteries</w:t>
      </w:r>
      <w:bookmarkEnd w:id="81"/>
      <w:bookmarkEnd w:id="82"/>
      <w:bookmarkEnd w:id="83"/>
    </w:p>
    <w:p>
      <w:pPr>
        <w:pStyle w:val="Footnoteheading"/>
        <w:keepNext/>
      </w:pPr>
      <w:r>
        <w:tab/>
        <w:t>[Heading amended: Gazette 6 Sep 2016 p. 3833.]</w:t>
      </w:r>
    </w:p>
    <w:p>
      <w:pPr>
        <w:pStyle w:val="Heading5"/>
        <w:rPr>
          <w:snapToGrid w:val="0"/>
        </w:rPr>
      </w:pPr>
      <w:bookmarkStart w:id="84" w:name="_Toc35930978"/>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35930979"/>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35930980"/>
      <w:r>
        <w:rPr>
          <w:rStyle w:val="CharSectno"/>
        </w:rPr>
        <w:t>34</w:t>
      </w:r>
      <w:r>
        <w:rPr>
          <w:snapToGrid w:val="0"/>
        </w:rPr>
        <w:t>.</w:t>
      </w:r>
      <w:r>
        <w:rPr>
          <w:snapToGrid w:val="0"/>
        </w:rPr>
        <w:tab/>
        <w:t>Vending machines for continuing lotteries, location of and conditions as to (Act s. 105(2))</w:t>
      </w:r>
      <w:bookmarkEnd w:id="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35930981"/>
      <w:r>
        <w:rPr>
          <w:rStyle w:val="CharSectno"/>
        </w:rPr>
        <w:t>35</w:t>
      </w:r>
      <w:r>
        <w:rPr>
          <w:snapToGrid w:val="0"/>
        </w:rPr>
        <w:t>.</w:t>
      </w:r>
      <w:r>
        <w:rPr>
          <w:snapToGrid w:val="0"/>
        </w:rPr>
        <w:tab/>
        <w:t>Accounts etc. of continuing lottery to be available for inspection</w:t>
      </w:r>
      <w:bookmarkEnd w:id="87"/>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35930982"/>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34142157"/>
      <w:bookmarkStart w:id="90" w:name="_Toc34147300"/>
      <w:bookmarkStart w:id="91" w:name="_Toc35930983"/>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35930984"/>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34142159"/>
      <w:bookmarkStart w:id="94" w:name="_Toc34147302"/>
      <w:bookmarkStart w:id="95" w:name="_Toc35930985"/>
      <w:r>
        <w:rPr>
          <w:snapToGrid w:val="0"/>
        </w:rPr>
        <w:t>Subdivision 4 — Lotteries generally</w:t>
      </w:r>
      <w:bookmarkEnd w:id="93"/>
      <w:bookmarkEnd w:id="94"/>
      <w:bookmarkEnd w:id="95"/>
    </w:p>
    <w:p>
      <w:pPr>
        <w:pStyle w:val="Footnoteheading"/>
        <w:keepNext/>
      </w:pPr>
      <w:r>
        <w:tab/>
        <w:t>[Heading amended: Gazette 6 Sep 2016 p. 3833.]</w:t>
      </w:r>
    </w:p>
    <w:p>
      <w:pPr>
        <w:pStyle w:val="Heading5"/>
        <w:rPr>
          <w:snapToGrid w:val="0"/>
        </w:rPr>
      </w:pPr>
      <w:bookmarkStart w:id="96" w:name="_Toc35930986"/>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35930987"/>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35930988"/>
      <w:r>
        <w:rPr>
          <w:rStyle w:val="CharSectno"/>
        </w:rPr>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9" w:name="_Toc34142163"/>
      <w:bookmarkStart w:id="100" w:name="_Toc34147306"/>
      <w:bookmarkStart w:id="101" w:name="_Toc35930989"/>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35930990"/>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35930991"/>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35930992"/>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35930993"/>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34142168"/>
      <w:bookmarkStart w:id="107" w:name="_Toc34147311"/>
      <w:bookmarkStart w:id="108" w:name="_Toc35930994"/>
      <w:r>
        <w:rPr>
          <w:rStyle w:val="CharPartNo"/>
        </w:rPr>
        <w:t>Part 5</w:t>
      </w:r>
      <w:r>
        <w:rPr>
          <w:rStyle w:val="CharDivText"/>
        </w:rPr>
        <w:t> </w:t>
      </w:r>
      <w:r>
        <w:t>—</w:t>
      </w:r>
      <w:r>
        <w:rPr>
          <w:rStyle w:val="CharDivNo"/>
        </w:rPr>
        <w:t xml:space="preserve"> </w:t>
      </w:r>
      <w:r>
        <w:rPr>
          <w:rStyle w:val="CharPartText"/>
        </w:rPr>
        <w:t>Miscellaneous</w:t>
      </w:r>
      <w:bookmarkEnd w:id="106"/>
      <w:bookmarkEnd w:id="107"/>
      <w:bookmarkEnd w:id="108"/>
    </w:p>
    <w:p>
      <w:pPr>
        <w:pStyle w:val="Footnoteheading"/>
      </w:pPr>
      <w:r>
        <w:tab/>
        <w:t>[Heading inserted: Gazette 4 Aug 1998 p. 3989.]</w:t>
      </w:r>
    </w:p>
    <w:p>
      <w:pPr>
        <w:pStyle w:val="Heading5"/>
      </w:pPr>
      <w:bookmarkStart w:id="109" w:name="_Toc35930995"/>
      <w:r>
        <w:rPr>
          <w:rStyle w:val="CharSectno"/>
        </w:rPr>
        <w:t>41</w:t>
      </w:r>
      <w:r>
        <w:t>.</w:t>
      </w:r>
      <w:r>
        <w:tab/>
        <w:t>Premises where amusement machines are permitted (Act s. 39(2)(e))</w:t>
      </w:r>
      <w:bookmarkEnd w:id="10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10" w:name="_Toc35930996"/>
      <w:r>
        <w:rPr>
          <w:rStyle w:val="CharSectno"/>
        </w:rPr>
        <w:t>42</w:t>
      </w:r>
      <w:r>
        <w:t>.</w:t>
      </w:r>
      <w:r>
        <w:tab/>
        <w:t>Unclaimed winnings (Act s. 109B(1))</w:t>
      </w:r>
      <w:bookmarkEnd w:id="11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1" w:name="_Toc35930997"/>
      <w:r>
        <w:rPr>
          <w:rStyle w:val="CharSectno"/>
        </w:rPr>
        <w:t>43</w:t>
      </w:r>
      <w:r>
        <w:t>.</w:t>
      </w:r>
      <w:r>
        <w:tab/>
        <w:t>Certain advertisements and inducements prohibited</w:t>
      </w:r>
      <w:bookmarkEnd w:id="111"/>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2" w:name="_Toc35930998"/>
      <w:r>
        <w:rPr>
          <w:rStyle w:val="CharSectno"/>
        </w:rPr>
        <w:t>44</w:t>
      </w:r>
      <w:r>
        <w:t>.</w:t>
      </w:r>
      <w:r>
        <w:tab/>
        <w:t>Prescribed interval (Act s. 110B(4)(b))</w:t>
      </w:r>
      <w:bookmarkEnd w:id="112"/>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3" w:name="_Toc34142173"/>
      <w:bookmarkStart w:id="114" w:name="_Toc34147316"/>
      <w:bookmarkStart w:id="115" w:name="_Toc35930999"/>
      <w:r>
        <w:rPr>
          <w:rStyle w:val="CharSchNo"/>
        </w:rPr>
        <w:t>Schedule 1</w:t>
      </w:r>
      <w:r>
        <w:rPr>
          <w:rStyle w:val="CharSDivNo"/>
        </w:rPr>
        <w:t> </w:t>
      </w:r>
      <w:r>
        <w:t>—</w:t>
      </w:r>
      <w:r>
        <w:rPr>
          <w:rStyle w:val="CharSDivText"/>
        </w:rPr>
        <w:t> </w:t>
      </w:r>
      <w:r>
        <w:rPr>
          <w:rStyle w:val="CharSchText"/>
        </w:rPr>
        <w:t>Prescribed fees</w:t>
      </w:r>
      <w:bookmarkEnd w:id="113"/>
      <w:bookmarkEnd w:id="114"/>
      <w:bookmarkEnd w:id="115"/>
    </w:p>
    <w:p>
      <w:pPr>
        <w:pStyle w:val="yShoulderClause"/>
      </w:pPr>
      <w:r>
        <w:t>[r. 4]</w:t>
      </w:r>
    </w:p>
    <w:p>
      <w:pPr>
        <w:pStyle w:val="yFootnoteheading"/>
      </w:pPr>
      <w:r>
        <w:tab/>
        <w:t>[Heading inserted: Gazette 22 Oct 2019 p. 3722.]</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9.00</w:t>
            </w:r>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16.00</w:t>
            </w:r>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61.50</w:t>
            </w:r>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r>
              <w:rPr>
                <w:szCs w:val="22"/>
              </w:rPr>
              <w:t>118.50</w:t>
            </w:r>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r>
              <w:rPr>
                <w:szCs w:val="22"/>
              </w:rPr>
              <w:t>395.50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r>
              <w:rPr>
                <w:szCs w:val="22"/>
              </w:rPr>
              <w:t>441.50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r>
              <w:rPr>
                <w:szCs w:val="22"/>
              </w:rPr>
              <w:t>158.00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r>
              <w:rPr>
                <w:szCs w:val="22"/>
              </w:rPr>
              <w:t>118.50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r>
              <w:rPr>
                <w:szCs w:val="22"/>
              </w:rPr>
              <w:t>230.00</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r>
              <w:rPr>
                <w:szCs w:val="22"/>
              </w:rPr>
              <w:t>476.00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r>
              <w:rPr>
                <w:szCs w:val="22"/>
              </w:rPr>
              <w:t>730.50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28.00</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r>
              <w:rPr>
                <w:szCs w:val="22"/>
              </w:rPr>
              <w:t>189.50</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r>
              <w:rPr>
                <w:szCs w:val="22"/>
              </w:rPr>
              <w:t>348.00</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r>
              <w:rPr>
                <w:szCs w:val="22"/>
              </w:rPr>
              <w:t>435.00</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r>
              <w:rPr>
                <w:szCs w:val="22"/>
              </w:rPr>
              <w:t>125.50</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r>
              <w:rPr>
                <w:szCs w:val="22"/>
              </w:rPr>
              <w:t>189.50</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23.00</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r>
              <w:rPr>
                <w:szCs w:val="22"/>
              </w:rPr>
              <w:t>77.00</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yTableNAm"/>
              <w:jc w:val="right"/>
            </w:pPr>
            <w:r>
              <w:rPr>
                <w:szCs w:val="22"/>
              </w:rPr>
              <w:t>77.00</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r>
              <w:rPr>
                <w:szCs w:val="22"/>
              </w:rPr>
              <w:t>260.50</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r>
              <w:rPr>
                <w:szCs w:val="22"/>
              </w:rPr>
              <w:t>342.00</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r>
              <w:rPr>
                <w:szCs w:val="22"/>
              </w:rPr>
              <w:t>318.50</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r>
              <w:t>28.00</w:t>
            </w:r>
          </w:p>
        </w:tc>
      </w:tr>
    </w:tbl>
    <w:p>
      <w:pPr>
        <w:pStyle w:val="yFootnoteheading"/>
        <w:spacing w:before="80" w:after="80"/>
      </w:pPr>
      <w:r>
        <w:tab/>
        <w:t>[Schedule 1 inserted: Gazette 22 Oct 2019 p. 3722</w:t>
      </w:r>
      <w:r>
        <w:noBreakHyphen/>
        <w:t>4.]</w:t>
      </w:r>
    </w:p>
    <w:p>
      <w:pPr>
        <w:pStyle w:val="yScheduleHeading"/>
      </w:pPr>
      <w:bookmarkStart w:id="116" w:name="_Toc34142174"/>
      <w:bookmarkStart w:id="117" w:name="_Toc34147317"/>
      <w:bookmarkStart w:id="118" w:name="_Toc35931000"/>
      <w:r>
        <w:rPr>
          <w:rStyle w:val="CharSchNo"/>
        </w:rPr>
        <w:t>Schedule 2</w:t>
      </w:r>
      <w:r>
        <w:t> — </w:t>
      </w:r>
      <w:r>
        <w:rPr>
          <w:rStyle w:val="CharSchText"/>
        </w:rPr>
        <w:t>Prescribed penalties under section 36(1)</w:t>
      </w:r>
      <w:bookmarkEnd w:id="116"/>
      <w:bookmarkEnd w:id="117"/>
      <w:bookmarkEnd w:id="11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20" w:name="_Toc34142175"/>
      <w:bookmarkStart w:id="121" w:name="_Toc34147318"/>
      <w:bookmarkStart w:id="122" w:name="_Toc35931001"/>
      <w:r>
        <w:rPr>
          <w:rStyle w:val="CharSchNo"/>
        </w:rPr>
        <w:t>Schedule 3</w:t>
      </w:r>
      <w:bookmarkEnd w:id="120"/>
      <w:bookmarkEnd w:id="121"/>
      <w:bookmarkEnd w:id="122"/>
    </w:p>
    <w:p>
      <w:pPr>
        <w:pStyle w:val="yHeading2"/>
        <w:outlineLvl w:val="9"/>
      </w:pPr>
      <w:bookmarkStart w:id="123" w:name="_Toc34142176"/>
      <w:bookmarkStart w:id="124" w:name="_Toc34147319"/>
      <w:bookmarkStart w:id="125" w:name="_Toc35931002"/>
      <w:r>
        <w:rPr>
          <w:rStyle w:val="CharSchText"/>
        </w:rPr>
        <w:t>Forms</w:t>
      </w:r>
      <w:bookmarkEnd w:id="123"/>
      <w:bookmarkEnd w:id="124"/>
      <w:bookmarkEnd w:id="12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26" w:name="_Toc34142177"/>
      <w:bookmarkStart w:id="127" w:name="_Toc34147320"/>
      <w:bookmarkStart w:id="128" w:name="_Toc35931003"/>
      <w:r>
        <w:rPr>
          <w:rStyle w:val="CharSchNo"/>
        </w:rPr>
        <w:t>Schedule 4</w:t>
      </w:r>
      <w:bookmarkEnd w:id="126"/>
      <w:bookmarkEnd w:id="127"/>
      <w:bookmarkEnd w:id="128"/>
    </w:p>
    <w:p>
      <w:pPr>
        <w:pStyle w:val="yHeading2"/>
        <w:keepNext w:val="0"/>
        <w:outlineLvl w:val="9"/>
      </w:pPr>
      <w:bookmarkStart w:id="129" w:name="_Toc34142178"/>
      <w:bookmarkStart w:id="130" w:name="_Toc34147321"/>
      <w:bookmarkStart w:id="131" w:name="_Toc35931004"/>
      <w:r>
        <w:rPr>
          <w:rStyle w:val="CharSchText"/>
        </w:rPr>
        <w:t>Rules for the conduct of permitted games</w:t>
      </w:r>
      <w:bookmarkEnd w:id="129"/>
      <w:bookmarkEnd w:id="130"/>
      <w:bookmarkEnd w:id="131"/>
    </w:p>
    <w:p>
      <w:pPr>
        <w:pStyle w:val="yHeading3"/>
      </w:pPr>
      <w:bookmarkStart w:id="132" w:name="_Toc34142179"/>
      <w:bookmarkStart w:id="133" w:name="_Toc34147322"/>
      <w:bookmarkStart w:id="134" w:name="_Toc35931005"/>
      <w:r>
        <w:rPr>
          <w:rStyle w:val="CharSDivNo"/>
        </w:rPr>
        <w:t>Part 1</w:t>
      </w:r>
      <w:r>
        <w:t> — </w:t>
      </w:r>
      <w:r>
        <w:rPr>
          <w:rStyle w:val="CharSDivText"/>
        </w:rPr>
        <w:t>Permitted bingo</w:t>
      </w:r>
      <w:bookmarkEnd w:id="132"/>
      <w:bookmarkEnd w:id="133"/>
      <w:bookmarkEnd w:id="134"/>
    </w:p>
    <w:p>
      <w:pPr>
        <w:pStyle w:val="yMiscellaneousBody"/>
        <w:jc w:val="center"/>
        <w:rPr>
          <w:b/>
          <w:snapToGrid w:val="0"/>
        </w:rPr>
      </w:pPr>
      <w:r>
        <w:rPr>
          <w:b/>
          <w:snapToGrid w:val="0"/>
        </w:rPr>
        <w:t>Rules for the conduct of bingo</w:t>
      </w:r>
    </w:p>
    <w:p>
      <w:pPr>
        <w:pStyle w:val="yHeading5"/>
        <w:rPr>
          <w:snapToGrid w:val="0"/>
        </w:rPr>
      </w:pPr>
      <w:bookmarkStart w:id="135" w:name="_Toc35931006"/>
      <w:r>
        <w:rPr>
          <w:rStyle w:val="CharSClsNo"/>
        </w:rPr>
        <w:t>1</w:t>
      </w:r>
      <w:r>
        <w:rPr>
          <w:snapToGrid w:val="0"/>
        </w:rPr>
        <w:t>.</w:t>
      </w:r>
      <w:r>
        <w:rPr>
          <w:snapToGrid w:val="0"/>
        </w:rPr>
        <w:tab/>
        <w:t>Children cannot play</w:t>
      </w:r>
      <w:bookmarkEnd w:id="13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6" w:name="_Toc35931007"/>
      <w:r>
        <w:rPr>
          <w:rStyle w:val="CharSClsNo"/>
        </w:rPr>
        <w:t>2</w:t>
      </w:r>
      <w:r>
        <w:rPr>
          <w:snapToGrid w:val="0"/>
        </w:rPr>
        <w:t>.</w:t>
      </w:r>
      <w:r>
        <w:rPr>
          <w:snapToGrid w:val="0"/>
        </w:rPr>
        <w:tab/>
        <w:t>Spotters cannot play</w:t>
      </w:r>
      <w:bookmarkEnd w:id="13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7" w:name="_Toc35931008"/>
      <w:r>
        <w:rPr>
          <w:rStyle w:val="CharSClsNo"/>
        </w:rPr>
        <w:t>3</w:t>
      </w:r>
      <w:r>
        <w:rPr>
          <w:snapToGrid w:val="0"/>
        </w:rPr>
        <w:t>.</w:t>
      </w:r>
      <w:r>
        <w:rPr>
          <w:snapToGrid w:val="0"/>
        </w:rPr>
        <w:tab/>
        <w:t>Call backs, who can take part in</w:t>
      </w:r>
      <w:bookmarkEnd w:id="13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8" w:name="_Toc35931009"/>
      <w:r>
        <w:rPr>
          <w:rStyle w:val="CharSClsNo"/>
        </w:rPr>
        <w:t>4</w:t>
      </w:r>
      <w:r>
        <w:rPr>
          <w:snapToGrid w:val="0"/>
        </w:rPr>
        <w:t>.</w:t>
      </w:r>
      <w:r>
        <w:rPr>
          <w:snapToGrid w:val="0"/>
        </w:rPr>
        <w:tab/>
        <w:t>Bingo cards</w:t>
      </w:r>
      <w:bookmarkEnd w:id="138"/>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39" w:name="_Toc35931010"/>
      <w:r>
        <w:rPr>
          <w:rStyle w:val="CharSClsNo"/>
        </w:rPr>
        <w:t>5</w:t>
      </w:r>
      <w:r>
        <w:rPr>
          <w:snapToGrid w:val="0"/>
        </w:rPr>
        <w:t>.</w:t>
      </w:r>
      <w:r>
        <w:rPr>
          <w:snapToGrid w:val="0"/>
        </w:rPr>
        <w:tab/>
        <w:t>Split games</w:t>
      </w:r>
      <w:bookmarkEnd w:id="13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0" w:name="_Toc35931011"/>
      <w:r>
        <w:rPr>
          <w:rStyle w:val="CharSClsNo"/>
        </w:rPr>
        <w:t>5A</w:t>
      </w:r>
      <w:r>
        <w:rPr>
          <w:snapToGrid w:val="0"/>
        </w:rPr>
        <w:t>.</w:t>
      </w:r>
      <w:r>
        <w:rPr>
          <w:snapToGrid w:val="0"/>
        </w:rPr>
        <w:tab/>
        <w:t>Prizes, who is eligible for</w:t>
      </w:r>
      <w:bookmarkEnd w:id="14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1" w:name="_Toc35931012"/>
      <w:r>
        <w:rPr>
          <w:rStyle w:val="CharSClsNo"/>
        </w:rPr>
        <w:t>5B</w:t>
      </w:r>
      <w:r>
        <w:rPr>
          <w:snapToGrid w:val="0"/>
        </w:rPr>
        <w:t>.</w:t>
      </w:r>
      <w:r>
        <w:rPr>
          <w:snapToGrid w:val="0"/>
        </w:rPr>
        <w:tab/>
        <w:t>When games conclude</w:t>
      </w:r>
      <w:bookmarkEnd w:id="1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2" w:name="_Toc35931013"/>
      <w:r>
        <w:rPr>
          <w:rStyle w:val="CharSClsNo"/>
        </w:rPr>
        <w:t>6</w:t>
      </w:r>
      <w:r>
        <w:rPr>
          <w:snapToGrid w:val="0"/>
        </w:rPr>
        <w:t>.</w:t>
      </w:r>
      <w:r>
        <w:rPr>
          <w:snapToGrid w:val="0"/>
        </w:rPr>
        <w:tab/>
        <w:t>Miscellaneous rules</w:t>
      </w:r>
      <w:bookmarkEnd w:id="14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3" w:name="_Toc35931014"/>
      <w:r>
        <w:rPr>
          <w:rStyle w:val="CharSClsNo"/>
        </w:rPr>
        <w:t>7</w:t>
      </w:r>
      <w:r>
        <w:rPr>
          <w:snapToGrid w:val="0"/>
        </w:rPr>
        <w:t>.</w:t>
      </w:r>
      <w:r>
        <w:rPr>
          <w:snapToGrid w:val="0"/>
        </w:rPr>
        <w:tab/>
        <w:t>Prizes, announcement of etc.</w:t>
      </w:r>
      <w:bookmarkEnd w:id="1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4" w:name="_Toc35931015"/>
      <w:r>
        <w:rPr>
          <w:rStyle w:val="CharSClsNo"/>
        </w:rPr>
        <w:t>8</w:t>
      </w:r>
      <w:r>
        <w:rPr>
          <w:snapToGrid w:val="0"/>
        </w:rPr>
        <w:t>.</w:t>
      </w:r>
      <w:r>
        <w:rPr>
          <w:snapToGrid w:val="0"/>
        </w:rPr>
        <w:tab/>
        <w:t>Prize shared if more than one winner</w:t>
      </w:r>
      <w:bookmarkEnd w:id="14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5" w:name="_Toc35931016"/>
      <w:r>
        <w:rPr>
          <w:rStyle w:val="CharSClsNo"/>
        </w:rPr>
        <w:t>9</w:t>
      </w:r>
      <w:r>
        <w:rPr>
          <w:snapToGrid w:val="0"/>
        </w:rPr>
        <w:t>.</w:t>
      </w:r>
      <w:r>
        <w:rPr>
          <w:snapToGrid w:val="0"/>
        </w:rPr>
        <w:tab/>
        <w:t>Prizes paid as soon as practicable</w:t>
      </w:r>
      <w:bookmarkEnd w:id="14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6" w:name="_Toc35931017"/>
      <w:r>
        <w:rPr>
          <w:rStyle w:val="CharSClsNo"/>
        </w:rPr>
        <w:t>10</w:t>
      </w:r>
      <w:r>
        <w:rPr>
          <w:snapToGrid w:val="0"/>
        </w:rPr>
        <w:t>.</w:t>
      </w:r>
      <w:r>
        <w:rPr>
          <w:snapToGrid w:val="0"/>
        </w:rPr>
        <w:tab/>
        <w:t>Player who makes incorrect call allowed to continue play</w:t>
      </w:r>
      <w:bookmarkEnd w:id="14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7" w:name="_Toc35931018"/>
      <w:r>
        <w:rPr>
          <w:rStyle w:val="CharSClsNo"/>
        </w:rPr>
        <w:t>11</w:t>
      </w:r>
      <w:r>
        <w:rPr>
          <w:snapToGrid w:val="0"/>
        </w:rPr>
        <w:t>.</w:t>
      </w:r>
      <w:r>
        <w:rPr>
          <w:snapToGrid w:val="0"/>
        </w:rPr>
        <w:tab/>
        <w:t>Late calls by players</w:t>
      </w:r>
      <w:bookmarkEnd w:id="14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48" w:name="_Toc35931019"/>
      <w:r>
        <w:rPr>
          <w:rStyle w:val="CharSClsNo"/>
        </w:rPr>
        <w:t>12</w:t>
      </w:r>
      <w:r>
        <w:rPr>
          <w:snapToGrid w:val="0"/>
        </w:rPr>
        <w:t>.</w:t>
      </w:r>
      <w:r>
        <w:rPr>
          <w:snapToGrid w:val="0"/>
        </w:rPr>
        <w:tab/>
        <w:t>Calls must be acknowledged</w:t>
      </w:r>
      <w:bookmarkEnd w:id="14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49" w:name="_Toc34142194"/>
      <w:bookmarkStart w:id="150" w:name="_Toc34147337"/>
      <w:bookmarkStart w:id="151" w:name="_Toc35931020"/>
      <w:r>
        <w:rPr>
          <w:rStyle w:val="CharSDivNo"/>
        </w:rPr>
        <w:t>Part 2</w:t>
      </w:r>
      <w:r>
        <w:t> — </w:t>
      </w:r>
      <w:r>
        <w:rPr>
          <w:rStyle w:val="CharSDivText"/>
        </w:rPr>
        <w:t>Permitted lotteries</w:t>
      </w:r>
      <w:bookmarkEnd w:id="149"/>
      <w:bookmarkEnd w:id="150"/>
      <w:bookmarkEnd w:id="151"/>
    </w:p>
    <w:p>
      <w:pPr>
        <w:pStyle w:val="yHeading4"/>
        <w:rPr>
          <w:snapToGrid w:val="0"/>
        </w:rPr>
      </w:pPr>
      <w:bookmarkStart w:id="152" w:name="_Toc34142195"/>
      <w:bookmarkStart w:id="153" w:name="_Toc34147338"/>
      <w:bookmarkStart w:id="154" w:name="_Toc35931021"/>
      <w:r>
        <w:rPr>
          <w:snapToGrid w:val="0"/>
        </w:rPr>
        <w:t>Division 1 — Rules for the conduct of a standard lottery</w:t>
      </w:r>
      <w:bookmarkEnd w:id="152"/>
      <w:bookmarkEnd w:id="153"/>
      <w:bookmarkEnd w:id="154"/>
    </w:p>
    <w:p>
      <w:pPr>
        <w:pStyle w:val="yHeading5"/>
        <w:rPr>
          <w:snapToGrid w:val="0"/>
        </w:rPr>
      </w:pPr>
      <w:bookmarkStart w:id="155" w:name="_Toc35931022"/>
      <w:r>
        <w:rPr>
          <w:rStyle w:val="CharSClsNo"/>
        </w:rPr>
        <w:t>1</w:t>
      </w:r>
      <w:r>
        <w:rPr>
          <w:snapToGrid w:val="0"/>
        </w:rPr>
        <w:t>.</w:t>
      </w:r>
      <w:r>
        <w:rPr>
          <w:snapToGrid w:val="0"/>
        </w:rPr>
        <w:tab/>
        <w:t>Chances, number of etc.</w:t>
      </w:r>
      <w:bookmarkEnd w:id="15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6" w:name="_Toc35931023"/>
      <w:r>
        <w:rPr>
          <w:rStyle w:val="CharSClsNo"/>
        </w:rPr>
        <w:t>2</w:t>
      </w:r>
      <w:r>
        <w:rPr>
          <w:snapToGrid w:val="0"/>
        </w:rPr>
        <w:t>.</w:t>
      </w:r>
      <w:r>
        <w:rPr>
          <w:snapToGrid w:val="0"/>
        </w:rPr>
        <w:tab/>
        <w:t>Chances, information on</w:t>
      </w:r>
      <w:bookmarkEnd w:id="15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7" w:name="_Toc35931024"/>
      <w:r>
        <w:rPr>
          <w:rStyle w:val="CharSClsNo"/>
        </w:rPr>
        <w:t>2A</w:t>
      </w:r>
      <w:r>
        <w:rPr>
          <w:snapToGrid w:val="0"/>
        </w:rPr>
        <w:t>.</w:t>
      </w:r>
      <w:r>
        <w:rPr>
          <w:snapToGrid w:val="0"/>
        </w:rPr>
        <w:tab/>
        <w:t>Chance holders, identification of</w:t>
      </w:r>
      <w:bookmarkEnd w:id="1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58" w:name="_Toc35931025"/>
      <w:r>
        <w:rPr>
          <w:rStyle w:val="CharSClsNo"/>
        </w:rPr>
        <w:t>3</w:t>
      </w:r>
      <w:r>
        <w:rPr>
          <w:snapToGrid w:val="0"/>
        </w:rPr>
        <w:t>.</w:t>
      </w:r>
      <w:r>
        <w:rPr>
          <w:snapToGrid w:val="0"/>
        </w:rPr>
        <w:tab/>
        <w:t>Results of draw</w:t>
      </w:r>
      <w:bookmarkEnd w:id="15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59" w:name="_Toc35931026"/>
      <w:r>
        <w:rPr>
          <w:rStyle w:val="CharSClsNo"/>
        </w:rPr>
        <w:t>4</w:t>
      </w:r>
      <w:r>
        <w:rPr>
          <w:snapToGrid w:val="0"/>
        </w:rPr>
        <w:t>.</w:t>
      </w:r>
      <w:r>
        <w:rPr>
          <w:snapToGrid w:val="0"/>
        </w:rPr>
        <w:tab/>
        <w:t>Order in which prizes are to be drawn</w:t>
      </w:r>
      <w:bookmarkEnd w:id="15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0" w:name="_Toc34142201"/>
      <w:bookmarkStart w:id="161" w:name="_Toc34147344"/>
      <w:bookmarkStart w:id="162" w:name="_Toc35931027"/>
      <w:r>
        <w:rPr>
          <w:snapToGrid w:val="0"/>
        </w:rPr>
        <w:t>Division 2 — Rules for the conduct of a continuing lottery</w:t>
      </w:r>
      <w:bookmarkEnd w:id="160"/>
      <w:bookmarkEnd w:id="161"/>
      <w:bookmarkEnd w:id="162"/>
    </w:p>
    <w:p>
      <w:pPr>
        <w:pStyle w:val="yHeading5"/>
        <w:rPr>
          <w:snapToGrid w:val="0"/>
        </w:rPr>
      </w:pPr>
      <w:bookmarkStart w:id="163" w:name="_Toc35931028"/>
      <w:r>
        <w:rPr>
          <w:rStyle w:val="CharSClsNo"/>
        </w:rPr>
        <w:t>1</w:t>
      </w:r>
      <w:r>
        <w:rPr>
          <w:snapToGrid w:val="0"/>
        </w:rPr>
        <w:t>.</w:t>
      </w:r>
      <w:r>
        <w:rPr>
          <w:snapToGrid w:val="0"/>
        </w:rPr>
        <w:tab/>
        <w:t>Information on each ticket</w:t>
      </w:r>
      <w:bookmarkEnd w:id="16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4" w:name="_Toc35931029"/>
      <w:r>
        <w:rPr>
          <w:rStyle w:val="CharSClsNo"/>
        </w:rPr>
        <w:t>2</w:t>
      </w:r>
      <w:r>
        <w:rPr>
          <w:snapToGrid w:val="0"/>
        </w:rPr>
        <w:t>.</w:t>
      </w:r>
      <w:r>
        <w:rPr>
          <w:snapToGrid w:val="0"/>
        </w:rPr>
        <w:tab/>
        <w:t>Where tickets may be sold</w:t>
      </w:r>
      <w:bookmarkEnd w:id="16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65" w:name="_Toc34142204"/>
      <w:bookmarkStart w:id="166" w:name="_Toc34147347"/>
      <w:bookmarkStart w:id="167" w:name="_Toc35931030"/>
      <w:r>
        <w:rPr>
          <w:rStyle w:val="CharSchNo"/>
        </w:rPr>
        <w:t>Schedule 5</w:t>
      </w:r>
      <w:r>
        <w:rPr>
          <w:rStyle w:val="CharSDivNo"/>
        </w:rPr>
        <w:t> </w:t>
      </w:r>
      <w:r>
        <w:t>—</w:t>
      </w:r>
      <w:r>
        <w:rPr>
          <w:rStyle w:val="CharSDivText"/>
        </w:rPr>
        <w:t> </w:t>
      </w:r>
      <w:r>
        <w:rPr>
          <w:rStyle w:val="CharSchText"/>
        </w:rPr>
        <w:t>Conditions for trade promotion lottery</w:t>
      </w:r>
      <w:bookmarkEnd w:id="165"/>
      <w:bookmarkEnd w:id="166"/>
      <w:bookmarkEnd w:id="167"/>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68" w:name="_Toc34142205"/>
      <w:bookmarkStart w:id="169" w:name="_Toc34147348"/>
      <w:bookmarkStart w:id="170" w:name="_Toc35931031"/>
      <w:r>
        <w:t>Notes</w:t>
      </w:r>
      <w:bookmarkEnd w:id="168"/>
      <w:bookmarkEnd w:id="169"/>
      <w:bookmarkEnd w:id="170"/>
    </w:p>
    <w:p>
      <w:pPr>
        <w:pStyle w:val="nStatement"/>
      </w:pPr>
      <w:r>
        <w:t xml:space="preserve">This is a compilation of the </w:t>
      </w:r>
      <w:r>
        <w:rPr>
          <w:i/>
          <w:noProof/>
        </w:rPr>
        <w:t>Gaming and Wagering Commission Regulations 1988</w:t>
      </w:r>
      <w:r>
        <w:t xml:space="preserve"> and includes amendments made by other written laws. For provisions that have come into operation, and for information about any reprints, see the compilation table.</w:t>
      </w:r>
    </w:p>
    <w:p>
      <w:pPr>
        <w:pStyle w:val="nHeading3"/>
      </w:pPr>
      <w:bookmarkStart w:id="171" w:name="_Toc35931032"/>
      <w:r>
        <w:t>Compilation table</w:t>
      </w:r>
      <w:bookmarkEnd w:id="17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single" w:sz="4" w:space="0" w:color="auto"/>
            </w:tcBorders>
          </w:tcPr>
          <w:p>
            <w:pPr>
              <w:pStyle w:val="nTable"/>
              <w:spacing w:after="40"/>
              <w:ind w:right="113"/>
              <w:rPr>
                <w:i/>
              </w:rPr>
            </w:pPr>
            <w:r>
              <w:rPr>
                <w:i/>
              </w:rPr>
              <w:t>Gaming and Wagering Commission Amendment Regulations 2020</w:t>
            </w:r>
          </w:p>
        </w:tc>
        <w:tc>
          <w:tcPr>
            <w:tcW w:w="1276" w:type="dxa"/>
            <w:tcBorders>
              <w:top w:val="nil"/>
              <w:bottom w:val="single" w:sz="4" w:space="0" w:color="auto"/>
            </w:tcBorders>
          </w:tcPr>
          <w:p>
            <w:pPr>
              <w:pStyle w:val="nTable"/>
              <w:spacing w:after="40"/>
            </w:pPr>
            <w:r>
              <w:t>SL 2020/10</w:t>
            </w:r>
            <w:r>
              <w:br/>
              <w:t>3 Mar 2020</w:t>
            </w:r>
          </w:p>
        </w:tc>
        <w:tc>
          <w:tcPr>
            <w:tcW w:w="2693" w:type="dxa"/>
            <w:tcBorders>
              <w:top w:val="nil"/>
              <w:bottom w:val="single" w:sz="4" w:space="0" w:color="auto"/>
            </w:tcBorders>
          </w:tcPr>
          <w:p>
            <w:pPr>
              <w:pStyle w:val="nTable"/>
              <w:spacing w:after="40"/>
            </w:pPr>
            <w:r>
              <w:t>r. 1 and 2: 3 Mar 2020 (see r. 2(a));</w:t>
            </w:r>
            <w:r>
              <w:br/>
              <w:t>Regulations other than r. 1 and 2: 4 Mar 2020 (see r. 2(b))</w:t>
            </w:r>
          </w:p>
        </w:tc>
      </w:tr>
    </w:tbl>
    <w:p>
      <w:pPr>
        <w:pStyle w:val="nHeading3"/>
      </w:pPr>
      <w:bookmarkStart w:id="172" w:name="_Toc35931033"/>
      <w:r>
        <w:t>Other notes</w:t>
      </w:r>
      <w:bookmarkEnd w:id="172"/>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74" w:name="_Toc34147351"/>
      <w:bookmarkStart w:id="175" w:name="_Toc35931034"/>
      <w:r>
        <w:rPr>
          <w:sz w:val="28"/>
        </w:rPr>
        <w:t>Defined terms</w:t>
      </w:r>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06-u0-01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504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A61D5-6C43-4502-8E09-CE258D370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16611</Words>
  <Characters>81399</Characters>
  <Application>Microsoft Office Word</Application>
  <DocSecurity>0</DocSecurity>
  <Lines>2625</Lines>
  <Paragraphs>1689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1988 - 06-u0-01</dc:title>
  <dc:subject/>
  <dc:creator/>
  <cp:keywords/>
  <dc:description/>
  <cp:lastModifiedBy>svcMRProcess</cp:lastModifiedBy>
  <cp:revision>4</cp:revision>
  <cp:lastPrinted>2019-12-05T02:10:00Z</cp:lastPrinted>
  <dcterms:created xsi:type="dcterms:W3CDTF">2020-03-25T06:34:00Z</dcterms:created>
  <dcterms:modified xsi:type="dcterms:W3CDTF">2020-03-25T06:34:00Z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04 Mar 2020</vt:lpwstr>
  </property>
  <property fmtid="{D5CDD505-2E9C-101B-9397-08002B2CF9AE}" pid="8" name="Suffix">
    <vt:lpwstr>06-u0-01</vt:lpwstr>
  </property>
  <property fmtid="{D5CDD505-2E9C-101B-9397-08002B2CF9AE}" pid="9" name="CommencementDate">
    <vt:lpwstr>20200304</vt:lpwstr>
  </property>
</Properties>
</file>