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_Toc37319763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_Toc37319764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_Toc37319765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_Toc37319766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_Toc37319767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_Toc37319768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_Toc37319769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_Toc37319770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_Toc37319771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_Toc37319772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_Toc37319775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37319763"/>
      <w:r>
        <w:rPr>
          <w:rStyle w:val="CharSectno"/>
        </w:rPr>
        <w:t>1</w:t>
      </w:r>
      <w:r>
        <w:t>.</w:t>
      </w:r>
      <w:r>
        <w:tab/>
        <w:t>Citation</w:t>
      </w:r>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37319764"/>
      <w:r>
        <w:rPr>
          <w:rStyle w:val="CharSectno"/>
        </w:rPr>
        <w:t>2</w:t>
      </w:r>
      <w:r>
        <w:rPr>
          <w:spacing w:val="-2"/>
        </w:rPr>
        <w:t>.</w:t>
      </w:r>
      <w:r>
        <w:rPr>
          <w:spacing w:val="-2"/>
        </w:rPr>
        <w:tab/>
        <w:t>Commencement</w:t>
      </w:r>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37319765"/>
      <w:r>
        <w:rPr>
          <w:rStyle w:val="CharSectno"/>
        </w:rPr>
        <w:t>3</w:t>
      </w:r>
      <w:r>
        <w:t>.</w:t>
      </w:r>
      <w:r>
        <w:tab/>
        <w:t>Forms</w:t>
      </w:r>
      <w:bookmarkEnd w:id="5"/>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6" w:name="_Toc37319766"/>
      <w:r>
        <w:rPr>
          <w:rStyle w:val="CharSectno"/>
        </w:rPr>
        <w:t>4</w:t>
      </w:r>
      <w:r>
        <w:t>.</w:t>
      </w:r>
      <w:r>
        <w:tab/>
        <w:t>Law enforcement officers, classes prescribed</w:t>
      </w:r>
      <w:bookmarkEnd w:id="6"/>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7" w:name="_Toc37319767"/>
      <w:r>
        <w:rPr>
          <w:rStyle w:val="CharSectno"/>
        </w:rPr>
        <w:t>5</w:t>
      </w:r>
      <w:r>
        <w:t>.</w:t>
      </w:r>
      <w:r>
        <w:tab/>
        <w:t>Commonwealth agencies, instrumentalities and bodies</w:t>
      </w:r>
      <w:bookmarkEnd w:id="7"/>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8" w:name="_Toc37319768"/>
      <w:r>
        <w:rPr>
          <w:rStyle w:val="CharSectno"/>
        </w:rPr>
        <w:t>6</w:t>
      </w:r>
      <w:r>
        <w:t>.</w:t>
      </w:r>
      <w:r>
        <w:tab/>
        <w:t>Use of tracking devices without warrant</w:t>
      </w:r>
      <w:bookmarkEnd w:id="8"/>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(iib)</w:t>
      </w:r>
      <w:r>
        <w:tab/>
      </w:r>
      <w:r>
        <w:rPr>
          <w:i/>
        </w:rPr>
        <w:t>Emergency Management Act 2005</w:t>
      </w:r>
      <w:r>
        <w:t xml:space="preserve"> section 70A(2) or (4);</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w:t>
      </w:r>
    </w:p>
    <w:p>
      <w:pPr>
        <w:pStyle w:val="Heading5"/>
        <w:rPr>
          <w:rStyle w:val="CharSectno"/>
        </w:rPr>
      </w:pPr>
      <w:bookmarkStart w:id="9" w:name="_Toc37319769"/>
      <w:r>
        <w:rPr>
          <w:rStyle w:val="CharSectno"/>
        </w:rPr>
        <w:t>7</w:t>
      </w:r>
      <w:r>
        <w:t>.</w:t>
      </w:r>
      <w:r>
        <w:rPr>
          <w:rStyle w:val="CharSectno"/>
        </w:rPr>
        <w:tab/>
      </w:r>
      <w:r>
        <w:t>Storage and destruction of Part 5 records</w:t>
      </w:r>
      <w:bookmarkEnd w:id="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10" w:name="_Toc37319770"/>
      <w:r>
        <w:rPr>
          <w:rStyle w:val="CharSectno"/>
        </w:rPr>
        <w:t>8</w:t>
      </w:r>
      <w:r>
        <w:t>.</w:t>
      </w:r>
      <w:r>
        <w:tab/>
        <w:t>Annual reports</w:t>
      </w:r>
      <w:bookmarkEnd w:id="10"/>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1" w:name="_Toc37319771"/>
      <w:r>
        <w:rPr>
          <w:rStyle w:val="CharSectno"/>
        </w:rPr>
        <w:t>8A</w:t>
      </w:r>
      <w:r>
        <w:t>.</w:t>
      </w:r>
      <w:r>
        <w:tab/>
        <w:t>Reports by designated Commission</w:t>
      </w:r>
      <w:bookmarkEnd w:id="11"/>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2" w:name="_Toc37319772"/>
      <w:r>
        <w:rPr>
          <w:rStyle w:val="CharSectno"/>
        </w:rPr>
        <w:t>9</w:t>
      </w:r>
      <w:r>
        <w:t>.</w:t>
      </w:r>
      <w:r>
        <w:tab/>
        <w:t>Unlawful possession of surveillance information</w:t>
      </w:r>
      <w:bookmarkEnd w:id="1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513707781"/>
      <w:bookmarkStart w:id="14" w:name="_Toc515531146"/>
      <w:bookmarkStart w:id="15" w:name="_Toc37316577"/>
      <w:bookmarkStart w:id="16" w:name="_Toc37318074"/>
      <w:bookmarkStart w:id="17" w:name="_Toc37319773"/>
      <w:r>
        <w:rPr>
          <w:rStyle w:val="CharSchNo"/>
        </w:rPr>
        <w:t>Schedule 1</w:t>
      </w:r>
      <w:r>
        <w:t xml:space="preserve"> — </w:t>
      </w:r>
      <w:r>
        <w:rPr>
          <w:rStyle w:val="CharSchText"/>
        </w:rPr>
        <w:t>Forms</w:t>
      </w:r>
      <w:bookmarkEnd w:id="13"/>
      <w:bookmarkEnd w:id="14"/>
      <w:bookmarkEnd w:id="15"/>
      <w:bookmarkEnd w:id="16"/>
      <w:bookmarkEnd w:id="17"/>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 w:name="_Toc37318075"/>
      <w:bookmarkStart w:id="19" w:name="_Toc37319774"/>
      <w:bookmarkStart w:id="20" w:name="_Toc515531149"/>
      <w:bookmarkStart w:id="21" w:name="_Toc37316580"/>
      <w:r>
        <w:t>Notes</w:t>
      </w:r>
      <w:bookmarkEnd w:id="18"/>
      <w:bookmarkEnd w:id="19"/>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p>
    <w:p>
      <w:pPr>
        <w:pStyle w:val="nHeading3"/>
      </w:pPr>
      <w:bookmarkStart w:id="22" w:name="_Toc37319775"/>
      <w:r>
        <w:t>Compilation table</w:t>
      </w:r>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rFonts w:ascii="Times" w:hAnsi="Times"/>
                <w:snapToGrid w:val="0"/>
                <w:spacing w:val="-2"/>
              </w:rPr>
            </w:pPr>
            <w:r>
              <w:rPr>
                <w:rFonts w:ascii="Times" w:hAnsi="Times"/>
                <w:snapToGrid w:val="0"/>
                <w:spacing w:val="-2"/>
              </w:rPr>
              <w:t>r. 1 and 2: 18</w:t>
            </w:r>
            <w:r>
              <w:t> Aug 2017</w:t>
            </w:r>
            <w:r>
              <w:rPr>
                <w:rFonts w:ascii="Times" w:hAnsi="Times"/>
                <w:snapToGrid w:val="0"/>
                <w:spacing w:val="-2"/>
              </w:rPr>
              <w:t xml:space="preserve"> (see r. 2(a));</w:t>
            </w:r>
            <w:r>
              <w:rPr>
                <w:rFonts w:ascii="Times" w:hAnsi="Times"/>
                <w:snapToGrid w:val="0"/>
                <w:spacing w:val="-2"/>
              </w:rPr>
              <w:br/>
              <w:t>Regulations other than r. 1 and 2: 19</w:t>
            </w:r>
            <w:r>
              <w:t> Aug 2017</w:t>
            </w:r>
            <w:r>
              <w:rPr>
                <w:rFonts w:ascii="Times" w:hAnsi="Times"/>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rFonts w:ascii="Times" w:hAnsi="Times"/>
                <w:snapToGrid w:val="0"/>
                <w:spacing w:val="-2"/>
              </w:rPr>
            </w:pPr>
            <w:r>
              <w:rPr>
                <w:rFonts w:ascii="Times" w:hAnsi="Times"/>
                <w:b/>
                <w:snapToGrid w:val="0"/>
                <w:spacing w:val="-2"/>
              </w:rPr>
              <w:t xml:space="preserve">Reprint 3: The </w:t>
            </w:r>
            <w:r>
              <w:rPr>
                <w:rFonts w:ascii="Times" w:hAnsi="Times"/>
                <w:b/>
                <w:i/>
                <w:noProof/>
                <w:snapToGrid w:val="0"/>
                <w:spacing w:val="-2"/>
              </w:rPr>
              <w:t>Surveillance Devices Regulations 1999</w:t>
            </w:r>
            <w:r>
              <w:rPr>
                <w:rFonts w:ascii="Times" w:hAnsi="Times"/>
                <w:b/>
                <w:snapToGrid w:val="0"/>
                <w:spacing w:val="-2"/>
              </w:rPr>
              <w:t xml:space="preserve"> as at 13 Jul 2018</w:t>
            </w:r>
            <w:r>
              <w:rPr>
                <w:rFonts w:ascii="Times" w:hAnsi="Time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Surveillance Devices Amendment Regulations 2020</w:t>
            </w:r>
          </w:p>
        </w:tc>
        <w:tc>
          <w:tcPr>
            <w:tcW w:w="1276" w:type="dxa"/>
            <w:gridSpan w:val="2"/>
            <w:tcBorders>
              <w:bottom w:val="single" w:sz="4" w:space="0" w:color="auto"/>
            </w:tcBorders>
          </w:tcPr>
          <w:p>
            <w:pPr>
              <w:pStyle w:val="nTable"/>
              <w:spacing w:after="40"/>
            </w:pPr>
            <w:r>
              <w:t>SL 2020/36 9 Apr 2020</w:t>
            </w:r>
          </w:p>
        </w:tc>
        <w:tc>
          <w:tcPr>
            <w:tcW w:w="2695" w:type="dxa"/>
            <w:gridSpan w:val="2"/>
            <w:tcBorders>
              <w:bottom w:val="single" w:sz="4" w:space="0" w:color="auto"/>
            </w:tcBorders>
          </w:tcPr>
          <w:p>
            <w:pPr>
              <w:pStyle w:val="nTable"/>
              <w:spacing w:after="40"/>
              <w:rPr>
                <w:rFonts w:ascii="Times" w:hAnsi="Times"/>
                <w:snapToGrid w:val="0"/>
                <w:spacing w:val="-2"/>
              </w:rPr>
            </w:pPr>
            <w:r>
              <w:rPr>
                <w:rFonts w:ascii="Times" w:hAnsi="Times"/>
                <w:snapToGrid w:val="0"/>
                <w:spacing w:val="-2"/>
              </w:rPr>
              <w:t xml:space="preserve">r. 1 and 2: </w:t>
            </w:r>
            <w:r>
              <w:t>9 Apr 2020</w:t>
            </w:r>
            <w:r>
              <w:rPr>
                <w:rFonts w:ascii="Times" w:hAnsi="Times"/>
                <w:snapToGrid w:val="0"/>
                <w:spacing w:val="-2"/>
              </w:rPr>
              <w:t xml:space="preserve"> (see r. 2(a));</w:t>
            </w:r>
            <w:r>
              <w:rPr>
                <w:rFonts w:ascii="Times" w:hAnsi="Times"/>
                <w:snapToGrid w:val="0"/>
                <w:spacing w:val="-2"/>
              </w:rPr>
              <w:br/>
              <w:t xml:space="preserve">Regulations other than r. 1 and 2: </w:t>
            </w:r>
            <w:r>
              <w:t>10 Apr 2020</w:t>
            </w:r>
            <w:r>
              <w:rPr>
                <w:rFonts w:ascii="Times" w:hAnsi="Times"/>
                <w:snapToGrid w:val="0"/>
                <w:spacing w:val="-2"/>
              </w:rPr>
              <w:t xml:space="preserve"> (see r. 2(b))</w:t>
            </w:r>
          </w:p>
        </w:tc>
      </w:tr>
    </w:tbl>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4" w:name="_Toc37318077"/>
      <w:bookmarkStart w:id="25" w:name="_Toc37319776"/>
      <w:r>
        <w:rPr>
          <w:sz w:val="28"/>
        </w:rPr>
        <w:t>Defined terms</w:t>
      </w:r>
      <w:bookmarkEnd w:id="20"/>
      <w:bookmarkEnd w:id="21"/>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09210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4774</Words>
  <Characters>26163</Characters>
  <Application>Microsoft Office Word</Application>
  <DocSecurity>0</DocSecurity>
  <Lines>1090</Lines>
  <Paragraphs>658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1999 - 03-b0-01</dc:title>
  <dc:subject/>
  <dc:creator/>
  <cp:keywords/>
  <dc:description/>
  <cp:lastModifiedBy>svcMRProcess</cp:lastModifiedBy>
  <cp:revision>4</cp:revision>
  <cp:lastPrinted>2018-03-20T02:06:00Z</cp:lastPrinted>
  <dcterms:created xsi:type="dcterms:W3CDTF">2020-04-14T03:18:00Z</dcterms:created>
  <dcterms:modified xsi:type="dcterms:W3CDTF">2020-04-14T03:18:00Z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10 Apr 2020</vt:lpwstr>
  </property>
  <property fmtid="{D5CDD505-2E9C-101B-9397-08002B2CF9AE}" pid="8" name="Suffix">
    <vt:lpwstr>03-b0-01</vt:lpwstr>
  </property>
  <property fmtid="{D5CDD505-2E9C-101B-9397-08002B2CF9AE}" pid="9" name="CommencementDate">
    <vt:lpwstr>20200410</vt:lpwstr>
  </property>
</Properties>
</file>