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(Functions and General)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_Toc38031085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_Toc38031086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1A — Local laws</w:t>
      </w:r>
    </w:p>
    <w:p>
      <w:pPr>
        <w:pStyle w:val="TOC8"/>
        <w:rPr>
          <w:rFonts w:asciiTheme="minorHAnsi" w:eastAsiaTheme="minorEastAsia" w:hAnsiTheme="minorHAnsi" w:cstheme="minorBidi"/>
          <w:szCs w:val="22"/>
        </w:rPr>
      </w:pPr>
      <w:r>
        <w:t>2A.</w:t>
      </w:r>
      <w:r>
        <w:tab/>
        <w:t>Matters about which local laws are not to be made (Act s. 3.5)</w:t>
      </w:r>
      <w:r>
        <w:tab/>
      </w:r>
      <w:r>
        <w:fldChar w:fldCharType="begin"/>
      </w:r>
      <w:r>
        <w:instrText xml:space="preserve"> PAGEREF _Toc38031088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Prescribed manner of giving notice of purpose and effect of proposed local law </w:t>
      </w:r>
      <w:r>
        <w:rPr>
          <w:snapToGrid w:val="0"/>
        </w:rPr>
        <w:t>(Act </w:t>
      </w:r>
      <w:r>
        <w:t>s. 3.12(2))</w:t>
      </w:r>
      <w:r>
        <w:tab/>
      </w:r>
      <w:r>
        <w:fldChar w:fldCharType="begin"/>
      </w:r>
      <w:r>
        <w:instrText xml:space="preserve"> PAGEREF _Toc38031089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Thoroughfares</w:t>
      </w:r>
    </w:p>
    <w:p>
      <w:pPr>
        <w:pStyle w:val="TOC8"/>
        <w:rPr>
          <w:rFonts w:asciiTheme="minorHAnsi" w:eastAsiaTheme="minorEastAsia" w:hAnsiTheme="minorHAnsi" w:cstheme="minorBidi"/>
          <w:szCs w:val="22"/>
        </w:rPr>
      </w:pPr>
      <w:r>
        <w:t>4</w:t>
      </w:r>
      <w:r>
        <w:rPr>
          <w:snapToGrid w:val="0"/>
        </w:rPr>
        <w:t>.</w:t>
      </w:r>
      <w:r>
        <w:rPr>
          <w:snapToGrid w:val="0"/>
        </w:rPr>
        <w:tab/>
        <w:t>Persons prescribed to be notified of road closure (Act s. 3.50)</w:t>
      </w:r>
      <w:r>
        <w:tab/>
      </w:r>
      <w:r>
        <w:fldChar w:fldCharType="begin"/>
      </w:r>
      <w:r>
        <w:instrText xml:space="preserve"> PAGEREF _Toc38031091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Persons prescribed to be notified of certain proposals (Act s. </w:t>
      </w:r>
      <w:r>
        <w:t>3</w:t>
      </w:r>
      <w:r>
        <w:rPr>
          <w:snapToGrid w:val="0"/>
        </w:rPr>
        <w:t xml:space="preserve">.51(1) </w:t>
      </w:r>
      <w:r>
        <w:rPr>
          <w:i/>
          <w:snapToGrid w:val="0"/>
        </w:rPr>
        <w:t>person having an interest</w:t>
      </w:r>
      <w:r>
        <w:rPr>
          <w:snapToGrid w:val="0"/>
        </w:rPr>
        <w:t>)</w:t>
      </w:r>
      <w:r>
        <w:tab/>
      </w:r>
      <w:r>
        <w:fldChar w:fldCharType="begin"/>
      </w:r>
      <w:r>
        <w:instrText xml:space="preserve"> PAGEREF _Toc38031092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Transitional provisions about road closures</w:t>
      </w:r>
      <w:r>
        <w:tab/>
      </w:r>
      <w:r>
        <w:fldChar w:fldCharType="begin"/>
      </w:r>
      <w:r>
        <w:instrText xml:space="preserve"> PAGEREF _Toc38031093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Commercial enterprises by local governments (s. 3.59)</w:t>
      </w:r>
    </w:p>
    <w:p>
      <w:pPr>
        <w:pStyle w:val="TOC8"/>
        <w:rPr>
          <w:rFonts w:asciiTheme="minorHAnsi" w:eastAsiaTheme="minorEastAsia" w:hAnsiTheme="minorHAnsi" w:cstheme="minorBidi"/>
          <w:szCs w:val="22"/>
        </w:rPr>
      </w:pPr>
      <w:r>
        <w:t>7.</w:t>
      </w:r>
      <w:r>
        <w:tab/>
        <w:t>Term used: major regional centre</w:t>
      </w:r>
      <w:r>
        <w:tab/>
      </w:r>
      <w:r>
        <w:fldChar w:fldCharType="begin"/>
      </w:r>
      <w:r>
        <w:instrText xml:space="preserve"> PAGEREF _Toc38031095 \h </w:instrText>
      </w:r>
      <w:r>
        <w:fldChar w:fldCharType="separate"/>
      </w:r>
      <w:r>
        <w:t>5</w:t>
      </w:r>
      <w:r>
        <w:fldChar w:fldCharType="end"/>
      </w:r>
    </w:p>
    <w:p>
      <w:pPr>
        <w:pStyle w:val="TOC8"/>
        <w:rPr>
          <w:rFonts w:asciiTheme="minorHAnsi" w:eastAsiaTheme="minorEastAsia" w:hAnsiTheme="minorHAnsi" w:cstheme="minorBidi"/>
          <w:szCs w:val="22"/>
        </w:rPr>
      </w:pPr>
      <w:r>
        <w:t>8A.</w:t>
      </w:r>
      <w:r>
        <w:tab/>
        <w:t xml:space="preserve">Amount prescribed for major land transactions; exempt land transactions prescribed </w:t>
      </w:r>
      <w:r>
        <w:rPr>
          <w:snapToGrid w:val="0"/>
        </w:rPr>
        <w:t>(Act </w:t>
      </w:r>
      <w:r>
        <w:t>s. 3.59)</w:t>
      </w:r>
      <w:r>
        <w:tab/>
      </w:r>
      <w:r>
        <w:fldChar w:fldCharType="begin"/>
      </w:r>
      <w:r>
        <w:instrText xml:space="preserve"> PAGEREF _Toc38031096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 land transactions prescribed (Act s. 3.59)</w:t>
      </w:r>
      <w:r>
        <w:tab/>
      </w:r>
      <w:r>
        <w:fldChar w:fldCharType="begin"/>
      </w:r>
      <w:r>
        <w:instrText xml:space="preserve"> PAGEREF _Toc38031097 \h </w:instrText>
      </w:r>
      <w:r>
        <w:fldChar w:fldCharType="separate"/>
      </w:r>
      <w:r>
        <w:t>6</w:t>
      </w:r>
      <w:r>
        <w:fldChar w:fldCharType="end"/>
      </w:r>
    </w:p>
    <w:p>
      <w:pPr>
        <w:pStyle w:val="TOC8"/>
        <w:rPr>
          <w:rFonts w:asciiTheme="minorHAnsi" w:eastAsiaTheme="minorEastAsia" w:hAnsiTheme="minorHAnsi" w:cstheme="minorBidi"/>
          <w:szCs w:val="22"/>
        </w:rPr>
      </w:pPr>
      <w:r>
        <w:lastRenderedPageBreak/>
        <w:t>9</w:t>
      </w:r>
      <w:r>
        <w:rPr>
          <w:snapToGrid w:val="0"/>
        </w:rPr>
        <w:t>.</w:t>
      </w:r>
      <w:r>
        <w:rPr>
          <w:snapToGrid w:val="0"/>
        </w:rPr>
        <w:tab/>
        <w:t>Amount prescribed for major trading undertakings; exempt trading undertakings prescribed (Act s. 3.59)</w:t>
      </w:r>
      <w:r>
        <w:tab/>
      </w:r>
      <w:r>
        <w:fldChar w:fldCharType="begin"/>
      </w:r>
      <w:r>
        <w:instrText xml:space="preserve"> PAGEREF _Toc38031098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plans for major trading undertaking and major land transaction, content of</w:t>
      </w:r>
      <w:r>
        <w:tab/>
      </w:r>
      <w:r>
        <w:fldChar w:fldCharType="begin"/>
      </w:r>
      <w:r>
        <w:instrText xml:space="preserve"> PAGEREF _Toc38031099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w:t>
      </w:r>
      <w:r>
        <w:rPr>
          <w:b w:val="0"/>
          <w:noProof/>
        </w:rPr>
        <w:t> </w:t>
      </w:r>
      <w:r>
        <w:rPr>
          <w:noProof/>
        </w:rPr>
        <w:t>—</w:t>
      </w:r>
      <w:r>
        <w:rPr>
          <w:b w:val="0"/>
          <w:noProof/>
        </w:rPr>
        <w:t> </w:t>
      </w:r>
      <w:r>
        <w:rPr>
          <w:noProof/>
        </w:rPr>
        <w:t>Provision of goods and services</w:t>
      </w:r>
    </w:p>
    <w:p>
      <w:pPr>
        <w:pStyle w:val="TOC4"/>
        <w:tabs>
          <w:tab w:val="right" w:leader="dot" w:pos="7077"/>
        </w:tabs>
        <w:rPr>
          <w:rFonts w:asciiTheme="minorHAnsi" w:eastAsiaTheme="minorEastAsia" w:hAnsiTheme="minorHAnsi" w:cstheme="minorBidi"/>
          <w:b w:val="0"/>
          <w:szCs w:val="22"/>
        </w:rPr>
      </w:pPr>
      <w:r>
        <w:t>Division 1 — Purchasing policies</w:t>
      </w:r>
    </w:p>
    <w:p>
      <w:pPr>
        <w:pStyle w:val="TOC8"/>
        <w:rPr>
          <w:rFonts w:asciiTheme="minorHAnsi" w:eastAsiaTheme="minorEastAsia" w:hAnsiTheme="minorHAnsi" w:cstheme="minorBidi"/>
          <w:szCs w:val="22"/>
        </w:rPr>
      </w:pPr>
      <w:r>
        <w:t>11A.</w:t>
      </w:r>
      <w:r>
        <w:tab/>
        <w:t>Purchasing policies for local governments</w:t>
      </w:r>
      <w:r>
        <w:tab/>
      </w:r>
      <w:r>
        <w:fldChar w:fldCharType="begin"/>
      </w:r>
      <w:r>
        <w:instrText xml:space="preserve"> PAGEREF _Toc38031102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Tenders for providing goods or services (s. 3.57)</w:t>
      </w:r>
    </w:p>
    <w:p>
      <w:pPr>
        <w:pStyle w:val="TOC8"/>
        <w:rPr>
          <w:rFonts w:asciiTheme="minorHAnsi" w:eastAsiaTheme="minorEastAsia" w:hAnsiTheme="minorHAnsi" w:cstheme="minorBidi"/>
          <w:szCs w:val="22"/>
        </w:rPr>
      </w:pPr>
      <w:r>
        <w:t>11</w:t>
      </w:r>
      <w:r>
        <w:rPr>
          <w:snapToGrid w:val="0"/>
        </w:rPr>
        <w:t>.</w:t>
      </w:r>
      <w:r>
        <w:rPr>
          <w:snapToGrid w:val="0"/>
        </w:rPr>
        <w:tab/>
        <w:t>When tenders have to be publicly invited</w:t>
      </w:r>
      <w:r>
        <w:tab/>
      </w:r>
      <w:r>
        <w:fldChar w:fldCharType="begin"/>
      </w:r>
      <w:r>
        <w:instrText xml:space="preserve"> PAGEREF _Toc38031104 \h </w:instrText>
      </w:r>
      <w:r>
        <w:fldChar w:fldCharType="separate"/>
      </w:r>
      <w:r>
        <w:t>11</w:t>
      </w:r>
      <w:r>
        <w:fldChar w:fldCharType="end"/>
      </w:r>
    </w:p>
    <w:p>
      <w:pPr>
        <w:pStyle w:val="TOC8"/>
        <w:rPr>
          <w:rFonts w:asciiTheme="minorHAnsi" w:eastAsiaTheme="minorEastAsia" w:hAnsiTheme="minorHAnsi" w:cstheme="minorBidi"/>
          <w:szCs w:val="22"/>
        </w:rPr>
      </w:pPr>
      <w:r>
        <w:t>12.</w:t>
      </w:r>
      <w:r>
        <w:tab/>
        <w:t>Anti</w:t>
      </w:r>
      <w:r>
        <w:noBreakHyphen/>
        <w:t>avoidance provision for r. 11(1)</w:t>
      </w:r>
      <w:r>
        <w:tab/>
      </w:r>
      <w:r>
        <w:fldChar w:fldCharType="begin"/>
      </w:r>
      <w:r>
        <w:instrText xml:space="preserve"> PAGEREF _Toc38031105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Requirements when local government invites tenders though not required to do so</w:t>
      </w:r>
      <w:r>
        <w:tab/>
      </w:r>
      <w:r>
        <w:fldChar w:fldCharType="begin"/>
      </w:r>
      <w:r>
        <w:instrText xml:space="preserve"> PAGEREF _Toc38031106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Publicly inviting tenders, requirements for</w:t>
      </w:r>
      <w:r>
        <w:tab/>
      </w:r>
      <w:r>
        <w:fldChar w:fldCharType="begin"/>
      </w:r>
      <w:r>
        <w:instrText xml:space="preserve"> PAGEREF _Toc38031107 \h </w:instrText>
      </w:r>
      <w:r>
        <w:fldChar w:fldCharType="separate"/>
      </w:r>
      <w:r>
        <w:t>15</w:t>
      </w:r>
      <w:r>
        <w:fldChar w:fldCharType="end"/>
      </w:r>
    </w:p>
    <w:p>
      <w:pPr>
        <w:pStyle w:val="TOC8"/>
        <w:rPr>
          <w:rFonts w:asciiTheme="minorHAnsi" w:eastAsiaTheme="minorEastAsia" w:hAnsiTheme="minorHAnsi" w:cstheme="minorBidi"/>
          <w:szCs w:val="22"/>
        </w:rPr>
      </w:pPr>
      <w:r>
        <w:t>15.</w:t>
      </w:r>
      <w:r>
        <w:tab/>
      </w:r>
      <w:r>
        <w:rPr>
          <w:snapToGrid w:val="0"/>
        </w:rPr>
        <w:t>Minimum time to be allowed for submitting tenders</w:t>
      </w:r>
      <w:r>
        <w:tab/>
      </w:r>
      <w:r>
        <w:fldChar w:fldCharType="begin"/>
      </w:r>
      <w:r>
        <w:instrText xml:space="preserve"> PAGEREF _Toc38031108 \h </w:instrText>
      </w:r>
      <w:r>
        <w:fldChar w:fldCharType="separate"/>
      </w:r>
      <w:r>
        <w:t>16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Receiving and opening tenders, procedure for</w:t>
      </w:r>
      <w:r>
        <w:tab/>
      </w:r>
      <w:r>
        <w:fldChar w:fldCharType="begin"/>
      </w:r>
      <w:r>
        <w:instrText xml:space="preserve"> PAGEREF _Toc38031109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Tenders register</w:t>
      </w:r>
      <w:r>
        <w:tab/>
      </w:r>
      <w:r>
        <w:fldChar w:fldCharType="begin"/>
      </w:r>
      <w:r>
        <w:instrText xml:space="preserve"> PAGEREF _Toc38031110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Rejecting and accepting tenders</w:t>
      </w:r>
      <w:r>
        <w:tab/>
      </w:r>
      <w:r>
        <w:fldChar w:fldCharType="begin"/>
      </w:r>
      <w:r>
        <w:instrText xml:space="preserve"> PAGEREF _Toc38031111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Tenderers to be notified of outcome</w:t>
      </w:r>
      <w:r>
        <w:tab/>
      </w:r>
      <w:r>
        <w:fldChar w:fldCharType="begin"/>
      </w:r>
      <w:r>
        <w:instrText xml:space="preserve"> PAGEREF _Toc38031112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Variation of requirements before entry into contract</w:t>
      </w:r>
      <w:r>
        <w:tab/>
      </w:r>
      <w:r>
        <w:fldChar w:fldCharType="begin"/>
      </w:r>
      <w:r>
        <w:instrText xml:space="preserve"> PAGEREF _Toc38031113 \h </w:instrText>
      </w:r>
      <w:r>
        <w:fldChar w:fldCharType="separate"/>
      </w:r>
      <w:r>
        <w:t>20</w:t>
      </w:r>
      <w:r>
        <w:fldChar w:fldCharType="end"/>
      </w:r>
    </w:p>
    <w:p>
      <w:pPr>
        <w:pStyle w:val="TOC8"/>
        <w:rPr>
          <w:rFonts w:asciiTheme="minorHAnsi" w:eastAsiaTheme="minorEastAsia" w:hAnsiTheme="minorHAnsi" w:cstheme="minorBidi"/>
          <w:szCs w:val="22"/>
        </w:rPr>
      </w:pPr>
      <w:r>
        <w:t>21A.</w:t>
      </w:r>
      <w:r>
        <w:tab/>
        <w:t>Varying a contract for the supply of goods or services</w:t>
      </w:r>
      <w:r>
        <w:tab/>
      </w:r>
      <w:r>
        <w:fldChar w:fldCharType="begin"/>
      </w:r>
      <w:r>
        <w:instrText xml:space="preserve"> PAGEREF _Toc38031114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Limiting who can tender, procedure for</w:t>
      </w:r>
      <w:r>
        <w:tab/>
      </w:r>
      <w:r>
        <w:fldChar w:fldCharType="begin"/>
      </w:r>
      <w:r>
        <w:instrText xml:space="preserve"> PAGEREF _Toc38031115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Minimum time to be allowed for submitting expressions of interest</w:t>
      </w:r>
      <w:r>
        <w:tab/>
      </w:r>
      <w:r>
        <w:fldChar w:fldCharType="begin"/>
      </w:r>
      <w:r>
        <w:instrText xml:space="preserve"> PAGEREF _Toc38031116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Rejecting and accepting expressions of interest to be acceptable tenderer</w:t>
      </w:r>
      <w:r>
        <w:tab/>
      </w:r>
      <w:r>
        <w:fldChar w:fldCharType="begin"/>
      </w:r>
      <w:r>
        <w:instrText xml:space="preserve"> PAGEREF _Toc38031117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People who submitted expression of interest to be notified of outcome</w:t>
      </w:r>
      <w:r>
        <w:tab/>
      </w:r>
      <w:r>
        <w:fldChar w:fldCharType="begin"/>
      </w:r>
      <w:r>
        <w:instrText xml:space="preserve"> PAGEREF _Toc38031118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Panels of pre</w:t>
      </w:r>
      <w:r>
        <w:noBreakHyphen/>
        <w:t>qualified suppliers</w:t>
      </w:r>
    </w:p>
    <w:p>
      <w:pPr>
        <w:pStyle w:val="TOC8"/>
        <w:rPr>
          <w:rFonts w:asciiTheme="minorHAnsi" w:eastAsiaTheme="minorEastAsia" w:hAnsiTheme="minorHAnsi" w:cstheme="minorBidi"/>
          <w:szCs w:val="22"/>
        </w:rPr>
      </w:pPr>
      <w:r>
        <w:t>24AA.</w:t>
      </w:r>
      <w:r>
        <w:tab/>
        <w:t>Terms used</w:t>
      </w:r>
      <w:r>
        <w:tab/>
      </w:r>
      <w:r>
        <w:fldChar w:fldCharType="begin"/>
      </w:r>
      <w:r>
        <w:instrText xml:space="preserve"> PAGEREF _Toc38031120 \h </w:instrText>
      </w:r>
      <w:r>
        <w:fldChar w:fldCharType="separate"/>
      </w:r>
      <w:r>
        <w:t>23</w:t>
      </w:r>
      <w:r>
        <w:fldChar w:fldCharType="end"/>
      </w:r>
    </w:p>
    <w:p>
      <w:pPr>
        <w:pStyle w:val="TOC8"/>
        <w:rPr>
          <w:rFonts w:asciiTheme="minorHAnsi" w:eastAsiaTheme="minorEastAsia" w:hAnsiTheme="minorHAnsi" w:cstheme="minorBidi"/>
          <w:szCs w:val="22"/>
        </w:rPr>
      </w:pPr>
      <w:r>
        <w:t>24AB.</w:t>
      </w:r>
      <w:r>
        <w:tab/>
        <w:t>Local government may establish panels of pre</w:t>
      </w:r>
      <w:r>
        <w:noBreakHyphen/>
        <w:t>qualified suppliers</w:t>
      </w:r>
      <w:r>
        <w:tab/>
      </w:r>
      <w:r>
        <w:fldChar w:fldCharType="begin"/>
      </w:r>
      <w:r>
        <w:instrText xml:space="preserve"> PAGEREF _Toc38031121 \h </w:instrText>
      </w:r>
      <w:r>
        <w:fldChar w:fldCharType="separate"/>
      </w:r>
      <w:r>
        <w:t>23</w:t>
      </w:r>
      <w:r>
        <w:fldChar w:fldCharType="end"/>
      </w:r>
    </w:p>
    <w:p>
      <w:pPr>
        <w:pStyle w:val="TOC8"/>
        <w:rPr>
          <w:rFonts w:asciiTheme="minorHAnsi" w:eastAsiaTheme="minorEastAsia" w:hAnsiTheme="minorHAnsi" w:cstheme="minorBidi"/>
          <w:szCs w:val="22"/>
        </w:rPr>
      </w:pPr>
      <w:r>
        <w:t>24AC.</w:t>
      </w:r>
      <w:r>
        <w:tab/>
        <w:t>Requirements before establishing panels of pre</w:t>
      </w:r>
      <w:r>
        <w:noBreakHyphen/>
        <w:t>qualified suppliers</w:t>
      </w:r>
      <w:r>
        <w:tab/>
      </w:r>
      <w:r>
        <w:fldChar w:fldCharType="begin"/>
      </w:r>
      <w:r>
        <w:instrText xml:space="preserve"> PAGEREF _Toc38031122 \h </w:instrText>
      </w:r>
      <w:r>
        <w:fldChar w:fldCharType="separate"/>
      </w:r>
      <w:r>
        <w:t>23</w:t>
      </w:r>
      <w:r>
        <w:fldChar w:fldCharType="end"/>
      </w:r>
    </w:p>
    <w:p>
      <w:pPr>
        <w:pStyle w:val="TOC8"/>
        <w:rPr>
          <w:rFonts w:asciiTheme="minorHAnsi" w:eastAsiaTheme="minorEastAsia" w:hAnsiTheme="minorHAnsi" w:cstheme="minorBidi"/>
          <w:szCs w:val="22"/>
        </w:rPr>
      </w:pPr>
      <w:r>
        <w:t>24AD.</w:t>
      </w:r>
      <w:r>
        <w:tab/>
        <w:t>Requirements when inviting persons to apply to join panel of pre</w:t>
      </w:r>
      <w:r>
        <w:noBreakHyphen/>
        <w:t>qualified suppliers</w:t>
      </w:r>
      <w:r>
        <w:tab/>
      </w:r>
      <w:r>
        <w:fldChar w:fldCharType="begin"/>
      </w:r>
      <w:r>
        <w:instrText xml:space="preserve"> PAGEREF _Toc38031123 \h </w:instrText>
      </w:r>
      <w:r>
        <w:fldChar w:fldCharType="separate"/>
      </w:r>
      <w:r>
        <w:t>24</w:t>
      </w:r>
      <w:r>
        <w:fldChar w:fldCharType="end"/>
      </w:r>
    </w:p>
    <w:p>
      <w:pPr>
        <w:pStyle w:val="TOC8"/>
        <w:rPr>
          <w:rFonts w:asciiTheme="minorHAnsi" w:eastAsiaTheme="minorEastAsia" w:hAnsiTheme="minorHAnsi" w:cstheme="minorBidi"/>
          <w:szCs w:val="22"/>
        </w:rPr>
      </w:pPr>
      <w:r>
        <w:t>24AE.</w:t>
      </w:r>
      <w:r>
        <w:tab/>
        <w:t>Minimum time to be allowed for submitting application to join panel of pre</w:t>
      </w:r>
      <w:r>
        <w:noBreakHyphen/>
        <w:t>qualified suppliers</w:t>
      </w:r>
      <w:r>
        <w:tab/>
      </w:r>
      <w:r>
        <w:fldChar w:fldCharType="begin"/>
      </w:r>
      <w:r>
        <w:instrText xml:space="preserve"> PAGEREF _Toc38031124 \h </w:instrText>
      </w:r>
      <w:r>
        <w:fldChar w:fldCharType="separate"/>
      </w:r>
      <w:r>
        <w:t>26</w:t>
      </w:r>
      <w:r>
        <w:fldChar w:fldCharType="end"/>
      </w:r>
    </w:p>
    <w:p>
      <w:pPr>
        <w:pStyle w:val="TOC8"/>
        <w:rPr>
          <w:rFonts w:asciiTheme="minorHAnsi" w:eastAsiaTheme="minorEastAsia" w:hAnsiTheme="minorHAnsi" w:cstheme="minorBidi"/>
          <w:szCs w:val="22"/>
        </w:rPr>
      </w:pPr>
      <w:r>
        <w:t>24AF.</w:t>
      </w:r>
      <w:r>
        <w:tab/>
        <w:t>Procedure for receiving and opening applications</w:t>
      </w:r>
      <w:r>
        <w:tab/>
      </w:r>
      <w:r>
        <w:fldChar w:fldCharType="begin"/>
      </w:r>
      <w:r>
        <w:instrText xml:space="preserve"> PAGEREF _Toc38031125 \h </w:instrText>
      </w:r>
      <w:r>
        <w:fldChar w:fldCharType="separate"/>
      </w:r>
      <w:r>
        <w:t>26</w:t>
      </w:r>
      <w:r>
        <w:fldChar w:fldCharType="end"/>
      </w:r>
    </w:p>
    <w:p>
      <w:pPr>
        <w:pStyle w:val="TOC8"/>
        <w:rPr>
          <w:rFonts w:asciiTheme="minorHAnsi" w:eastAsiaTheme="minorEastAsia" w:hAnsiTheme="minorHAnsi" w:cstheme="minorBidi"/>
          <w:szCs w:val="22"/>
        </w:rPr>
      </w:pPr>
      <w:r>
        <w:t>24AG.</w:t>
      </w:r>
      <w:r>
        <w:tab/>
        <w:t>Information about panels of pre</w:t>
      </w:r>
      <w:r>
        <w:noBreakHyphen/>
        <w:t>qualified suppliers to be included in tenders register</w:t>
      </w:r>
      <w:r>
        <w:tab/>
      </w:r>
      <w:r>
        <w:fldChar w:fldCharType="begin"/>
      </w:r>
      <w:r>
        <w:instrText xml:space="preserve"> PAGEREF _Toc38031126 \h </w:instrText>
      </w:r>
      <w:r>
        <w:fldChar w:fldCharType="separate"/>
      </w:r>
      <w:r>
        <w:t>26</w:t>
      </w:r>
      <w:r>
        <w:fldChar w:fldCharType="end"/>
      </w:r>
    </w:p>
    <w:p>
      <w:pPr>
        <w:pStyle w:val="TOC8"/>
        <w:rPr>
          <w:rFonts w:asciiTheme="minorHAnsi" w:eastAsiaTheme="minorEastAsia" w:hAnsiTheme="minorHAnsi" w:cstheme="minorBidi"/>
          <w:szCs w:val="22"/>
        </w:rPr>
      </w:pPr>
      <w:r>
        <w:t>24AH.</w:t>
      </w:r>
      <w:r>
        <w:tab/>
        <w:t>Rejecting and accepting applications to join panel of pre</w:t>
      </w:r>
      <w:r>
        <w:noBreakHyphen/>
        <w:t>qualified suppliers</w:t>
      </w:r>
      <w:r>
        <w:tab/>
      </w:r>
      <w:r>
        <w:fldChar w:fldCharType="begin"/>
      </w:r>
      <w:r>
        <w:instrText xml:space="preserve"> PAGEREF _Toc38031127 \h </w:instrText>
      </w:r>
      <w:r>
        <w:fldChar w:fldCharType="separate"/>
      </w:r>
      <w:r>
        <w:t>27</w:t>
      </w:r>
      <w:r>
        <w:fldChar w:fldCharType="end"/>
      </w:r>
    </w:p>
    <w:p>
      <w:pPr>
        <w:pStyle w:val="TOC8"/>
        <w:rPr>
          <w:rFonts w:asciiTheme="minorHAnsi" w:eastAsiaTheme="minorEastAsia" w:hAnsiTheme="minorHAnsi" w:cstheme="minorBidi"/>
          <w:szCs w:val="22"/>
        </w:rPr>
      </w:pPr>
      <w:r>
        <w:t>24AI.</w:t>
      </w:r>
      <w:r>
        <w:tab/>
        <w:t>Applicants to be notified of outcome</w:t>
      </w:r>
      <w:r>
        <w:tab/>
      </w:r>
      <w:r>
        <w:fldChar w:fldCharType="begin"/>
      </w:r>
      <w:r>
        <w:instrText xml:space="preserve"> PAGEREF _Toc38031128 \h </w:instrText>
      </w:r>
      <w:r>
        <w:fldChar w:fldCharType="separate"/>
      </w:r>
      <w:r>
        <w:t>27</w:t>
      </w:r>
      <w:r>
        <w:fldChar w:fldCharType="end"/>
      </w:r>
    </w:p>
    <w:p>
      <w:pPr>
        <w:pStyle w:val="TOC8"/>
        <w:rPr>
          <w:rFonts w:asciiTheme="minorHAnsi" w:eastAsiaTheme="minorEastAsia" w:hAnsiTheme="minorHAnsi" w:cstheme="minorBidi"/>
          <w:szCs w:val="22"/>
        </w:rPr>
      </w:pPr>
      <w:r>
        <w:t>24AJ.</w:t>
      </w:r>
      <w:r>
        <w:tab/>
        <w:t>Contracts with pre</w:t>
      </w:r>
      <w:r>
        <w:noBreakHyphen/>
        <w:t>qualified suppliers</w:t>
      </w:r>
      <w:r>
        <w:tab/>
      </w:r>
      <w:r>
        <w:fldChar w:fldCharType="begin"/>
      </w:r>
      <w:r>
        <w:instrText xml:space="preserve"> PAGEREF _Toc38031129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4A — Regional price preference</w:t>
      </w:r>
    </w:p>
    <w:p>
      <w:pPr>
        <w:pStyle w:val="TOC8"/>
        <w:rPr>
          <w:rFonts w:asciiTheme="minorHAnsi" w:eastAsiaTheme="minorEastAsia" w:hAnsiTheme="minorHAnsi" w:cstheme="minorBidi"/>
          <w:szCs w:val="22"/>
        </w:rPr>
      </w:pPr>
      <w:r>
        <w:t>24A.</w:t>
      </w:r>
      <w:r>
        <w:tab/>
        <w:t>Application of this Part</w:t>
      </w:r>
      <w:r>
        <w:tab/>
      </w:r>
      <w:r>
        <w:fldChar w:fldCharType="begin"/>
      </w:r>
      <w:r>
        <w:instrText xml:space="preserve"> PAGEREF _Toc38031131 \h </w:instrText>
      </w:r>
      <w:r>
        <w:fldChar w:fldCharType="separate"/>
      </w:r>
      <w:r>
        <w:t>29</w:t>
      </w:r>
      <w:r>
        <w:fldChar w:fldCharType="end"/>
      </w:r>
    </w:p>
    <w:p>
      <w:pPr>
        <w:pStyle w:val="TOC8"/>
        <w:rPr>
          <w:rFonts w:asciiTheme="minorHAnsi" w:eastAsiaTheme="minorEastAsia" w:hAnsiTheme="minorHAnsi" w:cstheme="minorBidi"/>
          <w:szCs w:val="22"/>
        </w:rPr>
      </w:pPr>
      <w:r>
        <w:t>24B.</w:t>
      </w:r>
      <w:r>
        <w:tab/>
        <w:t>Terms used</w:t>
      </w:r>
      <w:r>
        <w:tab/>
      </w:r>
      <w:r>
        <w:fldChar w:fldCharType="begin"/>
      </w:r>
      <w:r>
        <w:instrText xml:space="preserve"> PAGEREF _Toc38031132 \h </w:instrText>
      </w:r>
      <w:r>
        <w:fldChar w:fldCharType="separate"/>
      </w:r>
      <w:r>
        <w:t>29</w:t>
      </w:r>
      <w:r>
        <w:fldChar w:fldCharType="end"/>
      </w:r>
    </w:p>
    <w:p>
      <w:pPr>
        <w:pStyle w:val="TOC8"/>
        <w:rPr>
          <w:rFonts w:asciiTheme="minorHAnsi" w:eastAsiaTheme="minorEastAsia" w:hAnsiTheme="minorHAnsi" w:cstheme="minorBidi"/>
          <w:szCs w:val="22"/>
        </w:rPr>
      </w:pPr>
      <w:r>
        <w:t>24C.</w:t>
      </w:r>
      <w:r>
        <w:tab/>
        <w:t>Regional price preference may be given</w:t>
      </w:r>
      <w:r>
        <w:tab/>
      </w:r>
      <w:r>
        <w:fldChar w:fldCharType="begin"/>
      </w:r>
      <w:r>
        <w:instrText xml:space="preserve"> PAGEREF _Toc38031133 \h </w:instrText>
      </w:r>
      <w:r>
        <w:fldChar w:fldCharType="separate"/>
      </w:r>
      <w:r>
        <w:t>29</w:t>
      </w:r>
      <w:r>
        <w:fldChar w:fldCharType="end"/>
      </w:r>
    </w:p>
    <w:p>
      <w:pPr>
        <w:pStyle w:val="TOC8"/>
        <w:rPr>
          <w:rFonts w:asciiTheme="minorHAnsi" w:eastAsiaTheme="minorEastAsia" w:hAnsiTheme="minorHAnsi" w:cstheme="minorBidi"/>
          <w:szCs w:val="22"/>
        </w:rPr>
      </w:pPr>
      <w:r>
        <w:t>24D.</w:t>
      </w:r>
      <w:r>
        <w:tab/>
        <w:t>Discounts permitted for regional price preferences</w:t>
      </w:r>
      <w:r>
        <w:tab/>
      </w:r>
      <w:r>
        <w:fldChar w:fldCharType="begin"/>
      </w:r>
      <w:r>
        <w:instrText xml:space="preserve"> PAGEREF _Toc38031134 \h </w:instrText>
      </w:r>
      <w:r>
        <w:fldChar w:fldCharType="separate"/>
      </w:r>
      <w:r>
        <w:t>30</w:t>
      </w:r>
      <w:r>
        <w:fldChar w:fldCharType="end"/>
      </w:r>
    </w:p>
    <w:p>
      <w:pPr>
        <w:pStyle w:val="TOC8"/>
        <w:rPr>
          <w:rFonts w:asciiTheme="minorHAnsi" w:eastAsiaTheme="minorEastAsia" w:hAnsiTheme="minorHAnsi" w:cstheme="minorBidi"/>
          <w:szCs w:val="22"/>
        </w:rPr>
      </w:pPr>
      <w:r>
        <w:t>24E.</w:t>
      </w:r>
      <w:r>
        <w:tab/>
        <w:t>Regional price preference policies for local governments</w:t>
      </w:r>
      <w:r>
        <w:tab/>
      </w:r>
      <w:r>
        <w:fldChar w:fldCharType="begin"/>
      </w:r>
      <w:r>
        <w:instrText xml:space="preserve"> PAGEREF _Toc38031135 \h </w:instrText>
      </w:r>
      <w:r>
        <w:fldChar w:fldCharType="separate"/>
      </w:r>
      <w:r>
        <w:t>31</w:t>
      </w:r>
      <w:r>
        <w:fldChar w:fldCharType="end"/>
      </w:r>
    </w:p>
    <w:p>
      <w:pPr>
        <w:pStyle w:val="TOC8"/>
        <w:rPr>
          <w:rFonts w:asciiTheme="minorHAnsi" w:eastAsiaTheme="minorEastAsia" w:hAnsiTheme="minorHAnsi" w:cstheme="minorBidi"/>
          <w:szCs w:val="22"/>
        </w:rPr>
      </w:pPr>
      <w:r>
        <w:t>24F.</w:t>
      </w:r>
      <w:r>
        <w:tab/>
        <w:t>Adoption and notice of regional price preference policy</w:t>
      </w:r>
      <w:r>
        <w:tab/>
      </w:r>
      <w:r>
        <w:fldChar w:fldCharType="begin"/>
      </w:r>
      <w:r>
        <w:instrText xml:space="preserve"> PAGEREF _Toc38031136 \h </w:instrText>
      </w:r>
      <w:r>
        <w:fldChar w:fldCharType="separate"/>
      </w:r>
      <w:r>
        <w:t>32</w:t>
      </w:r>
      <w:r>
        <w:fldChar w:fldCharType="end"/>
      </w:r>
    </w:p>
    <w:p>
      <w:pPr>
        <w:pStyle w:val="TOC8"/>
        <w:rPr>
          <w:rFonts w:asciiTheme="minorHAnsi" w:eastAsiaTheme="minorEastAsia" w:hAnsiTheme="minorHAnsi" w:cstheme="minorBidi"/>
          <w:szCs w:val="22"/>
        </w:rPr>
      </w:pPr>
      <w:r>
        <w:t>24G.</w:t>
      </w:r>
      <w:r>
        <w:tab/>
        <w:t>Adopted regional price preference policy, effect of</w:t>
      </w:r>
      <w:r>
        <w:tab/>
      </w:r>
      <w:r>
        <w:fldChar w:fldCharType="begin"/>
      </w:r>
      <w:r>
        <w:instrText xml:space="preserve"> PAGEREF _Toc38031137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Owner onus and infringement notices</w:t>
      </w:r>
    </w:p>
    <w:p>
      <w:pPr>
        <w:pStyle w:val="TOC8"/>
        <w:rPr>
          <w:rFonts w:asciiTheme="minorHAnsi" w:eastAsiaTheme="minorEastAsia" w:hAnsiTheme="minorHAnsi" w:cstheme="minorBidi"/>
          <w:szCs w:val="22"/>
        </w:rPr>
      </w:pPr>
      <w:r>
        <w:t>25</w:t>
      </w:r>
      <w:r>
        <w:rPr>
          <w:snapToGrid w:val="0"/>
        </w:rPr>
        <w:t>.</w:t>
      </w:r>
      <w:r>
        <w:rPr>
          <w:snapToGrid w:val="0"/>
        </w:rPr>
        <w:tab/>
        <w:t>Notice to put onus on vehicle owner, form of (Act s. 9.13)</w:t>
      </w:r>
      <w:r>
        <w:tab/>
      </w:r>
      <w:r>
        <w:fldChar w:fldCharType="begin"/>
      </w:r>
      <w:r>
        <w:instrText xml:space="preserve"> PAGEREF _Toc38031139 \h </w:instrText>
      </w:r>
      <w:r>
        <w:fldChar w:fldCharType="separate"/>
      </w:r>
      <w:r>
        <w:t>34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Infringement notice, form of (Act s. 9.16)</w:t>
      </w:r>
      <w:r>
        <w:tab/>
      </w:r>
      <w:r>
        <w:fldChar w:fldCharType="begin"/>
      </w:r>
      <w:r>
        <w:instrText xml:space="preserve"> PAGEREF _Toc38031140 \h </w:instrText>
      </w:r>
      <w:r>
        <w:fldChar w:fldCharType="separate"/>
      </w:r>
      <w:r>
        <w:t>34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Withdrawal of infringement notice, form of (Act s. 9.20)</w:t>
      </w:r>
      <w:r>
        <w:tab/>
      </w:r>
      <w:r>
        <w:fldChar w:fldCharType="begin"/>
      </w:r>
      <w:r>
        <w:instrText xml:space="preserve"> PAGEREF _Toc38031141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6 — Miscellaneous</w:t>
      </w:r>
    </w:p>
    <w:p>
      <w:pPr>
        <w:pStyle w:val="TOC8"/>
        <w:rPr>
          <w:rFonts w:asciiTheme="minorHAnsi" w:eastAsiaTheme="minorEastAsia" w:hAnsiTheme="minorHAnsi" w:cstheme="minorBidi"/>
          <w:szCs w:val="22"/>
        </w:rPr>
      </w:pPr>
      <w:r>
        <w:t>29</w:t>
      </w:r>
      <w:r>
        <w:rPr>
          <w:snapToGrid w:val="0"/>
        </w:rPr>
        <w:t>.</w:t>
      </w:r>
      <w:r>
        <w:rPr>
          <w:snapToGrid w:val="0"/>
        </w:rPr>
        <w:tab/>
        <w:t>Contraventions that may lead to impounding of goods (Act s. </w:t>
      </w:r>
      <w:r>
        <w:t>3</w:t>
      </w:r>
      <w:r>
        <w:rPr>
          <w:snapToGrid w:val="0"/>
        </w:rPr>
        <w:t>.37)</w:t>
      </w:r>
      <w:r>
        <w:tab/>
      </w:r>
      <w:r>
        <w:fldChar w:fldCharType="begin"/>
      </w:r>
      <w:r>
        <w:instrText xml:space="preserve"> PAGEREF _Toc38031143 \h </w:instrText>
      </w:r>
      <w:r>
        <w:fldChar w:fldCharType="separate"/>
      </w:r>
      <w:r>
        <w:t>35</w:t>
      </w:r>
      <w:r>
        <w:fldChar w:fldCharType="end"/>
      </w:r>
    </w:p>
    <w:p>
      <w:pPr>
        <w:pStyle w:val="TOC8"/>
        <w:rPr>
          <w:rFonts w:asciiTheme="minorHAnsi" w:eastAsiaTheme="minorEastAsia" w:hAnsiTheme="minorHAnsi" w:cstheme="minorBidi"/>
          <w:szCs w:val="22"/>
        </w:rPr>
      </w:pPr>
      <w:r>
        <w:t>29A.</w:t>
      </w:r>
      <w:r>
        <w:tab/>
        <w:t xml:space="preserve">Abandoned vehicle wrecks, value etc. prescribed for </w:t>
      </w:r>
      <w:r>
        <w:rPr>
          <w:snapToGrid w:val="0"/>
        </w:rPr>
        <w:t>(Act </w:t>
      </w:r>
      <w:r>
        <w:t>s. 3.40A(5)(c))</w:t>
      </w:r>
      <w:r>
        <w:tab/>
      </w:r>
      <w:r>
        <w:fldChar w:fldCharType="begin"/>
      </w:r>
      <w:r>
        <w:instrText xml:space="preserve"> PAGEREF _Toc38031144 \h </w:instrText>
      </w:r>
      <w:r>
        <w:fldChar w:fldCharType="separate"/>
      </w:r>
      <w:r>
        <w:t>35</w:t>
      </w:r>
      <w:r>
        <w:fldChar w:fldCharType="end"/>
      </w:r>
    </w:p>
    <w:p>
      <w:pPr>
        <w:pStyle w:val="TOC8"/>
        <w:rPr>
          <w:rFonts w:asciiTheme="minorHAnsi" w:eastAsiaTheme="minorEastAsia" w:hAnsiTheme="minorHAnsi" w:cstheme="minorBidi"/>
          <w:szCs w:val="22"/>
        </w:rPr>
      </w:pPr>
      <w:r>
        <w:t>29B.</w:t>
      </w:r>
      <w:r>
        <w:tab/>
        <w:t>Prescribed non</w:t>
      </w:r>
      <w:r>
        <w:noBreakHyphen/>
        <w:t xml:space="preserve">perishable goods </w:t>
      </w:r>
      <w:r>
        <w:rPr>
          <w:snapToGrid w:val="0"/>
        </w:rPr>
        <w:t>(Act </w:t>
      </w:r>
      <w:r>
        <w:t>s. 3.47(2b)(ca))</w:t>
      </w:r>
      <w:r>
        <w:tab/>
      </w:r>
      <w:r>
        <w:fldChar w:fldCharType="begin"/>
      </w:r>
      <w:r>
        <w:instrText xml:space="preserve"> PAGEREF _Toc38031145 \h </w:instrText>
      </w:r>
      <w:r>
        <w:fldChar w:fldCharType="separate"/>
      </w:r>
      <w:r>
        <w:t>36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Dispositions of property excluded from Act s. 3.58</w:t>
      </w:r>
      <w:r>
        <w:tab/>
      </w:r>
      <w:r>
        <w:fldChar w:fldCharType="begin"/>
      </w:r>
      <w:r>
        <w:instrText xml:space="preserve"> PAGEREF _Toc38031146 \h </w:instrText>
      </w:r>
      <w:r>
        <w:fldChar w:fldCharType="separate"/>
      </w:r>
      <w:r>
        <w:t>36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Anti</w:t>
      </w:r>
      <w:r>
        <w:rPr>
          <w:snapToGrid w:val="0"/>
        </w:rPr>
        <w:noBreakHyphen/>
        <w:t>avoidance provision for Act s. 3.58</w:t>
      </w:r>
      <w:r>
        <w:tab/>
      </w:r>
      <w:r>
        <w:fldChar w:fldCharType="begin"/>
      </w:r>
      <w:r>
        <w:instrText xml:space="preserve"> PAGEREF _Toc38031147 \h </w:instrText>
      </w:r>
      <w:r>
        <w:fldChar w:fldCharType="separate"/>
      </w:r>
      <w:r>
        <w:t>38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Local government permitted to form incorporated association (Act s. </w:t>
      </w:r>
      <w:r>
        <w:t>3</w:t>
      </w:r>
      <w:r>
        <w:rPr>
          <w:snapToGrid w:val="0"/>
        </w:rPr>
        <w:t>.60)</w:t>
      </w:r>
      <w:r>
        <w:tab/>
      </w:r>
      <w:r>
        <w:fldChar w:fldCharType="begin"/>
      </w:r>
      <w:r>
        <w:instrText xml:space="preserve"> PAGEREF _Toc38031148 \h </w:instrText>
      </w:r>
      <w:r>
        <w:fldChar w:fldCharType="separate"/>
      </w:r>
      <w:r>
        <w:t>39</w:t>
      </w:r>
      <w:r>
        <w:fldChar w:fldCharType="end"/>
      </w:r>
    </w:p>
    <w:p>
      <w:pPr>
        <w:pStyle w:val="TOC8"/>
        <w:rPr>
          <w:rFonts w:asciiTheme="minorHAnsi" w:eastAsiaTheme="minorEastAsia" w:hAnsiTheme="minorHAnsi" w:cstheme="minorBidi"/>
          <w:szCs w:val="22"/>
        </w:rPr>
      </w:pPr>
      <w:r>
        <w:t>32A.</w:t>
      </w:r>
      <w:r>
        <w:tab/>
        <w:t xml:space="preserve">Excluded authorisations </w:t>
      </w:r>
      <w:r>
        <w:rPr>
          <w:snapToGrid w:val="0"/>
        </w:rPr>
        <w:t>(Act </w:t>
      </w:r>
      <w:r>
        <w:t>s. 9.2)</w:t>
      </w:r>
      <w:r>
        <w:tab/>
      </w:r>
      <w:r>
        <w:fldChar w:fldCharType="begin"/>
      </w:r>
      <w:r>
        <w:instrText xml:space="preserve"> PAGEREF _Toc38031149 \h </w:instrText>
      </w:r>
      <w:r>
        <w:fldChar w:fldCharType="separate"/>
      </w:r>
      <w:r>
        <w:t>39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Objections to decisions, form of etc. prescribed (Act s. 9.5)</w:t>
      </w:r>
      <w:r>
        <w:tab/>
      </w:r>
      <w:r>
        <w:fldChar w:fldCharType="begin"/>
      </w:r>
      <w:r>
        <w:instrText xml:space="preserve"> PAGEREF _Toc38031150 \h </w:instrText>
      </w:r>
      <w:r>
        <w:fldChar w:fldCharType="separate"/>
      </w:r>
      <w:r>
        <w:t>40</w:t>
      </w:r>
      <w:r>
        <w:fldChar w:fldCharType="end"/>
      </w:r>
    </w:p>
    <w:p>
      <w:pPr>
        <w:pStyle w:val="TOC8"/>
        <w:rPr>
          <w:rFonts w:asciiTheme="minorHAnsi" w:eastAsiaTheme="minorEastAsia" w:hAnsiTheme="minorHAnsi" w:cstheme="minorBidi"/>
          <w:szCs w:val="22"/>
        </w:rPr>
      </w:pPr>
      <w:r>
        <w:t>34.</w:t>
      </w:r>
      <w:r>
        <w:tab/>
        <w:t>Common seal, unauthorised use of</w:t>
      </w:r>
      <w:r>
        <w:tab/>
      </w:r>
      <w:r>
        <w:fldChar w:fldCharType="begin"/>
      </w:r>
      <w:r>
        <w:instrText xml:space="preserve"> PAGEREF _Toc38031151 \h </w:instrText>
      </w:r>
      <w:r>
        <w:fldChar w:fldCharType="separate"/>
      </w:r>
      <w:r>
        <w:t>40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Certain persons protected from liability for wrongdoing (Act s. </w:t>
      </w:r>
      <w:r>
        <w:t>9</w:t>
      </w:r>
      <w:r>
        <w:rPr>
          <w:snapToGrid w:val="0"/>
        </w:rPr>
        <w:t>.56(1)(c))</w:t>
      </w:r>
      <w:r>
        <w:tab/>
      </w:r>
      <w:r>
        <w:fldChar w:fldCharType="begin"/>
      </w:r>
      <w:r>
        <w:instrText xml:space="preserve"> PAGEREF _Toc38031152 \h </w:instrText>
      </w:r>
      <w:r>
        <w:fldChar w:fldCharType="separate"/>
      </w:r>
      <w:r>
        <w:t>40</w:t>
      </w:r>
      <w:r>
        <w:fldChar w:fldCharType="end"/>
      </w:r>
    </w:p>
    <w:p>
      <w:pPr>
        <w:pStyle w:val="TOC8"/>
        <w:rPr>
          <w:rFonts w:asciiTheme="minorHAnsi" w:eastAsiaTheme="minorEastAsia" w:hAnsiTheme="minorHAnsi" w:cstheme="minorBidi"/>
          <w:szCs w:val="22"/>
        </w:rPr>
      </w:pPr>
      <w:r>
        <w:t>35A.</w:t>
      </w:r>
      <w:r>
        <w:tab/>
        <w:t xml:space="preserve">Delegable functions of Minister </w:t>
      </w:r>
      <w:r>
        <w:rPr>
          <w:snapToGrid w:val="0"/>
        </w:rPr>
        <w:t>(Act </w:t>
      </w:r>
      <w:r>
        <w:t>s. 9.66)</w:t>
      </w:r>
      <w:r>
        <w:tab/>
      </w:r>
      <w:r>
        <w:fldChar w:fldCharType="begin"/>
      </w:r>
      <w:r>
        <w:instrText xml:space="preserve"> PAGEREF _Toc38031153 \h </w:instrText>
      </w:r>
      <w:r>
        <w:fldChar w:fldCharType="separate"/>
      </w:r>
      <w:r>
        <w:t>41</w:t>
      </w:r>
      <w:r>
        <w:fldChar w:fldCharType="end"/>
      </w:r>
    </w:p>
    <w:p>
      <w:pPr>
        <w:pStyle w:val="TOC8"/>
        <w:rPr>
          <w:rFonts w:asciiTheme="minorHAnsi" w:eastAsiaTheme="minorEastAsia" w:hAnsiTheme="minorHAnsi" w:cstheme="minorBidi"/>
          <w:szCs w:val="22"/>
        </w:rPr>
      </w:pPr>
      <w:r>
        <w:t>35B.</w:t>
      </w:r>
      <w:r>
        <w:tab/>
        <w:t>Delegable functions of Departmental CEO (Act s. 9.67)</w:t>
      </w:r>
      <w:r>
        <w:tab/>
      </w:r>
      <w:r>
        <w:fldChar w:fldCharType="begin"/>
      </w:r>
      <w:r>
        <w:instrText xml:space="preserve"> PAGEREF _Toc38031154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to enter, form of (Act s. 3.33(1) and 8.8(1))</w:t>
      </w:r>
      <w:r>
        <w:tab/>
      </w:r>
      <w:r>
        <w:fldChar w:fldCharType="begin"/>
      </w:r>
      <w:r>
        <w:instrText xml:space="preserve"> PAGEREF _Toc38031155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Other transitional provisions</w:t>
      </w:r>
    </w:p>
    <w:p>
      <w:pPr>
        <w:pStyle w:val="TOC8"/>
        <w:rPr>
          <w:rFonts w:asciiTheme="minorHAnsi" w:eastAsiaTheme="minorEastAsia" w:hAnsiTheme="minorHAnsi" w:cstheme="minorBidi"/>
          <w:szCs w:val="22"/>
        </w:rPr>
      </w:pPr>
      <w:r>
        <w:t>38.</w:t>
      </w:r>
      <w:r>
        <w:rPr>
          <w:snapToGrid w:val="0"/>
        </w:rPr>
        <w:tab/>
        <w:t>Adopting former model by</w:t>
      </w:r>
      <w:r>
        <w:rPr>
          <w:snapToGrid w:val="0"/>
        </w:rPr>
        <w:noBreakHyphen/>
        <w:t>laws as local laws (Act s. 3.8(2) and (3))</w:t>
      </w:r>
      <w:r>
        <w:tab/>
      </w:r>
      <w:r>
        <w:fldChar w:fldCharType="begin"/>
      </w:r>
      <w:r>
        <w:instrText xml:space="preserve"> PAGEREF _Toc38031157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Forms</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_Toc38031160 \h </w:instrText>
      </w:r>
      <w:r>
        <w:fldChar w:fldCharType="separate"/>
      </w:r>
      <w:r>
        <w:t>50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_Toc38031161 \h </w:instrText>
      </w:r>
      <w:r>
        <w:fldChar w:fldCharType="separate"/>
      </w:r>
      <w:r>
        <w:t>52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_Toc38031162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Local Government Act 1995</w:t>
      </w:r>
    </w:p>
    <w:p>
      <w:pPr>
        <w:pStyle w:val="NameofActReg"/>
      </w:pPr>
      <w:r>
        <w:t>Local Government (Functions and General) Regulations 1996</w:t>
      </w:r>
    </w:p>
    <w:p>
      <w:pPr>
        <w:pStyle w:val="Heading2"/>
        <w:pageBreakBefore w:val="0"/>
        <w:spacing w:before="480"/>
      </w:pPr>
      <w:bookmarkStart w:id="3" w:name="_Toc38029421"/>
      <w:bookmarkStart w:id="4" w:name="_Toc38029501"/>
      <w:bookmarkStart w:id="5" w:name="_Toc38030885"/>
      <w:bookmarkStart w:id="6" w:name="_Toc3803108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8031085"/>
      <w:r>
        <w:rPr>
          <w:rStyle w:val="CharSectno"/>
        </w:rPr>
        <w:t>1</w:t>
      </w:r>
      <w:r>
        <w:rPr>
          <w:snapToGrid w:val="0"/>
        </w:rPr>
        <w:t>.</w:t>
      </w:r>
      <w:r>
        <w:rPr>
          <w:snapToGrid w:val="0"/>
        </w:rPr>
        <w:tab/>
        <w:t>Citation</w:t>
      </w:r>
      <w:bookmarkEnd w:id="7"/>
    </w:p>
    <w:p>
      <w:pPr>
        <w:pStyle w:val="Subsection"/>
        <w:rPr>
          <w:i/>
          <w:snapToGrid w:val="0"/>
        </w:rPr>
      </w:pPr>
      <w:r>
        <w:rPr>
          <w:snapToGrid w:val="0"/>
        </w:rPr>
        <w:tab/>
      </w:r>
      <w:r>
        <w:rPr>
          <w:snapToGrid w:val="0"/>
        </w:rPr>
        <w:tab/>
        <w:t xml:space="preserve">These regulations may be cited as the </w:t>
      </w:r>
      <w:r>
        <w:rPr>
          <w:i/>
          <w:snapToGrid w:val="0"/>
        </w:rPr>
        <w:t>Local Government (Functions and General) Regulations 1996</w:t>
      </w:r>
      <w:r>
        <w:rPr>
          <w:snapToGrid w:val="0"/>
        </w:rPr>
        <w:t>.</w:t>
      </w:r>
    </w:p>
    <w:p>
      <w:pPr>
        <w:pStyle w:val="Heading5"/>
        <w:rPr>
          <w:snapToGrid w:val="0"/>
        </w:rPr>
      </w:pPr>
      <w:bookmarkStart w:id="8" w:name="_Toc38031086"/>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These regulations come into operation on 1 July 1996.</w:t>
      </w:r>
    </w:p>
    <w:p>
      <w:pPr>
        <w:pStyle w:val="Heading2"/>
      </w:pPr>
      <w:bookmarkStart w:id="9" w:name="_Toc38029424"/>
      <w:bookmarkStart w:id="10" w:name="_Toc38029504"/>
      <w:bookmarkStart w:id="11" w:name="_Toc38030888"/>
      <w:bookmarkStart w:id="12" w:name="_Toc38031087"/>
      <w:r>
        <w:rPr>
          <w:rStyle w:val="CharPartNo"/>
        </w:rPr>
        <w:t>Part 1A</w:t>
      </w:r>
      <w:r>
        <w:rPr>
          <w:rStyle w:val="CharDivNo"/>
        </w:rPr>
        <w:t> </w:t>
      </w:r>
      <w:r>
        <w:rPr>
          <w:rStyle w:val="CharPartNo"/>
        </w:rPr>
        <w:t>—</w:t>
      </w:r>
      <w:r>
        <w:rPr>
          <w:rStyle w:val="CharDivText"/>
        </w:rPr>
        <w:t> </w:t>
      </w:r>
      <w:r>
        <w:rPr>
          <w:rStyle w:val="CharPartText"/>
        </w:rPr>
        <w:t>Local laws</w:t>
      </w:r>
      <w:bookmarkEnd w:id="9"/>
      <w:bookmarkEnd w:id="10"/>
      <w:bookmarkEnd w:id="11"/>
      <w:bookmarkEnd w:id="12"/>
    </w:p>
    <w:p>
      <w:pPr>
        <w:pStyle w:val="Footnoteheading"/>
      </w:pPr>
      <w:r>
        <w:tab/>
        <w:t>[Heading inserted: Gazette 11 Sep 1998 p. 4927.]</w:t>
      </w:r>
    </w:p>
    <w:p>
      <w:pPr>
        <w:pStyle w:val="Heading5"/>
      </w:pPr>
      <w:bookmarkStart w:id="13" w:name="_Toc38031088"/>
      <w:r>
        <w:rPr>
          <w:rStyle w:val="CharSectno"/>
        </w:rPr>
        <w:t>2A</w:t>
      </w:r>
      <w:r>
        <w:t>.</w:t>
      </w:r>
      <w:r>
        <w:tab/>
        <w:t>Matters about which local laws are not to be made (Act s. 3.5)</w:t>
      </w:r>
      <w:bookmarkEnd w:id="13"/>
    </w:p>
    <w:p>
      <w:pPr>
        <w:pStyle w:val="Subsection"/>
        <w:rPr>
          <w:snapToGrid w:val="0"/>
        </w:rPr>
      </w:pPr>
      <w:r>
        <w:rPr>
          <w:snapToGrid w:val="0"/>
        </w:rPr>
        <w:tab/>
      </w:r>
      <w:r>
        <w:rPr>
          <w:snapToGrid w:val="0"/>
        </w:rPr>
        <w:tab/>
        <w:t>Local laws are not to be made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Gazette 11 Sep 1998 p. 4927.]</w:t>
      </w:r>
    </w:p>
    <w:p>
      <w:pPr>
        <w:pStyle w:val="Heading5"/>
      </w:pPr>
      <w:bookmarkStart w:id="14" w:name="_Toc38031089"/>
      <w:r>
        <w:rPr>
          <w:rStyle w:val="CharSectno"/>
        </w:rPr>
        <w:t>3</w:t>
      </w:r>
      <w:r>
        <w:t>.</w:t>
      </w:r>
      <w:r>
        <w:tab/>
        <w:t xml:space="preserve">Prescribed manner of giving notice of purpose and effect of proposed local law </w:t>
      </w:r>
      <w:r>
        <w:rPr>
          <w:snapToGrid w:val="0"/>
        </w:rPr>
        <w:t>(Act </w:t>
      </w:r>
      <w:r>
        <w:t>s. 3.12(2))</w:t>
      </w:r>
      <w:bookmarkEnd w:id="14"/>
    </w:p>
    <w:p>
      <w:pPr>
        <w:pStyle w:val="Subsection"/>
      </w:pPr>
      <w:r>
        <w:tab/>
      </w:r>
      <w:r>
        <w:tab/>
        <w:t>For the purpose of section 3.12 of the Act, the person presiding at a council meeting is to give notice of the purpose and effect of a local law by ensuring that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Gazette 31 Mar 2005 p. 1057; amended: Gazette 27 Sep 2011 p. 3846.]</w:t>
      </w:r>
    </w:p>
    <w:p>
      <w:pPr>
        <w:pStyle w:val="Heading2"/>
      </w:pPr>
      <w:bookmarkStart w:id="15" w:name="_Toc38029427"/>
      <w:bookmarkStart w:id="16" w:name="_Toc38029507"/>
      <w:bookmarkStart w:id="17" w:name="_Toc38030891"/>
      <w:bookmarkStart w:id="18" w:name="_Toc38031090"/>
      <w:r>
        <w:rPr>
          <w:rStyle w:val="CharPartNo"/>
        </w:rPr>
        <w:t>Part 2</w:t>
      </w:r>
      <w:r>
        <w:rPr>
          <w:rStyle w:val="CharDivNo"/>
        </w:rPr>
        <w:t> </w:t>
      </w:r>
      <w:r>
        <w:t>—</w:t>
      </w:r>
      <w:r>
        <w:rPr>
          <w:rStyle w:val="CharDivText"/>
        </w:rPr>
        <w:t> </w:t>
      </w:r>
      <w:r>
        <w:rPr>
          <w:rStyle w:val="CharPartText"/>
        </w:rPr>
        <w:t>Thoroughfares</w:t>
      </w:r>
      <w:bookmarkEnd w:id="15"/>
      <w:bookmarkEnd w:id="16"/>
      <w:bookmarkEnd w:id="17"/>
      <w:bookmarkEnd w:id="18"/>
    </w:p>
    <w:p>
      <w:pPr>
        <w:pStyle w:val="Heading5"/>
        <w:rPr>
          <w:snapToGrid w:val="0"/>
        </w:rPr>
      </w:pPr>
      <w:bookmarkStart w:id="19" w:name="_Toc38031091"/>
      <w:r>
        <w:rPr>
          <w:rStyle w:val="CharSectno"/>
        </w:rPr>
        <w:t>4</w:t>
      </w:r>
      <w:r>
        <w:rPr>
          <w:snapToGrid w:val="0"/>
        </w:rPr>
        <w:t>.</w:t>
      </w:r>
      <w:r>
        <w:rPr>
          <w:snapToGrid w:val="0"/>
        </w:rPr>
        <w:tab/>
        <w:t>Persons prescribed to be notified of road closure (Act s. 3.50)</w:t>
      </w:r>
      <w:bookmarkEnd w:id="19"/>
    </w:p>
    <w:p>
      <w:pPr>
        <w:pStyle w:val="Subsection"/>
        <w:spacing w:before="140"/>
        <w:rPr>
          <w:snapToGrid w:val="0"/>
        </w:rPr>
      </w:pPr>
      <w:r>
        <w:rPr>
          <w:snapToGrid w:val="0"/>
        </w:rPr>
        <w:tab/>
        <w:t>(1)</w:t>
      </w:r>
      <w:r>
        <w:rPr>
          <w:snapToGrid w:val="0"/>
        </w:rPr>
        <w:tab/>
        <w:t>The persons prescribed for the purposes of section 3.50 of the Act are —</w:t>
      </w:r>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pPr>
        <w:pStyle w:val="Indenta"/>
        <w:spacing w:before="60"/>
        <w:rPr>
          <w:snapToGrid w:val="0"/>
        </w:rPr>
      </w:pPr>
      <w:r>
        <w:rPr>
          <w:snapToGrid w:val="0"/>
        </w:rPr>
        <w:tab/>
        <w:t>(b)</w:t>
      </w:r>
      <w:r>
        <w:rPr>
          <w:snapToGrid w:val="0"/>
        </w:rPr>
        <w:tab/>
        <w:t>the person having principal responsibility in the locality for ambulance services; and</w:t>
      </w:r>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20" w:name="_Toc38031092"/>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20"/>
    </w:p>
    <w:p>
      <w:pPr>
        <w:pStyle w:val="Subsection"/>
        <w:spacing w:before="140"/>
        <w:rPr>
          <w:snapToGrid w:val="0"/>
        </w:rPr>
      </w:pPr>
      <w:r>
        <w:rPr>
          <w:snapToGrid w:val="0"/>
        </w:rPr>
        <w:tab/>
      </w:r>
      <w:r>
        <w:rPr>
          <w:snapToGrid w:val="0"/>
        </w:rPr>
        <w:tab/>
        <w:t>The persons prescribed for the purposes of section 3.51 of the Act are —</w:t>
      </w:r>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21" w:name="_Toc38031093"/>
      <w:r>
        <w:rPr>
          <w:rStyle w:val="CharSectno"/>
        </w:rPr>
        <w:t>6</w:t>
      </w:r>
      <w:r>
        <w:rPr>
          <w:snapToGrid w:val="0"/>
        </w:rPr>
        <w:t>.</w:t>
      </w:r>
      <w:r>
        <w:rPr>
          <w:snapToGrid w:val="0"/>
        </w:rPr>
        <w:tab/>
        <w:t>Transitional provisions about road closures</w:t>
      </w:r>
      <w:bookmarkEnd w:id="21"/>
    </w:p>
    <w:p>
      <w:pPr>
        <w:pStyle w:val="Subsection"/>
        <w:rPr>
          <w:snapToGrid w:val="0"/>
        </w:rPr>
      </w:pPr>
      <w:r>
        <w:rPr>
          <w:snapToGrid w:val="0"/>
        </w:rPr>
        <w:tab/>
        <w:t>(1)</w:t>
      </w:r>
      <w:r>
        <w:rPr>
          <w:snapToGrid w:val="0"/>
        </w:rPr>
        <w:tab/>
        <w:t>If, when the Act comes into operation, a thoroughfare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1</w:t>
      </w:r>
      <w:r>
        <w:t>.</w:t>
      </w:r>
    </w:p>
    <w:p>
      <w:pPr>
        <w:pStyle w:val="Heading2"/>
      </w:pPr>
      <w:bookmarkStart w:id="22" w:name="_Toc38029431"/>
      <w:bookmarkStart w:id="23" w:name="_Toc38029511"/>
      <w:bookmarkStart w:id="24" w:name="_Toc38030895"/>
      <w:bookmarkStart w:id="25" w:name="_Toc38031094"/>
      <w:r>
        <w:rPr>
          <w:rStyle w:val="CharPartNo"/>
        </w:rPr>
        <w:t>Part 3</w:t>
      </w:r>
      <w:r>
        <w:rPr>
          <w:rStyle w:val="CharDivNo"/>
        </w:rPr>
        <w:t> </w:t>
      </w:r>
      <w:r>
        <w:t>—</w:t>
      </w:r>
      <w:r>
        <w:rPr>
          <w:rStyle w:val="CharDivText"/>
        </w:rPr>
        <w:t> </w:t>
      </w:r>
      <w:r>
        <w:rPr>
          <w:rStyle w:val="CharPartText"/>
        </w:rPr>
        <w:t>Commercial enterprises by local governments (s. 3.59)</w:t>
      </w:r>
      <w:bookmarkEnd w:id="22"/>
      <w:bookmarkEnd w:id="23"/>
      <w:bookmarkEnd w:id="24"/>
      <w:bookmarkEnd w:id="25"/>
    </w:p>
    <w:p>
      <w:pPr>
        <w:pStyle w:val="Heading5"/>
      </w:pPr>
      <w:bookmarkStart w:id="26" w:name="_Toc38031095"/>
      <w:r>
        <w:rPr>
          <w:rStyle w:val="CharSectno"/>
        </w:rPr>
        <w:t>7</w:t>
      </w:r>
      <w:r>
        <w:t>.</w:t>
      </w:r>
      <w:r>
        <w:tab/>
        <w:t>Term used: major regional centre</w:t>
      </w:r>
      <w:bookmarkEnd w:id="26"/>
    </w:p>
    <w:p>
      <w:pPr>
        <w:pStyle w:val="Subsection"/>
      </w:pPr>
      <w:r>
        <w:tab/>
        <w:t>(1)</w:t>
      </w:r>
      <w:r>
        <w:tab/>
        <w:t>In this Part —</w:t>
      </w:r>
    </w:p>
    <w:p>
      <w:pPr>
        <w:pStyle w:val="Defstart"/>
      </w:pPr>
      <w:r>
        <w:tab/>
      </w:r>
      <w:r>
        <w:rPr>
          <w:rStyle w:val="CharDefText"/>
        </w:rPr>
        <w:t>major regional centre</w:t>
      </w:r>
      <w:r>
        <w:t xml:space="preserve"> means a local government the district of which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Gazette 27 Sep 2011 p. 3843-4.]</w:t>
      </w:r>
    </w:p>
    <w:p>
      <w:pPr>
        <w:pStyle w:val="Heading5"/>
      </w:pPr>
      <w:bookmarkStart w:id="27" w:name="_Toc38031096"/>
      <w:r>
        <w:rPr>
          <w:rStyle w:val="CharSectno"/>
        </w:rPr>
        <w:t>8A</w:t>
      </w:r>
      <w:r>
        <w:t>.</w:t>
      </w:r>
      <w:r>
        <w:tab/>
        <w:t xml:space="preserve">Amount prescribed for major land transactions; exempt land transactions prescribed </w:t>
      </w:r>
      <w:r>
        <w:rPr>
          <w:snapToGrid w:val="0"/>
        </w:rPr>
        <w:t>(Act </w:t>
      </w:r>
      <w:r>
        <w:t>s. 3.59)</w:t>
      </w:r>
      <w:bookmarkEnd w:id="27"/>
    </w:p>
    <w:p>
      <w:pPr>
        <w:pStyle w:val="Subsection"/>
      </w:pPr>
      <w:r>
        <w:tab/>
        <w:t>(1)</w:t>
      </w:r>
      <w:r>
        <w:tab/>
        <w:t xml:space="preserve">The amount prescribed for the purposes of the definition of </w:t>
      </w:r>
      <w:r>
        <w:rPr>
          <w:b/>
          <w:i/>
        </w:rPr>
        <w:t>major land transaction</w:t>
      </w:r>
      <w:r>
        <w:t xml:space="preserve"> in section 3.59(1) of the Act is —</w:t>
      </w:r>
    </w:p>
    <w:p>
      <w:pPr>
        <w:pStyle w:val="Indenta"/>
      </w:pPr>
      <w:r>
        <w:tab/>
        <w:t>(a)</w:t>
      </w:r>
      <w:r>
        <w:tab/>
        <w:t>if the land transaction is entered into by a local government the district of which is in the metropolitan area or a major regional centre, the amount that is the lesser of —</w:t>
      </w:r>
    </w:p>
    <w:p>
      <w:pPr>
        <w:pStyle w:val="Indenti"/>
      </w:pPr>
      <w:r>
        <w:tab/>
        <w:t>(i)</w:t>
      </w:r>
      <w:r>
        <w:tab/>
        <w:t>$10 000 000; or</w:t>
      </w:r>
    </w:p>
    <w:p>
      <w:pPr>
        <w:pStyle w:val="Indenti"/>
      </w:pPr>
      <w:r>
        <w:tab/>
        <w:t>(ii)</w:t>
      </w:r>
      <w:r>
        <w:tab/>
        <w:t>10% of the operating expenditure incurred by the local government from its municipal fund in the last completed financial year;</w:t>
      </w:r>
    </w:p>
    <w:p>
      <w:pPr>
        <w:pStyle w:val="Indenta"/>
      </w:pPr>
      <w:r>
        <w:tab/>
      </w:r>
      <w:r>
        <w:tab/>
        <w:t>or</w:t>
      </w:r>
    </w:p>
    <w:p>
      <w:pPr>
        <w:pStyle w:val="Indenta"/>
      </w:pPr>
      <w:r>
        <w:tab/>
        <w:t>(b)</w:t>
      </w:r>
      <w:r>
        <w:tab/>
        <w:t>if the land transaction is entered into by any other local government, the amount that is the lesser of —</w:t>
      </w:r>
    </w:p>
    <w:p>
      <w:pPr>
        <w:pStyle w:val="Indenti"/>
      </w:pPr>
      <w:r>
        <w:tab/>
        <w:t>(i)</w:t>
      </w:r>
      <w:r>
        <w:tab/>
        <w:t>$2 000 000; or</w:t>
      </w:r>
    </w:p>
    <w:p>
      <w:pPr>
        <w:pStyle w:val="Indenti"/>
      </w:pPr>
      <w:r>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p>
    <w:p>
      <w:pPr>
        <w:pStyle w:val="Indenta"/>
      </w:pPr>
      <w:r>
        <w:tab/>
        <w:t>(a)</w:t>
      </w:r>
      <w:r>
        <w:tab/>
        <w:t>the total value of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Gazette 27 Sep 2011 p. 3844.]</w:t>
      </w:r>
    </w:p>
    <w:p>
      <w:pPr>
        <w:pStyle w:val="Heading5"/>
        <w:rPr>
          <w:snapToGrid w:val="0"/>
        </w:rPr>
      </w:pPr>
      <w:bookmarkStart w:id="28" w:name="_Toc38031097"/>
      <w:r>
        <w:rPr>
          <w:rStyle w:val="CharSectno"/>
        </w:rPr>
        <w:t>8</w:t>
      </w:r>
      <w:r>
        <w:rPr>
          <w:snapToGrid w:val="0"/>
        </w:rPr>
        <w:t>.</w:t>
      </w:r>
      <w:r>
        <w:rPr>
          <w:snapToGrid w:val="0"/>
        </w:rPr>
        <w:tab/>
        <w:t>Exempt land transactions prescribed (Act s. 3.59)</w:t>
      </w:r>
      <w:bookmarkEnd w:id="28"/>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Gazette 29 Aug 1997 p. 4867</w:t>
      </w:r>
      <w:r>
        <w:noBreakHyphen/>
        <w:t>8.]</w:t>
      </w:r>
    </w:p>
    <w:p>
      <w:pPr>
        <w:pStyle w:val="Heading5"/>
        <w:rPr>
          <w:snapToGrid w:val="0"/>
        </w:rPr>
      </w:pPr>
      <w:bookmarkStart w:id="29" w:name="_Toc38031098"/>
      <w:r>
        <w:rPr>
          <w:rStyle w:val="CharSectno"/>
        </w:rPr>
        <w:t>9</w:t>
      </w:r>
      <w:r>
        <w:rPr>
          <w:snapToGrid w:val="0"/>
        </w:rPr>
        <w:t>.</w:t>
      </w:r>
      <w:r>
        <w:rPr>
          <w:snapToGrid w:val="0"/>
        </w:rPr>
        <w:tab/>
        <w:t>Amount prescribed for major trading undertakings; exempt trading undertakings prescribed (Act s. 3.59)</w:t>
      </w:r>
      <w:bookmarkEnd w:id="29"/>
    </w:p>
    <w:p>
      <w:pPr>
        <w:pStyle w:val="Subsection"/>
      </w:pPr>
      <w:r>
        <w:tab/>
        <w:t>(1)</w:t>
      </w:r>
      <w:r>
        <w:tab/>
        <w:t xml:space="preserve">The amount prescribed for the purposes of the definition of </w:t>
      </w:r>
      <w:r>
        <w:rPr>
          <w:b/>
          <w:i/>
        </w:rPr>
        <w:t>major trading undertaking</w:t>
      </w:r>
      <w:r>
        <w:t xml:space="preserve"> in section 3.59(1) of the Act is —</w:t>
      </w:r>
    </w:p>
    <w:p>
      <w:pPr>
        <w:pStyle w:val="Indenta"/>
      </w:pPr>
      <w:r>
        <w:tab/>
        <w:t>(a)</w:t>
      </w:r>
      <w:r>
        <w:tab/>
        <w:t>if the trading undertaking is entered into by a local government the district of which is in the metropolitan area or a major regional centre, the amount that is the lesser of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p>
    <w:p>
      <w:pPr>
        <w:pStyle w:val="Indenti"/>
      </w:pPr>
      <w:r>
        <w:tab/>
        <w:t>(i)</w:t>
      </w:r>
      <w:r>
        <w:tab/>
        <w:t>$2 000 000; or</w:t>
      </w:r>
    </w:p>
    <w:p>
      <w:pPr>
        <w:pStyle w:val="Indenti"/>
      </w:pPr>
      <w:r>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w:t>
      </w:r>
    </w:p>
    <w:p>
      <w:pPr>
        <w:pStyle w:val="Indenta"/>
        <w:rPr>
          <w:snapToGrid w:val="0"/>
        </w:rPr>
      </w:pPr>
      <w:r>
        <w:rPr>
          <w:snapToGrid w:val="0"/>
        </w:rPr>
        <w:tab/>
        <w:t>(a)</w:t>
      </w:r>
      <w:r>
        <w:rPr>
          <w:snapToGrid w:val="0"/>
        </w:rPr>
        <w:tab/>
        <w:t>the operating expenditure incurred by the local government from its municipal fund in the last completed financial year; and</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r>
        <w:tab/>
        <w:t>(3)</w:t>
      </w:r>
      <w:r>
        <w:tab/>
        <w:t>A trading undertaking is an exempt trading undertaking for the purposes of section 3.59 of the Act if —</w:t>
      </w:r>
    </w:p>
    <w:p>
      <w:pPr>
        <w:pStyle w:val="Indenta"/>
      </w:pPr>
      <w:r>
        <w:tab/>
        <w:t>(a)</w:t>
      </w:r>
      <w:r>
        <w:tab/>
        <w:t>the undertaking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pPr>
        <w:pStyle w:val="Indenti"/>
      </w:pPr>
      <w:r>
        <w:tab/>
        <w:t>(i)</w:t>
      </w:r>
      <w:r>
        <w:tab/>
        <w:t>the total value of the undertaking; or</w:t>
      </w:r>
    </w:p>
    <w:p>
      <w:pPr>
        <w:pStyle w:val="Indenti"/>
      </w:pPr>
      <w:r>
        <w:tab/>
        <w:t>(ii)</w:t>
      </w:r>
      <w:r>
        <w:tab/>
        <w:t>variations throughout the State in the value of land.</w:t>
      </w:r>
    </w:p>
    <w:p>
      <w:pPr>
        <w:pStyle w:val="Footnotesection"/>
      </w:pPr>
      <w:r>
        <w:tab/>
        <w:t>[Regulation 9 amended: Gazette 31 Mar 2005 p. 1054; 27 Sep 2011 p. 3845.]</w:t>
      </w:r>
    </w:p>
    <w:p>
      <w:pPr>
        <w:pStyle w:val="Heading5"/>
        <w:rPr>
          <w:snapToGrid w:val="0"/>
        </w:rPr>
      </w:pPr>
      <w:bookmarkStart w:id="30" w:name="_Toc38031099"/>
      <w:r>
        <w:rPr>
          <w:rStyle w:val="CharSectno"/>
        </w:rPr>
        <w:t>10</w:t>
      </w:r>
      <w:r>
        <w:rPr>
          <w:snapToGrid w:val="0"/>
        </w:rPr>
        <w:t>.</w:t>
      </w:r>
      <w:r>
        <w:rPr>
          <w:snapToGrid w:val="0"/>
        </w:rPr>
        <w:tab/>
        <w:t>Business plans for major trading undertaking and major land transaction, content of</w:t>
      </w:r>
      <w:bookmarkEnd w:id="30"/>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p>
    <w:p>
      <w:pPr>
        <w:pStyle w:val="Indenti"/>
        <w:rPr>
          <w:snapToGrid w:val="0"/>
        </w:rPr>
      </w:pPr>
      <w:r>
        <w:rPr>
          <w:snapToGrid w:val="0"/>
        </w:rPr>
        <w:tab/>
        <w:t>(i)</w:t>
      </w:r>
      <w:r>
        <w:rPr>
          <w:snapToGrid w:val="0"/>
        </w:rPr>
        <w:tab/>
        <w:t>the identity of each joint venturer other than the local government; and</w:t>
      </w:r>
    </w:p>
    <w:p>
      <w:pPr>
        <w:pStyle w:val="Indenti"/>
        <w:rPr>
          <w:snapToGrid w:val="0"/>
        </w:rPr>
      </w:pPr>
      <w:r>
        <w:rPr>
          <w:snapToGrid w:val="0"/>
        </w:rPr>
        <w:tab/>
        <w:t>(ii)</w:t>
      </w:r>
      <w:r>
        <w:rPr>
          <w:snapToGrid w:val="0"/>
        </w:rPr>
        <w:tab/>
        <w:t>the ownership of, and any other interests in, property that is involved in, or acquired in the course of, the joint venture; and</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31" w:name="_Toc38029437"/>
      <w:bookmarkStart w:id="32" w:name="_Toc38029517"/>
      <w:bookmarkStart w:id="33" w:name="_Toc38030901"/>
      <w:bookmarkStart w:id="34" w:name="_Toc38031100"/>
      <w:r>
        <w:rPr>
          <w:rStyle w:val="CharPartNo"/>
        </w:rPr>
        <w:t>Part 4</w:t>
      </w:r>
      <w:r>
        <w:rPr>
          <w:b w:val="0"/>
        </w:rPr>
        <w:t> </w:t>
      </w:r>
      <w:r>
        <w:t>—</w:t>
      </w:r>
      <w:r>
        <w:rPr>
          <w:b w:val="0"/>
        </w:rPr>
        <w:t> </w:t>
      </w:r>
      <w:r>
        <w:rPr>
          <w:rStyle w:val="CharPartText"/>
        </w:rPr>
        <w:t>Provision of goods and services</w:t>
      </w:r>
      <w:bookmarkEnd w:id="31"/>
      <w:bookmarkEnd w:id="32"/>
      <w:bookmarkEnd w:id="33"/>
      <w:bookmarkEnd w:id="34"/>
    </w:p>
    <w:p>
      <w:pPr>
        <w:pStyle w:val="Footnoteheading"/>
      </w:pPr>
      <w:r>
        <w:tab/>
        <w:t>[Heading inserted: Gazette 2 Feb 2007 p. 244.]</w:t>
      </w:r>
    </w:p>
    <w:p>
      <w:pPr>
        <w:pStyle w:val="Heading3"/>
      </w:pPr>
      <w:bookmarkStart w:id="35" w:name="_Toc38029438"/>
      <w:bookmarkStart w:id="36" w:name="_Toc38029518"/>
      <w:bookmarkStart w:id="37" w:name="_Toc38030902"/>
      <w:bookmarkStart w:id="38" w:name="_Toc38031101"/>
      <w:r>
        <w:rPr>
          <w:rStyle w:val="CharDivNo"/>
        </w:rPr>
        <w:t>Division 1</w:t>
      </w:r>
      <w:r>
        <w:t> — </w:t>
      </w:r>
      <w:r>
        <w:rPr>
          <w:rStyle w:val="CharDivText"/>
        </w:rPr>
        <w:t>Purchasing policies</w:t>
      </w:r>
      <w:bookmarkEnd w:id="35"/>
      <w:bookmarkEnd w:id="36"/>
      <w:bookmarkEnd w:id="37"/>
      <w:bookmarkEnd w:id="38"/>
    </w:p>
    <w:p>
      <w:pPr>
        <w:pStyle w:val="Footnoteheading"/>
      </w:pPr>
      <w:r>
        <w:tab/>
        <w:t>[Heading inserted: Gazette 2 Feb 2007 p. 244.]</w:t>
      </w:r>
    </w:p>
    <w:p>
      <w:pPr>
        <w:pStyle w:val="Heading5"/>
      </w:pPr>
      <w:bookmarkStart w:id="39" w:name="_Toc38031102"/>
      <w:r>
        <w:rPr>
          <w:rStyle w:val="CharSectno"/>
        </w:rPr>
        <w:t>11A</w:t>
      </w:r>
      <w:r>
        <w:t>.</w:t>
      </w:r>
      <w:r>
        <w:tab/>
        <w:t>Purchasing policies for local governments</w:t>
      </w:r>
      <w:bookmarkEnd w:id="39"/>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$150 000 or less or worth $150 000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p>
    <w:p>
      <w:pPr>
        <w:pStyle w:val="Indenta"/>
      </w:pPr>
      <w:r>
        <w:tab/>
        <w:t>(a)</w:t>
      </w:r>
      <w:r>
        <w:tab/>
        <w:t>the form of quotations acceptable; and</w:t>
      </w:r>
    </w:p>
    <w:p>
      <w:pPr>
        <w:pStyle w:val="Indenta"/>
      </w:pPr>
      <w:r>
        <w:tab/>
        <w:t>(ba)</w:t>
      </w:r>
      <w:r>
        <w:tab/>
        <w:t>the minimum number of oral quotations and written quotations that must be obtained; and</w:t>
      </w:r>
    </w:p>
    <w:p>
      <w:pPr>
        <w:pStyle w:val="Indenta"/>
      </w:pPr>
      <w:r>
        <w:tab/>
        <w:t>(b)</w:t>
      </w:r>
      <w:r>
        <w:tab/>
        <w:t>the recording and retention of written information, or documents, in respect of —</w:t>
      </w:r>
    </w:p>
    <w:p>
      <w:pPr>
        <w:pStyle w:val="Indenti"/>
      </w:pPr>
      <w:r>
        <w:tab/>
        <w:t>(i)</w:t>
      </w:r>
      <w:r>
        <w:tab/>
        <w:t>all quotations received; and</w:t>
      </w:r>
    </w:p>
    <w:p>
      <w:pPr>
        <w:pStyle w:val="Indenti"/>
      </w:pPr>
      <w:r>
        <w:tab/>
        <w:t>(ii)</w:t>
      </w:r>
      <w:r>
        <w:tab/>
        <w:t>all purchases made.</w:t>
      </w:r>
    </w:p>
    <w:p>
      <w:pPr>
        <w:pStyle w:val="Ednotesubsection"/>
      </w:pPr>
      <w:r>
        <w:tab/>
        <w:t>[(4)</w:t>
      </w:r>
      <w:r>
        <w:tab/>
        <w:t>deleted]</w:t>
      </w:r>
    </w:p>
    <w:p>
      <w:pPr>
        <w:pStyle w:val="Footnotesection"/>
      </w:pPr>
      <w:r>
        <w:tab/>
        <w:t>[Regulation 11A inserted: Gazette 2 Feb 2007 p. 245; amended: Gazette 18 Sep 2015 p. 3804.]</w:t>
      </w:r>
    </w:p>
    <w:p>
      <w:pPr>
        <w:pStyle w:val="Heading3"/>
      </w:pPr>
      <w:bookmarkStart w:id="40" w:name="_Toc38029440"/>
      <w:bookmarkStart w:id="41" w:name="_Toc38029520"/>
      <w:bookmarkStart w:id="42" w:name="_Toc38030904"/>
      <w:bookmarkStart w:id="43" w:name="_Toc38031103"/>
      <w:r>
        <w:rPr>
          <w:rStyle w:val="CharDivNo"/>
        </w:rPr>
        <w:t>Division 2</w:t>
      </w:r>
      <w:r>
        <w:t> — </w:t>
      </w:r>
      <w:r>
        <w:rPr>
          <w:rStyle w:val="CharDivText"/>
        </w:rPr>
        <w:t>Tenders for providing goods or services (s. 3.57)</w:t>
      </w:r>
      <w:bookmarkEnd w:id="40"/>
      <w:bookmarkEnd w:id="41"/>
      <w:bookmarkEnd w:id="42"/>
      <w:bookmarkEnd w:id="43"/>
    </w:p>
    <w:p>
      <w:pPr>
        <w:pStyle w:val="Footnoteheading"/>
      </w:pPr>
      <w:r>
        <w:tab/>
        <w:t>[Heading inserted: Gazette 2 Feb 2007 p. 245.]</w:t>
      </w:r>
    </w:p>
    <w:p>
      <w:pPr>
        <w:pStyle w:val="Heading5"/>
        <w:rPr>
          <w:snapToGrid w:val="0"/>
        </w:rPr>
      </w:pPr>
      <w:bookmarkStart w:id="44" w:name="_Toc38031104"/>
      <w:r>
        <w:rPr>
          <w:rStyle w:val="CharSectno"/>
        </w:rPr>
        <w:t>11</w:t>
      </w:r>
      <w:r>
        <w:rPr>
          <w:snapToGrid w:val="0"/>
        </w:rPr>
        <w:t>.</w:t>
      </w:r>
      <w:r>
        <w:rPr>
          <w:snapToGrid w:val="0"/>
        </w:rPr>
        <w:tab/>
        <w:t>When tenders have to be publicly invited</w:t>
      </w:r>
      <w:bookmarkEnd w:id="44"/>
    </w:p>
    <w:p>
      <w:pPr>
        <w:pStyle w:val="Subsection"/>
      </w:pPr>
      <w:r>
        <w:tab/>
        <w:t>(1A)</w:t>
      </w:r>
      <w:r>
        <w:tab/>
        <w:t xml:space="preserve">In this regulation — </w:t>
      </w:r>
    </w:p>
    <w:p>
      <w:pPr>
        <w:pStyle w:val="Defstart"/>
      </w:pPr>
      <w:r>
        <w:tab/>
      </w:r>
      <w:r>
        <w:rPr>
          <w:rStyle w:val="CharDefText"/>
        </w:rPr>
        <w:t>state of emergency declaration</w:t>
      </w:r>
      <w:r>
        <w:t xml:space="preserve"> has the meaning given in the </w:t>
      </w:r>
      <w:r>
        <w:rPr>
          <w:i/>
        </w:rPr>
        <w:t>Emergency Management Act 2005</w:t>
      </w:r>
      <w:r>
        <w:t xml:space="preserve"> section 3.</w:t>
      </w:r>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$250 000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pPr>
        <w:pStyle w:val="Indenta"/>
      </w:pPr>
      <w:r>
        <w:tab/>
        <w:t>(aa)</w:t>
      </w:r>
      <w:r>
        <w:tab/>
        <w:t>the supply of the goods or services is associated with a state of emergency; or</w:t>
      </w:r>
    </w:p>
    <w:p>
      <w:pPr>
        <w:pStyle w:val="Indenta"/>
        <w:spacing w:before="76"/>
        <w:rPr>
          <w:snapToGrid w:val="0"/>
        </w:rPr>
      </w:pPr>
      <w:r>
        <w:rPr>
          <w:snapToGrid w:val="0"/>
        </w:rPr>
        <w:tab/>
        <w:t>(b)</w:t>
      </w:r>
      <w:r>
        <w:rPr>
          <w:snapToGrid w:val="0"/>
        </w:rPr>
        <w:tab/>
        <w:t xml:space="preserve">the supply of the goods or services is to be obtained through the </w:t>
      </w:r>
      <w:r>
        <w:t>WALGA Preferred Supplier Program; or</w:t>
      </w:r>
    </w:p>
    <w:p>
      <w:pPr>
        <w:pStyle w:val="Ednotepara"/>
      </w:pPr>
      <w:r>
        <w:tab/>
        <w:t>[(ba)</w:t>
      </w:r>
      <w:r>
        <w:tab/>
        <w:t>deleted]</w:t>
      </w:r>
    </w:p>
    <w:p>
      <w:pPr>
        <w:pStyle w:val="Indenta"/>
        <w:rPr>
          <w:snapToGrid w:val="0"/>
        </w:rPr>
      </w:pPr>
      <w:r>
        <w:rPr>
          <w:snapToGrid w:val="0"/>
        </w:rPr>
        <w:tab/>
        <w:t>(c)</w:t>
      </w:r>
      <w:r>
        <w:rPr>
          <w:snapToGrid w:val="0"/>
        </w:rPr>
        <w:tab/>
        <w:t>within the last 6 months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r>
        <w:t xml:space="preserve"> or satisfied the value for money assessment; or</w:t>
      </w:r>
      <w:r>
        <w:rPr>
          <w:snapToGrid w:val="0"/>
        </w:rPr>
        <w:t xml:space="preserve"> </w:t>
      </w:r>
    </w:p>
    <w:p>
      <w:pPr>
        <w:pStyle w:val="Indenti"/>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pPr>
        <w:pStyle w:val="Indenta"/>
        <w:rPr>
          <w:snapToGrid w:val="0"/>
        </w:rPr>
      </w:pPr>
      <w:r>
        <w:rPr>
          <w:snapToGrid w:val="0"/>
        </w:rPr>
        <w:tab/>
        <w:t>(ea)</w:t>
      </w:r>
      <w:r>
        <w:rPr>
          <w:snapToGrid w:val="0"/>
        </w:rPr>
        <w:tab/>
        <w:t>the goods or services are to be supplied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pPr>
      <w:r>
        <w:tab/>
        <w:t>(g)</w:t>
      </w:r>
      <w:r>
        <w:tab/>
        <w:t>the goods to be supplied under the contract are —</w:t>
      </w:r>
    </w:p>
    <w:p>
      <w:pPr>
        <w:pStyle w:val="Indenti"/>
      </w:pPr>
      <w:r>
        <w:tab/>
        <w:t>(i)</w:t>
      </w:r>
      <w:r>
        <w:tab/>
        <w:t>petrol or oil; or</w:t>
      </w:r>
    </w:p>
    <w:p>
      <w:pPr>
        <w:pStyle w:val="Indenti"/>
      </w:pPr>
      <w:r>
        <w:tab/>
        <w:t>(ii)</w:t>
      </w:r>
      <w:r>
        <w:tab/>
        <w:t>any other liquid, or any gas, used for internal combustion engines;</w:t>
      </w:r>
    </w:p>
    <w:p>
      <w:pPr>
        <w:pStyle w:val="Indenta"/>
      </w:pPr>
      <w:r>
        <w:tab/>
      </w:r>
      <w:r>
        <w:tab/>
        <w:t>or</w:t>
      </w:r>
    </w:p>
    <w:p>
      <w:pPr>
        <w:pStyle w:val="Indenta"/>
      </w:pPr>
      <w:r>
        <w:tab/>
        <w:t>(h)</w:t>
      </w:r>
      <w:r>
        <w:tab/>
        <w:t xml:space="preserve">the following apply — </w:t>
      </w:r>
    </w:p>
    <w:p>
      <w:pPr>
        <w:pStyle w:val="Indenti"/>
      </w:pPr>
      <w:r>
        <w:tab/>
        <w:t>(i)</w:t>
      </w:r>
      <w:r>
        <w:tab/>
        <w:t xml:space="preserve">the goods or services are to be supplied by — </w:t>
      </w:r>
    </w:p>
    <w:p>
      <w:pPr>
        <w:pStyle w:val="IndentI0"/>
      </w:pPr>
      <w:r>
        <w:tab/>
        <w:t>(I)</w:t>
      </w:r>
      <w:r>
        <w:tab/>
        <w:t>a person registered on the Aboriginal Business Directory WA published by the Chamber of Commerce and Industry of Western Australia Limited ABN 96 929 977 985; or</w:t>
      </w:r>
    </w:p>
    <w:p>
      <w:pPr>
        <w:pStyle w:val="IndentI0"/>
      </w:pPr>
      <w:r>
        <w:tab/>
        <w:t>(II)</w:t>
      </w:r>
      <w:r>
        <w:tab/>
        <w:t>Australian Indigenous Minority Supplier Office Limited (trading as Supply Nation) ABN 50 134 720 362;</w:t>
      </w:r>
    </w:p>
    <w:p>
      <w:pPr>
        <w:pStyle w:val="Indenti"/>
      </w:pPr>
      <w:r>
        <w:tab/>
      </w:r>
      <w:r>
        <w:tab/>
        <w:t>and</w:t>
      </w:r>
    </w:p>
    <w:p>
      <w:pPr>
        <w:pStyle w:val="Indenti"/>
      </w:pPr>
      <w:r>
        <w:tab/>
        <w:t>(ii)</w:t>
      </w:r>
      <w:r>
        <w:tab/>
        <w:t>the consideration under the contract is $250 000 or less, or worth $250 000 or less; and</w:t>
      </w:r>
    </w:p>
    <w:p>
      <w:pPr>
        <w:pStyle w:val="Indenti"/>
      </w:pPr>
      <w:r>
        <w:tab/>
        <w:t>(iii)</w:t>
      </w:r>
      <w:r>
        <w:tab/>
        <w:t>the local government is satisfied that the contract represents value for money;</w:t>
      </w:r>
    </w:p>
    <w:p>
      <w:pPr>
        <w:pStyle w:val="Indenta"/>
      </w:pPr>
      <w:r>
        <w:tab/>
      </w:r>
      <w:r>
        <w:tab/>
        <w:t>or</w:t>
      </w:r>
    </w:p>
    <w:p>
      <w:pPr>
        <w:pStyle w:val="Indenta"/>
      </w:pPr>
      <w:r>
        <w:tab/>
        <w:t>(i)</w:t>
      </w:r>
      <w:r>
        <w:tab/>
        <w:t>the goods or services are to be supplied by an Australian Disability Enterprise; or</w:t>
      </w:r>
    </w:p>
    <w:p>
      <w:pPr>
        <w:pStyle w:val="Indenta"/>
      </w:pPr>
      <w:r>
        <w:tab/>
        <w:t>(j)</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was entered into after the local government, according to the requirements of this Division, publicly invited tenders for the supply of goods or services; and</w:t>
      </w:r>
    </w:p>
    <w:p>
      <w:pPr>
        <w:pStyle w:val="Indenti"/>
      </w:pPr>
      <w:r>
        <w:tab/>
        <w:t>(ii)</w:t>
      </w:r>
      <w:r>
        <w:tab/>
        <w:t>the invitation for tenders contained provision for the renewal or extension of a contract entered into with a successful tenderer; and</w:t>
      </w:r>
    </w:p>
    <w:p>
      <w:pPr>
        <w:pStyle w:val="Indenti"/>
      </w:pPr>
      <w:r>
        <w:tab/>
        <w:t>(iii)</w:t>
      </w:r>
      <w:r>
        <w:tab/>
        <w:t>the original contract contains an option to renew or extend its term; and</w:t>
      </w:r>
    </w:p>
    <w:p>
      <w:pPr>
        <w:pStyle w:val="Indenti"/>
      </w:pPr>
      <w:r>
        <w:tab/>
        <w:t>(iv)</w:t>
      </w:r>
      <w:r>
        <w:tab/>
        <w:t>the supplier’s tender included a requirement for such an option and specified the consideration payable, or the method by which the consideration is to be calculated, if the option were exercised;</w:t>
      </w:r>
    </w:p>
    <w:p>
      <w:pPr>
        <w:pStyle w:val="Indenta"/>
      </w:pPr>
      <w:r>
        <w:tab/>
      </w:r>
      <w:r>
        <w:tab/>
        <w:t>or</w:t>
      </w:r>
    </w:p>
    <w:p>
      <w:pPr>
        <w:pStyle w:val="Indenta"/>
      </w:pPr>
      <w:r>
        <w:tab/>
        <w:t>(ja)</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is to expire within 3 months; and</w:t>
      </w:r>
    </w:p>
    <w:p>
      <w:pPr>
        <w:pStyle w:val="Indenti"/>
      </w:pPr>
      <w:r>
        <w:tab/>
        <w:t>(ii)</w:t>
      </w:r>
      <w:r>
        <w:tab/>
        <w:t>the renewal or extension is for a term of not more than 12 months from the expiry of the original contract; and</w:t>
      </w:r>
    </w:p>
    <w:p>
      <w:pPr>
        <w:pStyle w:val="Indenti"/>
      </w:pPr>
      <w:r>
        <w:tab/>
        <w:t>(iii)</w:t>
      </w:r>
      <w:r>
        <w:tab/>
        <w:t>the contract for renewal or extension is entered into at a time when there is in force a state of emergency declaration applying to the district, or part of the district, of the local government;</w:t>
      </w:r>
    </w:p>
    <w:p>
      <w:pPr>
        <w:pStyle w:val="Indenta"/>
      </w:pPr>
      <w:r>
        <w:tab/>
      </w:r>
      <w:r>
        <w:tab/>
        <w:t>or</w:t>
      </w:r>
    </w:p>
    <w:p>
      <w:pPr>
        <w:pStyle w:val="Indenta"/>
        <w:rPr>
          <w:snapToGrid w:val="0"/>
        </w:rPr>
      </w:pPr>
      <w:r>
        <w:tab/>
        <w:t>(k)</w:t>
      </w:r>
      <w:r>
        <w:tab/>
        <w:t>the goods or services are to be supplied by a pre</w:t>
      </w:r>
      <w:r>
        <w:noBreakHyphen/>
        <w:t>qualified supplier under Division 3.</w:t>
      </w:r>
    </w:p>
    <w:p>
      <w:pPr>
        <w:pStyle w:val="Subsection"/>
      </w:pPr>
      <w:r>
        <w:tab/>
        <w:t>(3)</w:t>
      </w:r>
      <w:r>
        <w:tab/>
        <w:t xml:space="preserve">For the purposes of subregulation (2)(aa) a supply of goods or services is associated with a state of emergency if — </w:t>
      </w:r>
    </w:p>
    <w:p>
      <w:pPr>
        <w:pStyle w:val="Indenta"/>
      </w:pPr>
      <w:r>
        <w:tab/>
        <w:t>(a)</w:t>
      </w:r>
      <w:r>
        <w:tab/>
        <w:t>the contract for the supply is entered into while there is in force a state of emergency declaration applying to the district, or part of the district, of the local government; and</w:t>
      </w:r>
    </w:p>
    <w:p>
      <w:pPr>
        <w:pStyle w:val="Indenta"/>
      </w:pPr>
      <w:r>
        <w:tab/>
        <w:t>(b)</w:t>
      </w:r>
      <w:r>
        <w:tab/>
        <w:t>the local government considers that the goods or services are required for the purposes of addressing a need arising from the hazard, or from the impact or consequences of the hazard, to which the state of emergency declaration relates.</w:t>
      </w:r>
    </w:p>
    <w:p>
      <w:pPr>
        <w:pStyle w:val="Footnotesection"/>
      </w:pPr>
      <w:r>
        <w:tab/>
        <w:t>[Regulation 11 amended: Gazette 29 Apr 1997 p. 2145; 26 Jun 1998 p. 3447; 25 Feb 2000 p. 970</w:t>
      </w:r>
      <w:r>
        <w:noBreakHyphen/>
        <w:t>1; 29 Jun 2001 p. 3130; 31 Mar 2005 p. 1054</w:t>
      </w:r>
      <w:r>
        <w:noBreakHyphen/>
        <w:t>5; 2 Feb 2007 p. 245</w:t>
      </w:r>
      <w:r>
        <w:noBreakHyphen/>
        <w:t>6; 18 Sep 2015 p. 3804</w:t>
      </w:r>
      <w:r>
        <w:noBreakHyphen/>
        <w:t>6; SL 2020/35 r. 8.]</w:t>
      </w:r>
    </w:p>
    <w:p>
      <w:pPr>
        <w:pStyle w:val="Heading5"/>
      </w:pPr>
      <w:bookmarkStart w:id="45" w:name="_Toc38031105"/>
      <w:r>
        <w:rPr>
          <w:rStyle w:val="CharSectno"/>
        </w:rPr>
        <w:t>12</w:t>
      </w:r>
      <w:r>
        <w:t>.</w:t>
      </w:r>
      <w:r>
        <w:tab/>
        <w:t>Anti</w:t>
      </w:r>
      <w:r>
        <w:noBreakHyphen/>
        <w:t>avoidance provision for r. 11(1)</w:t>
      </w:r>
      <w:bookmarkEnd w:id="45"/>
    </w:p>
    <w:p>
      <w:pPr>
        <w:pStyle w:val="Subsection"/>
      </w:pPr>
      <w:r>
        <w:tab/>
        <w:t>(1)</w:t>
      </w:r>
      <w:r>
        <w:tab/>
        <w:t xml:space="preserve">This regulation applies if a local government intends to enter into 2 or more contracts (the </w:t>
      </w:r>
      <w:r>
        <w:rPr>
          <w:rStyle w:val="CharDefText"/>
        </w:rPr>
        <w:t>contracts</w:t>
      </w:r>
      <w:r>
        <w:t>) in circumstances such that the desire to avoid the requirements of regulation 11(1) is a significant reason for not dealing with the matter in a single contract.</w:t>
      </w:r>
    </w:p>
    <w:p>
      <w:pPr>
        <w:pStyle w:val="Subsection"/>
      </w:pPr>
      <w:r>
        <w:tab/>
        <w:t>(2)</w:t>
      </w:r>
      <w:r>
        <w:tab/>
        <w:t>If this regulation applies, tenders are to be publicly invited according to the requirements of this Division before the local government enters into any of the contracts regardless of the consideration.</w:t>
      </w:r>
    </w:p>
    <w:p>
      <w:pPr>
        <w:pStyle w:val="Footnotesection"/>
      </w:pPr>
      <w:r>
        <w:tab/>
        <w:t xml:space="preserve">[Regulation 12 inserted: Gazette 18 Sep 2015 p. 3806.] </w:t>
      </w:r>
    </w:p>
    <w:p>
      <w:pPr>
        <w:pStyle w:val="Heading5"/>
        <w:rPr>
          <w:snapToGrid w:val="0"/>
        </w:rPr>
      </w:pPr>
      <w:bookmarkStart w:id="46" w:name="_Toc38031106"/>
      <w:r>
        <w:rPr>
          <w:rStyle w:val="CharSectno"/>
        </w:rPr>
        <w:t>13</w:t>
      </w:r>
      <w:r>
        <w:rPr>
          <w:snapToGrid w:val="0"/>
        </w:rPr>
        <w:t>.</w:t>
      </w:r>
      <w:r>
        <w:rPr>
          <w:snapToGrid w:val="0"/>
        </w:rPr>
        <w:tab/>
        <w:t>Requirements when local government invites tenders though not required to do so</w:t>
      </w:r>
      <w:bookmarkEnd w:id="46"/>
    </w:p>
    <w:p>
      <w:pPr>
        <w:pStyle w:val="Subsection"/>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Gazette 2 Feb 2007 p. 245</w:t>
      </w:r>
      <w:r>
        <w:noBreakHyphen/>
        <w:t>6.]</w:t>
      </w:r>
    </w:p>
    <w:p>
      <w:pPr>
        <w:pStyle w:val="Heading5"/>
        <w:rPr>
          <w:snapToGrid w:val="0"/>
        </w:rPr>
      </w:pPr>
      <w:bookmarkStart w:id="47" w:name="_Toc38031107"/>
      <w:r>
        <w:rPr>
          <w:rStyle w:val="CharSectno"/>
        </w:rPr>
        <w:t>14</w:t>
      </w:r>
      <w:r>
        <w:rPr>
          <w:snapToGrid w:val="0"/>
        </w:rPr>
        <w:t>.</w:t>
      </w:r>
      <w:r>
        <w:rPr>
          <w:snapToGrid w:val="0"/>
        </w:rPr>
        <w:tab/>
        <w:t>Publicly inviting tenders, requirements for</w:t>
      </w:r>
      <w:bookmarkEnd w:id="47"/>
    </w:p>
    <w:p>
      <w:pPr>
        <w:pStyle w:val="Subsection"/>
        <w:rPr>
          <w:snapToGrid w:val="0"/>
        </w:rPr>
      </w:pPr>
      <w:r>
        <w:rPr>
          <w:snapToGrid w:val="0"/>
        </w:rPr>
        <w:tab/>
        <w:t>(1)</w:t>
      </w:r>
      <w:r>
        <w:rPr>
          <w:snapToGrid w:val="0"/>
        </w:rPr>
        <w:tab/>
        <w:t>When regulation 11(1), 12(2)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pPr>
      <w:r>
        <w:tab/>
        <w:t>(2a)</w:t>
      </w:r>
      <w:r>
        <w:tab/>
        <w:t>If a local government —</w:t>
      </w:r>
    </w:p>
    <w:p>
      <w:pPr>
        <w:pStyle w:val="Indenta"/>
      </w:pPr>
      <w:r>
        <w:tab/>
        <w:t>(a)</w:t>
      </w:r>
      <w:r>
        <w:tab/>
        <w:t>is required to invite a tender; or</w:t>
      </w:r>
    </w:p>
    <w:p>
      <w:pPr>
        <w:pStyle w:val="Indenta"/>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rPr>
          <w:snapToGrid w:val="0"/>
        </w:rPr>
      </w:pPr>
      <w:r>
        <w:rPr>
          <w:snapToGrid w:val="0"/>
        </w:rPr>
        <w:tab/>
        <w:t>(3)</w:t>
      </w:r>
      <w:r>
        <w:rPr>
          <w:snapToGrid w:val="0"/>
        </w:rPr>
        <w:tab/>
        <w:t>The notice, whether under subregulation (1) or (2),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as to tendering may be obtained; and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 and</w:t>
      </w:r>
    </w:p>
    <w:p>
      <w:pPr>
        <w:pStyle w:val="Indenta"/>
      </w:pPr>
      <w:r>
        <w:tab/>
        <w:t>(b)</w:t>
      </w:r>
      <w:r>
        <w:tab/>
        <w:t>detailed specifications of the goods or services required; and</w:t>
      </w:r>
    </w:p>
    <w:p>
      <w:pPr>
        <w:pStyle w:val="Indenta"/>
      </w:pPr>
      <w:r>
        <w:tab/>
        <w:t>(c)</w:t>
      </w:r>
      <w:r>
        <w:tab/>
        <w:t>the criteria for deciding which tender should be accepted; and</w:t>
      </w:r>
    </w:p>
    <w:p>
      <w:pPr>
        <w:pStyle w:val="Indenta"/>
      </w:pPr>
      <w:r>
        <w:tab/>
        <w:t>(d)</w:t>
      </w:r>
      <w:r>
        <w:tab/>
        <w:t>whether the local government has decided to submit a tender.</w:t>
      </w:r>
    </w:p>
    <w:p>
      <w:pPr>
        <w:pStyle w:val="Ednotepara"/>
      </w:pPr>
      <w:r>
        <w:tab/>
        <w:t>[(e)</w:t>
      </w:r>
      <w:r>
        <w:tab/>
        <w:t>deleted]</w:t>
      </w:r>
    </w:p>
    <w:p>
      <w:pPr>
        <w:pStyle w:val="Subsection"/>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Gazette 29 Jun 2001 p. 3130; 18 Sep 2015 p. 3806.]</w:t>
      </w:r>
    </w:p>
    <w:p>
      <w:pPr>
        <w:pStyle w:val="Heading5"/>
        <w:rPr>
          <w:snapToGrid w:val="0"/>
        </w:rPr>
      </w:pPr>
      <w:bookmarkStart w:id="48" w:name="_Toc38031108"/>
      <w:r>
        <w:rPr>
          <w:rStyle w:val="CharSectno"/>
        </w:rPr>
        <w:t>15</w:t>
      </w:r>
      <w:r>
        <w:t>.</w:t>
      </w:r>
      <w:r>
        <w:tab/>
      </w:r>
      <w:r>
        <w:rPr>
          <w:snapToGrid w:val="0"/>
        </w:rPr>
        <w:t>Minimum time to be allowed for submitting tenders</w:t>
      </w:r>
      <w:bookmarkEnd w:id="48"/>
    </w:p>
    <w:p>
      <w:pPr>
        <w:pStyle w:val="Subsection"/>
      </w:pPr>
      <w:r>
        <w:tab/>
        <w:t>(1)</w:t>
      </w:r>
      <w:r>
        <w:tab/>
        <w:t>If a notice under regulation 14(1) is given, the date and time referred to in regulation 14(3)(d) has to be at least 14 days after the notice is first published in the newspaper circulating generally throughout the State.</w:t>
      </w:r>
    </w:p>
    <w:p>
      <w:pPr>
        <w:pStyle w:val="Subsection"/>
        <w:rPr>
          <w:snapToGrid w:val="0"/>
        </w:rPr>
      </w:pPr>
      <w:r>
        <w:tab/>
        <w:t>(2)</w:t>
      </w:r>
      <w:r>
        <w:tab/>
        <w:t xml:space="preserve">If a notice under regulation 14(2) </w:t>
      </w:r>
      <w:r>
        <w:rPr>
          <w:snapToGrid w:val="0"/>
        </w:rPr>
        <w:t>is given to a person listed as an acceptable tenderer, the date and time referred to in regulation 14(3)(d) has to be at least 14 days after the notice is given.</w:t>
      </w:r>
    </w:p>
    <w:p>
      <w:pPr>
        <w:pStyle w:val="Footnotesection"/>
      </w:pPr>
      <w:r>
        <w:tab/>
        <w:t>[Regulation 15 inserted: Gazette 18 Sep 2015 p. 3806</w:t>
      </w:r>
      <w:r>
        <w:noBreakHyphen/>
        <w:t xml:space="preserve">7.] </w:t>
      </w:r>
    </w:p>
    <w:p>
      <w:pPr>
        <w:pStyle w:val="Heading5"/>
        <w:rPr>
          <w:snapToGrid w:val="0"/>
        </w:rPr>
      </w:pPr>
      <w:bookmarkStart w:id="49" w:name="_Toc38031109"/>
      <w:r>
        <w:rPr>
          <w:rStyle w:val="CharSectno"/>
        </w:rPr>
        <w:t>16</w:t>
      </w:r>
      <w:r>
        <w:rPr>
          <w:snapToGrid w:val="0"/>
        </w:rPr>
        <w:t>.</w:t>
      </w:r>
      <w:r>
        <w:rPr>
          <w:snapToGrid w:val="0"/>
        </w:rPr>
        <w:tab/>
        <w:t>Receiving and opening tenders, procedure for</w:t>
      </w:r>
      <w:bookmarkEnd w:id="49"/>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p>
    <w:p>
      <w:pPr>
        <w:pStyle w:val="Indenta"/>
      </w:pPr>
      <w:r>
        <w:tab/>
        <w:t>(a)</w:t>
      </w:r>
      <w:r>
        <w:tab/>
        <w:t xml:space="preserve">there must be present — </w:t>
      </w:r>
    </w:p>
    <w:p>
      <w:pPr>
        <w:pStyle w:val="Indenti"/>
      </w:pPr>
      <w:r>
        <w:tab/>
        <w:t>(i)</w:t>
      </w:r>
      <w:r>
        <w:tab/>
        <w:t>at least 2 employees of the local government; or</w:t>
      </w:r>
    </w:p>
    <w:p>
      <w:pPr>
        <w:pStyle w:val="Indenti"/>
        <w:rPr>
          <w:snapToGrid w:val="0"/>
        </w:rPr>
      </w:pPr>
      <w:r>
        <w:tab/>
        <w:t>(ii)</w:t>
      </w:r>
      <w:r>
        <w:tab/>
        <w:t>one employee of the local government and at least one person authorised by the CEO to open tenders;</w:t>
      </w:r>
    </w:p>
    <w:p>
      <w:pPr>
        <w:pStyle w:val="Indenta"/>
      </w:pPr>
      <w:r>
        <w:tab/>
      </w:r>
      <w:r>
        <w:tab/>
        <w:t>and</w:t>
      </w:r>
    </w:p>
    <w:p>
      <w:pPr>
        <w:pStyle w:val="Indenta"/>
        <w:rPr>
          <w:snapToGrid w:val="0"/>
        </w:rPr>
      </w:pPr>
      <w:r>
        <w:rPr>
          <w:snapToGrid w:val="0"/>
        </w:rPr>
        <w:tab/>
        <w:t>(b)</w:t>
      </w:r>
      <w:r>
        <w:rPr>
          <w:snapToGrid w:val="0"/>
        </w:rPr>
        <w:tab/>
        <w:t>members of the public are entitled to be present; and</w:t>
      </w:r>
    </w:p>
    <w:p>
      <w:pPr>
        <w:pStyle w:val="Indenta"/>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Gazette 29 Jun 2001 p. 3131; 31 Mar 2005 p. 1055; 18 Sep 2015 p. 3807.]</w:t>
      </w:r>
    </w:p>
    <w:p>
      <w:pPr>
        <w:pStyle w:val="Heading5"/>
        <w:rPr>
          <w:snapToGrid w:val="0"/>
        </w:rPr>
      </w:pPr>
      <w:bookmarkStart w:id="50" w:name="_Toc38031110"/>
      <w:r>
        <w:rPr>
          <w:rStyle w:val="CharSectno"/>
        </w:rPr>
        <w:t>17</w:t>
      </w:r>
      <w:r>
        <w:rPr>
          <w:snapToGrid w:val="0"/>
        </w:rPr>
        <w:t>.</w:t>
      </w:r>
      <w:r>
        <w:rPr>
          <w:snapToGrid w:val="0"/>
        </w:rPr>
        <w:tab/>
        <w:t>Tenders register</w:t>
      </w:r>
      <w:bookmarkEnd w:id="50"/>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keepNext/>
        <w:rPr>
          <w:snapToGrid w:val="0"/>
        </w:rPr>
      </w:pPr>
      <w:r>
        <w:rPr>
          <w:snapToGrid w:val="0"/>
        </w:rPr>
        <w:tab/>
        <w:t>(2)</w:t>
      </w:r>
      <w:r>
        <w:rPr>
          <w:snapToGrid w:val="0"/>
        </w:rPr>
        <w:tab/>
        <w:t>The tenders register is to include, for each invitation to tender —</w:t>
      </w:r>
    </w:p>
    <w:p>
      <w:pPr>
        <w:pStyle w:val="Indenta"/>
        <w:rPr>
          <w:snapToGrid w:val="0"/>
        </w:rPr>
      </w:pPr>
      <w:r>
        <w:rPr>
          <w:snapToGrid w:val="0"/>
        </w:rPr>
        <w:tab/>
        <w:t>(a)</w:t>
      </w:r>
      <w:r>
        <w:rPr>
          <w:snapToGrid w:val="0"/>
        </w:rPr>
        <w:tab/>
        <w:t>a brief description of the goods or services required; and</w:t>
      </w:r>
    </w:p>
    <w:p>
      <w:pPr>
        <w:pStyle w:val="Ednotepara"/>
        <w:rPr>
          <w:snapToGrid w:val="0"/>
        </w:rPr>
      </w:pPr>
      <w:r>
        <w:tab/>
        <w:t>[(b)</w:t>
      </w:r>
      <w:r>
        <w:tab/>
        <w:t>deleted]</w:t>
      </w:r>
    </w:p>
    <w:p>
      <w:pPr>
        <w:pStyle w:val="Indenta"/>
        <w:rPr>
          <w:snapToGrid w:val="0"/>
        </w:rPr>
      </w:pPr>
      <w:r>
        <w:rPr>
          <w:snapToGrid w:val="0"/>
        </w:rPr>
        <w:tab/>
        <w:t>(c)</w:t>
      </w:r>
      <w:r>
        <w:rPr>
          <w:snapToGrid w:val="0"/>
        </w:rPr>
        <w:tab/>
        <w:t>particulars of —</w:t>
      </w:r>
    </w:p>
    <w:p>
      <w:pPr>
        <w:pStyle w:val="Indenti"/>
        <w:rPr>
          <w:snapToGrid w:val="0"/>
        </w:rPr>
      </w:pPr>
      <w:r>
        <w:rPr>
          <w:snapToGrid w:val="0"/>
        </w:rPr>
        <w:tab/>
        <w:t>(i)</w:t>
      </w:r>
      <w:r>
        <w:rPr>
          <w:snapToGrid w:val="0"/>
        </w:rPr>
        <w:tab/>
        <w:t>any notice by which expressions of interests from prospective tenderers was sought; and</w:t>
      </w:r>
    </w:p>
    <w:p>
      <w:pPr>
        <w:pStyle w:val="Indenti"/>
        <w:rPr>
          <w:snapToGrid w:val="0"/>
        </w:rPr>
      </w:pPr>
      <w:r>
        <w:rPr>
          <w:snapToGrid w:val="0"/>
        </w:rPr>
        <w:tab/>
        <w:t>(ii)</w:t>
      </w:r>
      <w:r>
        <w:rPr>
          <w:snapToGrid w:val="0"/>
        </w:rPr>
        <w:tab/>
        <w:t>any person who submitted an expression of interest; and</w:t>
      </w:r>
    </w:p>
    <w:p>
      <w:pPr>
        <w:pStyle w:val="Indenti"/>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copy of the notice of the invitation to tender; and</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Gazette 29 Jun 2001 p. 3131; 18 Sep 2015 p. 3807.]</w:t>
      </w:r>
    </w:p>
    <w:p>
      <w:pPr>
        <w:pStyle w:val="Heading5"/>
        <w:rPr>
          <w:snapToGrid w:val="0"/>
        </w:rPr>
      </w:pPr>
      <w:bookmarkStart w:id="51" w:name="_Toc38031111"/>
      <w:r>
        <w:rPr>
          <w:rStyle w:val="CharSectno"/>
        </w:rPr>
        <w:t>18</w:t>
      </w:r>
      <w:r>
        <w:rPr>
          <w:snapToGrid w:val="0"/>
        </w:rPr>
        <w:t>.</w:t>
      </w:r>
      <w:r>
        <w:rPr>
          <w:snapToGrid w:val="0"/>
        </w:rPr>
        <w:tab/>
        <w:t>Rejecting and accepting tenders</w:t>
      </w:r>
      <w:bookmarkEnd w:id="51"/>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r>
        <w:t>(if any)</w:t>
      </w:r>
      <w:r>
        <w:rPr>
          <w:snapToGrid w:val="0"/>
        </w:rPr>
        <w:t xml:space="preserve">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Gazette 29 Jun 2001 p. 3131</w:t>
      </w:r>
      <w:r>
        <w:noBreakHyphen/>
        <w:t>2; 18 Sep 2015 p. 3807.]</w:t>
      </w:r>
    </w:p>
    <w:p>
      <w:pPr>
        <w:pStyle w:val="Heading5"/>
        <w:rPr>
          <w:snapToGrid w:val="0"/>
        </w:rPr>
      </w:pPr>
      <w:bookmarkStart w:id="52" w:name="_Toc38031112"/>
      <w:r>
        <w:rPr>
          <w:rStyle w:val="CharSectno"/>
        </w:rPr>
        <w:t>19</w:t>
      </w:r>
      <w:r>
        <w:rPr>
          <w:snapToGrid w:val="0"/>
        </w:rPr>
        <w:t>.</w:t>
      </w:r>
      <w:r>
        <w:rPr>
          <w:snapToGrid w:val="0"/>
        </w:rPr>
        <w:tab/>
        <w:t>Tenderers to be notified of outcome</w:t>
      </w:r>
      <w:bookmarkEnd w:id="52"/>
    </w:p>
    <w:p>
      <w:pPr>
        <w:pStyle w:val="Subsection"/>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Gazette 29 Jun 2001 p. 3132.]</w:t>
      </w:r>
    </w:p>
    <w:p>
      <w:pPr>
        <w:pStyle w:val="Heading5"/>
        <w:rPr>
          <w:snapToGrid w:val="0"/>
        </w:rPr>
      </w:pPr>
      <w:bookmarkStart w:id="53" w:name="_Toc38031113"/>
      <w:r>
        <w:rPr>
          <w:rStyle w:val="CharSectno"/>
        </w:rPr>
        <w:t>20</w:t>
      </w:r>
      <w:r>
        <w:rPr>
          <w:snapToGrid w:val="0"/>
        </w:rPr>
        <w:t>.</w:t>
      </w:r>
      <w:r>
        <w:rPr>
          <w:snapToGrid w:val="0"/>
        </w:rPr>
        <w:tab/>
        <w:t>Variation of requirements before entry into contract</w:t>
      </w:r>
      <w:bookmarkEnd w:id="53"/>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pPr>
      <w:bookmarkStart w:id="54" w:name="_Toc38031114"/>
      <w:r>
        <w:rPr>
          <w:rStyle w:val="CharSectno"/>
        </w:rPr>
        <w:t>21A</w:t>
      </w:r>
      <w:r>
        <w:t>.</w:t>
      </w:r>
      <w:r>
        <w:tab/>
        <w:t>Varying a contract for the supply of goods or services</w:t>
      </w:r>
      <w:bookmarkEnd w:id="54"/>
    </w:p>
    <w:p>
      <w:pPr>
        <w:pStyle w:val="Subsection"/>
      </w:pPr>
      <w:r>
        <w:tab/>
      </w:r>
      <w:r>
        <w:tab/>
        <w:t xml:space="preserve">If a local government has entered into a contract for the supply of goods or services with a successful tenderer, the contract must not be varied unless — </w:t>
      </w:r>
    </w:p>
    <w:p>
      <w:pPr>
        <w:pStyle w:val="Indenta"/>
      </w:pPr>
      <w:r>
        <w:tab/>
        <w:t>(a)</w:t>
      </w:r>
      <w:r>
        <w:tab/>
        <w:t>the variation is necessary in order for the goods or services to be supplied and does not change the scope of the contract; or</w:t>
      </w:r>
    </w:p>
    <w:p>
      <w:pPr>
        <w:pStyle w:val="Indenta"/>
      </w:pPr>
      <w:r>
        <w:tab/>
        <w:t>(b)</w:t>
      </w:r>
      <w:r>
        <w:tab/>
        <w:t>the variation is a renewal or extension of the term of the contract as described in regulation 11(2)(j).</w:t>
      </w:r>
    </w:p>
    <w:p>
      <w:pPr>
        <w:pStyle w:val="Footnotesection"/>
      </w:pPr>
      <w:r>
        <w:tab/>
        <w:t xml:space="preserve">[Regulation 21A inserted: Gazette 18 Sep 2015 p. 3807.] </w:t>
      </w:r>
    </w:p>
    <w:p>
      <w:pPr>
        <w:pStyle w:val="Heading5"/>
        <w:rPr>
          <w:snapToGrid w:val="0"/>
        </w:rPr>
      </w:pPr>
      <w:bookmarkStart w:id="55" w:name="_Toc38031115"/>
      <w:r>
        <w:rPr>
          <w:rStyle w:val="CharSectno"/>
        </w:rPr>
        <w:t>21</w:t>
      </w:r>
      <w:r>
        <w:rPr>
          <w:snapToGrid w:val="0"/>
        </w:rPr>
        <w:t>.</w:t>
      </w:r>
      <w:r>
        <w:rPr>
          <w:snapToGrid w:val="0"/>
        </w:rPr>
        <w:tab/>
        <w:t>Limiting who can tender, procedure for</w:t>
      </w:r>
      <w:bookmarkEnd w:id="55"/>
    </w:p>
    <w:p>
      <w:pPr>
        <w:pStyle w:val="Subsection"/>
        <w:rPr>
          <w:snapToGrid w:val="0"/>
        </w:rPr>
      </w:pPr>
      <w:r>
        <w:rPr>
          <w:snapToGrid w:val="0"/>
        </w:rPr>
        <w:tab/>
        <w:t>(1)</w:t>
      </w:r>
      <w:r>
        <w:rPr>
          <w:snapToGrid w:val="0"/>
        </w:rPr>
        <w:tab/>
        <w:t xml:space="preserve">If a local government </w:t>
      </w:r>
      <w:r>
        <w:t>decides</w:t>
      </w:r>
      <w:r>
        <w:rPr>
          <w:snapToGrid w:val="0"/>
        </w:rPr>
        <w:t xml:space="preserve"> to make a preliminary selection from amongst prospective tenderers, it may seek expressions of interest with respect to the supply of the goods or services.</w:t>
      </w:r>
    </w:p>
    <w:p>
      <w:pPr>
        <w:pStyle w:val="Ednotesubsection"/>
      </w:pPr>
      <w:r>
        <w:tab/>
        <w:t>[(2)</w:t>
      </w:r>
      <w:r>
        <w:tab/>
        <w:t>deleted]</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tab/>
        <w:t>(4)</w:t>
      </w:r>
      <w:r>
        <w:rPr>
          <w:snapToGrid w:val="0"/>
        </w:rPr>
        <w:tab/>
        <w:t>The notice is required to include —</w:t>
      </w:r>
    </w:p>
    <w:p>
      <w:pPr>
        <w:pStyle w:val="Indenta"/>
        <w:keepNext/>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may be obtained; and</w:t>
      </w:r>
    </w:p>
    <w:p>
      <w:pPr>
        <w:pStyle w:val="Indenta"/>
        <w:rPr>
          <w:snapToGrid w:val="0"/>
        </w:rPr>
      </w:pPr>
      <w:r>
        <w:rPr>
          <w:snapToGrid w:val="0"/>
        </w:rPr>
        <w:tab/>
        <w:t>(c)</w:t>
      </w:r>
      <w:r>
        <w:rPr>
          <w:snapToGrid w:val="0"/>
        </w:rPr>
        <w:tab/>
        <w:t>information as to where and how expressions of interest may be submitted; and</w:t>
      </w:r>
    </w:p>
    <w:p>
      <w:pPr>
        <w:pStyle w:val="Indenta"/>
        <w:rPr>
          <w:snapToGrid w:val="0"/>
        </w:rPr>
      </w:pPr>
      <w:r>
        <w:rPr>
          <w:snapToGrid w:val="0"/>
        </w:rPr>
        <w:tab/>
        <w:t>(d)</w:t>
      </w:r>
      <w:r>
        <w:rPr>
          <w:snapToGrid w:val="0"/>
        </w:rPr>
        <w:tab/>
        <w:t>the date and time after which expressions of interest cannot be submitted.</w:t>
      </w:r>
    </w:p>
    <w:p>
      <w:pPr>
        <w:pStyle w:val="Footnotesection"/>
      </w:pPr>
      <w:r>
        <w:tab/>
        <w:t xml:space="preserve">[Regulation 21 amended: Gazette 18 Sep 2015 p. 3808.] </w:t>
      </w:r>
    </w:p>
    <w:p>
      <w:pPr>
        <w:pStyle w:val="Heading5"/>
        <w:rPr>
          <w:snapToGrid w:val="0"/>
        </w:rPr>
      </w:pPr>
      <w:bookmarkStart w:id="56" w:name="_Toc38031116"/>
      <w:r>
        <w:rPr>
          <w:rStyle w:val="CharSectno"/>
        </w:rPr>
        <w:t>22</w:t>
      </w:r>
      <w:r>
        <w:rPr>
          <w:snapToGrid w:val="0"/>
        </w:rPr>
        <w:t>.</w:t>
      </w:r>
      <w:r>
        <w:rPr>
          <w:snapToGrid w:val="0"/>
        </w:rPr>
        <w:tab/>
        <w:t>Minimum time to be allowed for submitting expressions of interest</w:t>
      </w:r>
      <w:bookmarkEnd w:id="56"/>
    </w:p>
    <w:p>
      <w:pPr>
        <w:pStyle w:val="Subsection"/>
        <w:rPr>
          <w:snapToGrid w:val="0"/>
        </w:rPr>
      </w:pPr>
      <w:r>
        <w:rPr>
          <w:snapToGrid w:val="0"/>
        </w:rPr>
        <w:tab/>
      </w:r>
      <w:r>
        <w:rPr>
          <w:snapToGrid w:val="0"/>
        </w:rPr>
        <w:tab/>
        <w:t>The time specified in the notice as the time after which expressions of interest cannot be submitted has to be at least 14 days after the notice is first published in the newspaper as part of giving Statewide public notice.</w:t>
      </w:r>
    </w:p>
    <w:p>
      <w:pPr>
        <w:pStyle w:val="Heading5"/>
        <w:rPr>
          <w:snapToGrid w:val="0"/>
        </w:rPr>
      </w:pPr>
      <w:bookmarkStart w:id="57" w:name="_Toc38031117"/>
      <w:r>
        <w:rPr>
          <w:rStyle w:val="CharSectno"/>
        </w:rPr>
        <w:t>23</w:t>
      </w:r>
      <w:r>
        <w:rPr>
          <w:snapToGrid w:val="0"/>
        </w:rPr>
        <w:t>.</w:t>
      </w:r>
      <w:r>
        <w:rPr>
          <w:snapToGrid w:val="0"/>
        </w:rPr>
        <w:tab/>
        <w:t>Rejecting and accepting expressions of interest to be acceptable tenderer</w:t>
      </w:r>
      <w:bookmarkEnd w:id="57"/>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rPr>
          <w:snapToGrid w:val="0"/>
        </w:rPr>
      </w:pPr>
      <w:r>
        <w:rPr>
          <w:snapToGrid w:val="0"/>
        </w:rPr>
        <w:tab/>
        <w:t>(4)</w:t>
      </w:r>
      <w:r>
        <w:rPr>
          <w:snapToGrid w:val="0"/>
        </w:rPr>
        <w:tab/>
        <w:t>The CEO is to list each of those persons as an acceptable tenderer.</w:t>
      </w:r>
    </w:p>
    <w:p>
      <w:pPr>
        <w:pStyle w:val="Footnotesection"/>
      </w:pPr>
      <w:r>
        <w:tab/>
        <w:t>[Regulation 23 amended: Gazette 29 Jun 2001 p. 3132.]</w:t>
      </w:r>
    </w:p>
    <w:p>
      <w:pPr>
        <w:pStyle w:val="Heading5"/>
        <w:rPr>
          <w:snapToGrid w:val="0"/>
        </w:rPr>
      </w:pPr>
      <w:bookmarkStart w:id="58" w:name="_Toc38031118"/>
      <w:r>
        <w:rPr>
          <w:rStyle w:val="CharSectno"/>
        </w:rPr>
        <w:t>24</w:t>
      </w:r>
      <w:r>
        <w:rPr>
          <w:snapToGrid w:val="0"/>
        </w:rPr>
        <w:t>.</w:t>
      </w:r>
      <w:r>
        <w:rPr>
          <w:snapToGrid w:val="0"/>
        </w:rPr>
        <w:tab/>
        <w:t>People who submitted expression of interest to be notified of outcome</w:t>
      </w:r>
      <w:bookmarkEnd w:id="58"/>
    </w:p>
    <w:p>
      <w:pPr>
        <w:pStyle w:val="Subsection"/>
        <w:keepNext/>
        <w:rPr>
          <w:snapToGrid w:val="0"/>
        </w:rPr>
      </w:pPr>
      <w:r>
        <w:rPr>
          <w:snapToGrid w:val="0"/>
        </w:rPr>
        <w:tab/>
      </w:r>
      <w:r>
        <w:rPr>
          <w:snapToGrid w:val="0"/>
        </w:rPr>
        <w:tab/>
        <w:t>The CEO is to give each person who submitted an expression of interest notice in writing —</w:t>
      </w:r>
    </w:p>
    <w:p>
      <w:pPr>
        <w:pStyle w:val="Indenta"/>
        <w:rPr>
          <w:snapToGrid w:val="0"/>
        </w:rPr>
      </w:pPr>
      <w:r>
        <w:rPr>
          <w:snapToGrid w:val="0"/>
        </w:rPr>
        <w:tab/>
        <w:t>(a)</w:t>
      </w:r>
      <w:r>
        <w:rPr>
          <w:snapToGrid w:val="0"/>
        </w:rPr>
        <w:tab/>
        <w:t>containing particulars of the persons the CEO has listed under regulation 23(4) as acceptable tenderers; or</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Gazette 29 Jun 2001 p. 3133.]</w:t>
      </w:r>
    </w:p>
    <w:p>
      <w:pPr>
        <w:pStyle w:val="Heading3"/>
      </w:pPr>
      <w:bookmarkStart w:id="59" w:name="_Toc38029456"/>
      <w:bookmarkStart w:id="60" w:name="_Toc38029536"/>
      <w:bookmarkStart w:id="61" w:name="_Toc38030920"/>
      <w:bookmarkStart w:id="62" w:name="_Toc38031119"/>
      <w:r>
        <w:rPr>
          <w:rStyle w:val="CharDivNo"/>
        </w:rPr>
        <w:t>Division 3</w:t>
      </w:r>
      <w:r>
        <w:t> — </w:t>
      </w:r>
      <w:r>
        <w:rPr>
          <w:rStyle w:val="CharDivText"/>
        </w:rPr>
        <w:t>Panels of pre</w:t>
      </w:r>
      <w:r>
        <w:rPr>
          <w:rStyle w:val="CharDivText"/>
        </w:rPr>
        <w:noBreakHyphen/>
        <w:t>qualified suppliers</w:t>
      </w:r>
      <w:bookmarkEnd w:id="59"/>
      <w:bookmarkEnd w:id="60"/>
      <w:bookmarkEnd w:id="61"/>
      <w:bookmarkEnd w:id="62"/>
    </w:p>
    <w:p>
      <w:pPr>
        <w:pStyle w:val="Footnoteheading"/>
      </w:pPr>
      <w:r>
        <w:tab/>
        <w:t>[Heading inserted: Gazette 18 Sep 2015 p. 3808.]</w:t>
      </w:r>
    </w:p>
    <w:p>
      <w:pPr>
        <w:pStyle w:val="Heading5"/>
      </w:pPr>
      <w:bookmarkStart w:id="63" w:name="_Toc38031120"/>
      <w:r>
        <w:rPr>
          <w:rStyle w:val="CharSectno"/>
        </w:rPr>
        <w:t>24AA</w:t>
      </w:r>
      <w:r>
        <w:t>.</w:t>
      </w:r>
      <w:r>
        <w:tab/>
        <w:t>Terms used</w:t>
      </w:r>
      <w:bookmarkEnd w:id="63"/>
    </w:p>
    <w:p>
      <w:pPr>
        <w:pStyle w:val="Subsection"/>
      </w:pPr>
      <w:r>
        <w:tab/>
      </w:r>
      <w:r>
        <w:tab/>
        <w:t xml:space="preserve">In this Division — </w:t>
      </w:r>
    </w:p>
    <w:p>
      <w:pPr>
        <w:pStyle w:val="Defstart"/>
      </w:pPr>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p>
    <w:p>
      <w:pPr>
        <w:pStyle w:val="Defstart"/>
      </w:pPr>
      <w:r>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p>
    <w:p>
      <w:pPr>
        <w:pStyle w:val="Footnotesection"/>
      </w:pPr>
      <w:r>
        <w:tab/>
        <w:t xml:space="preserve">[Regulation 24AA inserted: Gazette 18 Sep 2015 p. 3808.] </w:t>
      </w:r>
    </w:p>
    <w:p>
      <w:pPr>
        <w:pStyle w:val="Heading5"/>
      </w:pPr>
      <w:bookmarkStart w:id="64" w:name="_Toc38031121"/>
      <w:r>
        <w:rPr>
          <w:rStyle w:val="CharSectno"/>
        </w:rPr>
        <w:t>24AB</w:t>
      </w:r>
      <w:r>
        <w:t>.</w:t>
      </w:r>
      <w:r>
        <w:tab/>
        <w:t>Local government may establish panels of pre</w:t>
      </w:r>
      <w:r>
        <w:noBreakHyphen/>
        <w:t>qualified suppliers</w:t>
      </w:r>
      <w:bookmarkEnd w:id="64"/>
    </w:p>
    <w:p>
      <w:pPr>
        <w:pStyle w:val="Subsection"/>
        <w:keepNext/>
      </w:pPr>
      <w:r>
        <w:tab/>
      </w:r>
      <w:r>
        <w:tab/>
        <w:t>A local government may establish a panel of pre</w:t>
      </w:r>
      <w:r>
        <w:noBreakHyphen/>
        <w:t>qualified suppliers to supply particular goods or services to the local government in accordance with this Division.</w:t>
      </w:r>
    </w:p>
    <w:p>
      <w:pPr>
        <w:pStyle w:val="Footnotesection"/>
      </w:pPr>
      <w:r>
        <w:tab/>
        <w:t xml:space="preserve">[Regulation 24AB inserted: Gazette 18 Sep 2015 p. 3808.] </w:t>
      </w:r>
    </w:p>
    <w:p>
      <w:pPr>
        <w:pStyle w:val="Heading5"/>
      </w:pPr>
      <w:bookmarkStart w:id="65" w:name="_Toc38031122"/>
      <w:r>
        <w:rPr>
          <w:rStyle w:val="CharSectno"/>
        </w:rPr>
        <w:t>24AC</w:t>
      </w:r>
      <w:r>
        <w:t>.</w:t>
      </w:r>
      <w:r>
        <w:tab/>
        <w:t>Requirements before establishing panels of pre</w:t>
      </w:r>
      <w:r>
        <w:noBreakHyphen/>
        <w:t>qualified suppliers</w:t>
      </w:r>
      <w:bookmarkEnd w:id="65"/>
    </w:p>
    <w:p>
      <w:pPr>
        <w:pStyle w:val="Subsection"/>
      </w:pPr>
      <w:r>
        <w:tab/>
        <w:t>(1)</w:t>
      </w:r>
      <w:r>
        <w:tab/>
        <w:t>A local government must not establish a panel of pre</w:t>
      </w:r>
      <w:r>
        <w:noBreakHyphen/>
        <w:t xml:space="preserve">qualified suppliers unless — </w:t>
      </w:r>
    </w:p>
    <w:p>
      <w:pPr>
        <w:pStyle w:val="Indenta"/>
      </w:pPr>
      <w:r>
        <w:tab/>
        <w:t>(a)</w:t>
      </w:r>
      <w:r>
        <w:tab/>
        <w:t>it has a written policy that makes provision in respect of the matters set out in subregulation (2); and</w:t>
      </w:r>
    </w:p>
    <w:p>
      <w:pPr>
        <w:pStyle w:val="Indenta"/>
      </w:pPr>
      <w:r>
        <w:tab/>
        <w:t>(b)</w:t>
      </w:r>
      <w:r>
        <w:tab/>
        <w:t>the local government is satisfied that there is, or will be, a continuing need for the particular goods or services to be supplied by pre</w:t>
      </w:r>
      <w:r>
        <w:noBreakHyphen/>
        <w:t>qualified suppliers.</w:t>
      </w:r>
    </w:p>
    <w:p>
      <w:pPr>
        <w:pStyle w:val="Subsection"/>
      </w:pPr>
      <w:r>
        <w:tab/>
        <w:t>(2)</w:t>
      </w:r>
      <w:r>
        <w:tab/>
        <w:t xml:space="preserve">The matters referred to in subregulation (1)(a) are — </w:t>
      </w:r>
    </w:p>
    <w:p>
      <w:pPr>
        <w:pStyle w:val="Indenta"/>
      </w:pPr>
      <w:r>
        <w:tab/>
        <w:t>(a)</w:t>
      </w:r>
      <w:r>
        <w:tab/>
        <w:t>how the local government will procure goods or services from pre</w:t>
      </w:r>
      <w:r>
        <w:noBreakHyphen/>
        <w:t>qualified suppliers, including any process for obtaining quotations from them; and</w:t>
      </w:r>
    </w:p>
    <w:p>
      <w:pPr>
        <w:pStyle w:val="Indenta"/>
      </w:pPr>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p>
    <w:p>
      <w:pPr>
        <w:pStyle w:val="Indenta"/>
      </w:pPr>
      <w:r>
        <w:tab/>
        <w:t>(c)</w:t>
      </w:r>
      <w:r>
        <w:tab/>
        <w:t>how the local government will ensure clear, consistent and regular communication between the local government and pre</w:t>
      </w:r>
      <w:r>
        <w:noBreakHyphen/>
        <w:t>qualified suppliers; and</w:t>
      </w:r>
    </w:p>
    <w:p>
      <w:pPr>
        <w:pStyle w:val="Indenta"/>
      </w:pPr>
      <w:r>
        <w:tab/>
        <w:t>(d)</w:t>
      </w:r>
      <w:r>
        <w:tab/>
        <w:t>any factors that the local government will take into account when distributing work among pre</w:t>
      </w:r>
      <w:r>
        <w:noBreakHyphen/>
        <w:t>qualified suppliers; and</w:t>
      </w:r>
    </w:p>
    <w:p>
      <w:pPr>
        <w:pStyle w:val="Indenta"/>
        <w:keepNext/>
      </w:pPr>
      <w:r>
        <w:tab/>
        <w:t>(e)</w:t>
      </w:r>
      <w:r>
        <w:tab/>
        <w:t>the recording and retention of written information, or documents, in respect of —</w:t>
      </w:r>
    </w:p>
    <w:p>
      <w:pPr>
        <w:pStyle w:val="Indenti"/>
      </w:pPr>
      <w:r>
        <w:tab/>
        <w:t>(i)</w:t>
      </w:r>
      <w:r>
        <w:tab/>
        <w:t>all quotations received from pre</w:t>
      </w:r>
      <w:r>
        <w:noBreakHyphen/>
        <w:t>qualified suppliers; and</w:t>
      </w:r>
    </w:p>
    <w:p>
      <w:pPr>
        <w:pStyle w:val="Indenti"/>
      </w:pPr>
      <w:r>
        <w:tab/>
        <w:t>(ii)</w:t>
      </w:r>
      <w:r>
        <w:tab/>
        <w:t>all purchases made from pre</w:t>
      </w:r>
      <w:r>
        <w:noBreakHyphen/>
        <w:t>qualified suppliers.</w:t>
      </w:r>
    </w:p>
    <w:p>
      <w:pPr>
        <w:pStyle w:val="Footnotesection"/>
      </w:pPr>
      <w:r>
        <w:tab/>
        <w:t>[Regulation 24AC inserted: Gazette 18 Sep 2015 p. 3808</w:t>
      </w:r>
      <w:r>
        <w:noBreakHyphen/>
        <w:t xml:space="preserve">9.] </w:t>
      </w:r>
    </w:p>
    <w:p>
      <w:pPr>
        <w:pStyle w:val="Heading5"/>
      </w:pPr>
      <w:bookmarkStart w:id="66" w:name="_Toc38031123"/>
      <w:r>
        <w:rPr>
          <w:rStyle w:val="CharSectno"/>
        </w:rPr>
        <w:t>24AD</w:t>
      </w:r>
      <w:r>
        <w:t>.</w:t>
      </w:r>
      <w:r>
        <w:tab/>
        <w:t>Requirements when inviting persons to apply to join panel of pre</w:t>
      </w:r>
      <w:r>
        <w:noBreakHyphen/>
        <w:t>qualified suppliers</w:t>
      </w:r>
      <w:bookmarkEnd w:id="66"/>
    </w:p>
    <w:p>
      <w:pPr>
        <w:pStyle w:val="Subsection"/>
      </w:pPr>
      <w:r>
        <w:tab/>
        <w:t>(1)</w:t>
      </w:r>
      <w:r>
        <w:tab/>
        <w:t>If a local government decides to establish a panel of pre</w:t>
      </w:r>
      <w:r>
        <w:noBreakHyphen/>
        <w:t>qualified suppliers of particular goods or services, persons are to be publicly invited to apply to join the panel.</w:t>
      </w:r>
    </w:p>
    <w:p>
      <w:pPr>
        <w:pStyle w:val="Subsection"/>
      </w:pPr>
      <w:r>
        <w:tab/>
        <w:t>(2)</w:t>
      </w:r>
      <w:r>
        <w:tab/>
        <w:t>Statewide public notice of the invitation to apply to join a panel of pre</w:t>
      </w:r>
      <w:r>
        <w:noBreakHyphen/>
        <w:t>qualified suppliers is to be given.</w:t>
      </w:r>
    </w:p>
    <w:p>
      <w:pPr>
        <w:pStyle w:val="Subsection"/>
      </w:pPr>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p>
    <w:p>
      <w:pPr>
        <w:pStyle w:val="Subsection"/>
      </w:pPr>
      <w:r>
        <w:tab/>
        <w:t>(4)</w:t>
      </w:r>
      <w:r>
        <w:tab/>
        <w:t xml:space="preserve">A notice under subregulation (2) is to include — </w:t>
      </w:r>
    </w:p>
    <w:p>
      <w:pPr>
        <w:pStyle w:val="Indenta"/>
      </w:pPr>
      <w:r>
        <w:tab/>
        <w:t>(a)</w:t>
      </w:r>
      <w:r>
        <w:tab/>
        <w:t>a brief description of the goods or services that persons on the panel of pre</w:t>
      </w:r>
      <w:r>
        <w:noBreakHyphen/>
        <w:t>qualified suppliers will be expected to supply; and</w:t>
      </w:r>
    </w:p>
    <w:p>
      <w:pPr>
        <w:pStyle w:val="Indenta"/>
      </w:pPr>
      <w:r>
        <w:tab/>
        <w:t>(b)</w:t>
      </w:r>
      <w:r>
        <w:tab/>
        <w:t>particulars identifying a person from whom more detailed information about the proposed panel of pre</w:t>
      </w:r>
      <w:r>
        <w:noBreakHyphen/>
        <w:t>qualified suppliers of particular goods or services may be obtained; and</w:t>
      </w:r>
    </w:p>
    <w:p>
      <w:pPr>
        <w:pStyle w:val="Indenta"/>
      </w:pPr>
      <w:r>
        <w:tab/>
        <w:t>(c)</w:t>
      </w:r>
      <w:r>
        <w:tab/>
        <w:t>information as to where and how applications to join the panel of pre</w:t>
      </w:r>
      <w:r>
        <w:noBreakHyphen/>
        <w:t>qualified suppliers may be submitted; and</w:t>
      </w:r>
    </w:p>
    <w:p>
      <w:pPr>
        <w:pStyle w:val="Indenta"/>
      </w:pPr>
      <w:r>
        <w:tab/>
        <w:t>(d)</w:t>
      </w:r>
      <w:r>
        <w:tab/>
        <w:t>the date and time after which applications to join the panel of pre</w:t>
      </w:r>
      <w:r>
        <w:noBreakHyphen/>
        <w:t>qualified suppliers cannot be submitted.</w:t>
      </w:r>
    </w:p>
    <w:p>
      <w:pPr>
        <w:pStyle w:val="Subsection"/>
      </w:pPr>
      <w:r>
        <w:tab/>
        <w:t>(5)</w:t>
      </w:r>
      <w:r>
        <w:tab/>
        <w:t>In subregulation (4)(b) a reference to detailed information about a proposed panel of pre</w:t>
      </w:r>
      <w:r>
        <w:noBreakHyphen/>
        <w:t xml:space="preserve">qualified suppliers of particular goods or services includes a reference to — </w:t>
      </w:r>
    </w:p>
    <w:p>
      <w:pPr>
        <w:pStyle w:val="Indenta"/>
      </w:pPr>
      <w:r>
        <w:tab/>
        <w:t>(a)</w:t>
      </w:r>
      <w:r>
        <w:tab/>
        <w:t>the local government’s written policy referred to in regulation 24AC(1)(a); and</w:t>
      </w:r>
    </w:p>
    <w:p>
      <w:pPr>
        <w:pStyle w:val="Indenta"/>
      </w:pPr>
      <w:r>
        <w:tab/>
        <w:t>(b)</w:t>
      </w:r>
      <w:r>
        <w:tab/>
        <w:t>such information as the local government decides should be disclosed to those interested in applying to join the panel; and</w:t>
      </w:r>
    </w:p>
    <w:p>
      <w:pPr>
        <w:pStyle w:val="Indenta"/>
      </w:pPr>
      <w:r>
        <w:tab/>
        <w:t>(c)</w:t>
      </w:r>
      <w:r>
        <w:tab/>
        <w:t>detailed specifications of the goods or services that pre</w:t>
      </w:r>
      <w:r>
        <w:noBreakHyphen/>
        <w:t>qualified suppliers on the panel will be expected to supply; and</w:t>
      </w:r>
    </w:p>
    <w:p>
      <w:pPr>
        <w:pStyle w:val="Indenta"/>
      </w:pPr>
      <w:r>
        <w:tab/>
        <w:t>(d)</w:t>
      </w:r>
      <w:r>
        <w:tab/>
        <w:t>the criteria for deciding which applications to join the panel should be accepted; and</w:t>
      </w:r>
    </w:p>
    <w:p>
      <w:pPr>
        <w:pStyle w:val="Indenta"/>
      </w:pPr>
      <w:r>
        <w:tab/>
        <w:t>(e)</w:t>
      </w:r>
      <w:r>
        <w:tab/>
        <w:t>an explanation of how the panel will operate; and</w:t>
      </w:r>
    </w:p>
    <w:p>
      <w:pPr>
        <w:pStyle w:val="Indenta"/>
      </w:pPr>
      <w:r>
        <w:tab/>
        <w:t>(f)</w:t>
      </w:r>
      <w:r>
        <w:tab/>
        <w:t>whether or not the local government intends to purchase the goods or services exclusively from pre</w:t>
      </w:r>
      <w:r>
        <w:noBreakHyphen/>
        <w:t>qualified suppliers on the panel; and</w:t>
      </w:r>
    </w:p>
    <w:p>
      <w:pPr>
        <w:pStyle w:val="Indenta"/>
      </w:pPr>
      <w:r>
        <w:tab/>
        <w:t>(g)</w:t>
      </w:r>
      <w:r>
        <w:tab/>
        <w:t>a statement to the effect that there is no guarantee that the local government will purchase goods or services from pre</w:t>
      </w:r>
      <w:r>
        <w:noBreakHyphen/>
        <w:t>qualified suppliers on the panel; and</w:t>
      </w:r>
    </w:p>
    <w:p>
      <w:pPr>
        <w:pStyle w:val="Indenta"/>
      </w:pPr>
      <w:r>
        <w:tab/>
        <w:t>(h)</w:t>
      </w:r>
      <w:r>
        <w:tab/>
        <w:t>the period for which the panel will be established; and</w:t>
      </w:r>
    </w:p>
    <w:p>
      <w:pPr>
        <w:pStyle w:val="Indenta"/>
      </w:pPr>
      <w:r>
        <w:tab/>
        <w:t>(i)</w:t>
      </w:r>
      <w:r>
        <w:tab/>
        <w:t>the number of pre</w:t>
      </w:r>
      <w:r>
        <w:noBreakHyphen/>
        <w:t>qualified suppliers the local government intends to put on the panel.</w:t>
      </w:r>
    </w:p>
    <w:p>
      <w:pPr>
        <w:pStyle w:val="Subsection"/>
      </w:pPr>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p>
    <w:p>
      <w:pPr>
        <w:pStyle w:val="Footnotesection"/>
      </w:pPr>
      <w:r>
        <w:tab/>
        <w:t>[Regulation 24AD inserted: Gazette 18 Sep 2015 p. 3809</w:t>
      </w:r>
      <w:r>
        <w:noBreakHyphen/>
        <w:t xml:space="preserve">10.] </w:t>
      </w:r>
    </w:p>
    <w:p>
      <w:pPr>
        <w:pStyle w:val="Heading5"/>
      </w:pPr>
      <w:bookmarkStart w:id="67" w:name="_Toc38031124"/>
      <w:r>
        <w:rPr>
          <w:rStyle w:val="CharSectno"/>
        </w:rPr>
        <w:t>24AE</w:t>
      </w:r>
      <w:r>
        <w:t>.</w:t>
      </w:r>
      <w:r>
        <w:tab/>
        <w:t>Minimum time to be allowed for submitting application to join panel of pre</w:t>
      </w:r>
      <w:r>
        <w:noBreakHyphen/>
        <w:t>qualified suppliers</w:t>
      </w:r>
      <w:bookmarkEnd w:id="67"/>
    </w:p>
    <w:p>
      <w:pPr>
        <w:pStyle w:val="Subsection"/>
      </w:pPr>
      <w:r>
        <w:tab/>
      </w:r>
      <w:r>
        <w:tab/>
        <w:t>If notice under regulation 24AD(2) is given, the date and time referred to in regulation 24AD(4)(d) has to be at least 14 days after the notice is first published in the newspaper circulating generally throughout the State.</w:t>
      </w:r>
    </w:p>
    <w:p>
      <w:pPr>
        <w:pStyle w:val="Footnotesection"/>
      </w:pPr>
      <w:r>
        <w:tab/>
        <w:t xml:space="preserve">[Regulation 24AE inserted: Gazette 18 Sep 2015 p. 3810.] </w:t>
      </w:r>
    </w:p>
    <w:p>
      <w:pPr>
        <w:pStyle w:val="Heading5"/>
      </w:pPr>
      <w:bookmarkStart w:id="68" w:name="_Toc38031125"/>
      <w:r>
        <w:rPr>
          <w:rStyle w:val="CharSectno"/>
        </w:rPr>
        <w:t>24AF</w:t>
      </w:r>
      <w:r>
        <w:t>.</w:t>
      </w:r>
      <w:r>
        <w:tab/>
        <w:t>Procedure for receiving and opening applications</w:t>
      </w:r>
      <w:bookmarkEnd w:id="68"/>
    </w:p>
    <w:p>
      <w:pPr>
        <w:pStyle w:val="Subsection"/>
      </w:pPr>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p>
    <w:p>
      <w:pPr>
        <w:pStyle w:val="Footnotesection"/>
      </w:pPr>
      <w:r>
        <w:tab/>
        <w:t>[Regulation 24AF inserted: Gazette 18 Sep 2015 p. 3810.]</w:t>
      </w:r>
    </w:p>
    <w:p>
      <w:pPr>
        <w:pStyle w:val="Heading5"/>
      </w:pPr>
      <w:bookmarkStart w:id="69" w:name="_Toc38031126"/>
      <w:r>
        <w:rPr>
          <w:rStyle w:val="CharSectno"/>
        </w:rPr>
        <w:t>24AG</w:t>
      </w:r>
      <w:r>
        <w:t>.</w:t>
      </w:r>
      <w:r>
        <w:tab/>
        <w:t>Information about panels of pre</w:t>
      </w:r>
      <w:r>
        <w:noBreakHyphen/>
        <w:t>qualified suppliers to be included in tenders register</w:t>
      </w:r>
      <w:bookmarkEnd w:id="69"/>
    </w:p>
    <w:p>
      <w:pPr>
        <w:pStyle w:val="Subsection"/>
      </w:pPr>
      <w:r>
        <w:tab/>
        <w:t>(1)</w:t>
      </w:r>
      <w:r>
        <w:tab/>
        <w:t>The tenders register kept under these regulations must include, for each invitation to apply to join a panel of pre</w:t>
      </w:r>
      <w:r>
        <w:noBreakHyphen/>
        <w:t xml:space="preserve">qualified suppliers — </w:t>
      </w:r>
    </w:p>
    <w:p>
      <w:pPr>
        <w:pStyle w:val="Indenta"/>
      </w:pPr>
      <w:r>
        <w:tab/>
        <w:t>(a)</w:t>
      </w:r>
      <w:r>
        <w:tab/>
        <w:t>a brief description of the goods or services persons on the panel will be expected to supply; and</w:t>
      </w:r>
    </w:p>
    <w:p>
      <w:pPr>
        <w:pStyle w:val="Indenta"/>
      </w:pPr>
      <w:r>
        <w:tab/>
        <w:t>(b)</w:t>
      </w:r>
      <w:r>
        <w:tab/>
        <w:t>a copy of the notice of the invitation to apply to join the panel; and</w:t>
      </w:r>
    </w:p>
    <w:p>
      <w:pPr>
        <w:pStyle w:val="Indenta"/>
      </w:pPr>
      <w:r>
        <w:tab/>
        <w:t>(c)</w:t>
      </w:r>
      <w:r>
        <w:tab/>
        <w:t>the name of each applicant whose application has been opened; and</w:t>
      </w:r>
    </w:p>
    <w:p>
      <w:pPr>
        <w:pStyle w:val="Indenta"/>
      </w:pPr>
      <w:r>
        <w:tab/>
        <w:t>(d)</w:t>
      </w:r>
      <w:r>
        <w:tab/>
        <w:t>the name of any successful applicant.</w:t>
      </w:r>
    </w:p>
    <w:p>
      <w:pPr>
        <w:pStyle w:val="Subsection"/>
      </w:pPr>
      <w:r>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p>
    <w:p>
      <w:pPr>
        <w:pStyle w:val="Footnotesection"/>
      </w:pPr>
      <w:r>
        <w:tab/>
        <w:t xml:space="preserve">[Regulation 24AG inserted: Gazette 18 Sep 2015 p. 3811.] </w:t>
      </w:r>
    </w:p>
    <w:p>
      <w:pPr>
        <w:pStyle w:val="Heading5"/>
      </w:pPr>
      <w:bookmarkStart w:id="70" w:name="_Toc38031127"/>
      <w:r>
        <w:rPr>
          <w:rStyle w:val="CharSectno"/>
        </w:rPr>
        <w:t>24AH</w:t>
      </w:r>
      <w:r>
        <w:t>.</w:t>
      </w:r>
      <w:r>
        <w:tab/>
        <w:t>Rejecting and accepting applications to join panel of pre</w:t>
      </w:r>
      <w:r>
        <w:noBreakHyphen/>
        <w:t>qualified suppliers</w:t>
      </w:r>
      <w:bookmarkEnd w:id="70"/>
    </w:p>
    <w:p>
      <w:pPr>
        <w:pStyle w:val="Subsection"/>
      </w:pPr>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p>
    <w:p>
      <w:pPr>
        <w:pStyle w:val="Subsection"/>
      </w:pPr>
      <w:r>
        <w:tab/>
        <w:t>(2)</w:t>
      </w:r>
      <w:r>
        <w:tab/>
        <w:t>An application that is submitted at a place, and within the time, specified in the invitation but that fails to comply with any other requirement specified in the invitation may be rejected without considering the merits of the application.</w:t>
      </w:r>
    </w:p>
    <w:p>
      <w:pPr>
        <w:pStyle w:val="Subsection"/>
      </w:pPr>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p>
    <w:p>
      <w:pPr>
        <w:pStyle w:val="Subsection"/>
      </w:pPr>
      <w:r>
        <w:tab/>
        <w:t>(4)</w:t>
      </w:r>
      <w:r>
        <w:tab/>
        <w:t>To assist the local government in deciding whether an application would be advantageous to it to accept, the person who submitted the application may be requested to clarify the information provided in it.</w:t>
      </w:r>
    </w:p>
    <w:p>
      <w:pPr>
        <w:pStyle w:val="Subsection"/>
      </w:pPr>
      <w:r>
        <w:tab/>
        <w:t>(5)</w:t>
      </w:r>
      <w:r>
        <w:tab/>
        <w:t>The local government may decline to accept any application.</w:t>
      </w:r>
    </w:p>
    <w:p>
      <w:pPr>
        <w:pStyle w:val="Footnotesection"/>
      </w:pPr>
      <w:r>
        <w:tab/>
        <w:t xml:space="preserve">[Regulation 24AH inserted: Gazette 18 Sep 2015 p. 3811.] </w:t>
      </w:r>
    </w:p>
    <w:p>
      <w:pPr>
        <w:pStyle w:val="Heading5"/>
      </w:pPr>
      <w:bookmarkStart w:id="71" w:name="_Toc38031128"/>
      <w:r>
        <w:rPr>
          <w:rStyle w:val="CharSectno"/>
        </w:rPr>
        <w:t>24AI</w:t>
      </w:r>
      <w:r>
        <w:t>.</w:t>
      </w:r>
      <w:r>
        <w:tab/>
        <w:t>Applicants to be notified of outcome</w:t>
      </w:r>
      <w:bookmarkEnd w:id="71"/>
    </w:p>
    <w:p>
      <w:pPr>
        <w:pStyle w:val="Subsection"/>
      </w:pPr>
      <w:r>
        <w:tab/>
      </w:r>
      <w:r>
        <w:tab/>
        <w:t xml:space="preserve">After the local government has decided under regulation 24AH which applications (if any) it will accept, the CEO is to give each person who submitted an application notice in writing advising — </w:t>
      </w:r>
    </w:p>
    <w:p>
      <w:pPr>
        <w:pStyle w:val="Indenta"/>
      </w:pPr>
      <w:r>
        <w:tab/>
        <w:t>(a)</w:t>
      </w:r>
      <w:r>
        <w:tab/>
        <w:t>that the person’s application was accepted and that the person is, for the period specified in the notice, to be part of a panel of pre</w:t>
      </w:r>
      <w:r>
        <w:noBreakHyphen/>
        <w:t>qualified suppliers of the particular goods or services; or</w:t>
      </w:r>
    </w:p>
    <w:p>
      <w:pPr>
        <w:pStyle w:val="Indenta"/>
        <w:keepNext/>
      </w:pPr>
      <w:r>
        <w:tab/>
        <w:t>(b)</w:t>
      </w:r>
      <w:r>
        <w:tab/>
        <w:t>that the person’s application was not accepted.</w:t>
      </w:r>
    </w:p>
    <w:p>
      <w:pPr>
        <w:pStyle w:val="Footnotesection"/>
      </w:pPr>
      <w:r>
        <w:tab/>
        <w:t xml:space="preserve">[Regulation 24AI inserted: Gazette 18 Sep 2015 p. 3812.] </w:t>
      </w:r>
    </w:p>
    <w:p>
      <w:pPr>
        <w:pStyle w:val="Heading5"/>
      </w:pPr>
      <w:bookmarkStart w:id="72" w:name="_Toc38031129"/>
      <w:r>
        <w:rPr>
          <w:rStyle w:val="CharSectno"/>
        </w:rPr>
        <w:t>24AJ</w:t>
      </w:r>
      <w:r>
        <w:t>.</w:t>
      </w:r>
      <w:r>
        <w:tab/>
        <w:t>Contracts with pre</w:t>
      </w:r>
      <w:r>
        <w:noBreakHyphen/>
        <w:t>qualified suppliers</w:t>
      </w:r>
      <w:bookmarkEnd w:id="72"/>
    </w:p>
    <w:p>
      <w:pPr>
        <w:pStyle w:val="Subsection"/>
      </w:pPr>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p>
    <w:p>
      <w:pPr>
        <w:pStyle w:val="Subsection"/>
      </w:pPr>
      <w:r>
        <w:tab/>
        <w:t>(2)</w:t>
      </w:r>
      <w:r>
        <w:tab/>
        <w:t xml:space="preserve">A contract referred to in subregulation (1) must not — </w:t>
      </w:r>
    </w:p>
    <w:p>
      <w:pPr>
        <w:pStyle w:val="Indenta"/>
      </w:pPr>
      <w:r>
        <w:tab/>
        <w:t>(a)</w:t>
      </w:r>
      <w:r>
        <w:tab/>
        <w:t>be for a term exceeding 12 months; or</w:t>
      </w:r>
    </w:p>
    <w:p>
      <w:pPr>
        <w:pStyle w:val="Indenta"/>
      </w:pPr>
      <w:r>
        <w:tab/>
        <w:t>(b)</w:t>
      </w:r>
      <w:r>
        <w:tab/>
        <w:t>contain an option to renew or extend its term.</w:t>
      </w:r>
    </w:p>
    <w:p>
      <w:pPr>
        <w:pStyle w:val="Footnotesection"/>
      </w:pPr>
      <w:r>
        <w:tab/>
        <w:t xml:space="preserve">[Regulation 24AJ inserted: Gazette 18 Sep 2015 p. 3812.] </w:t>
      </w:r>
    </w:p>
    <w:p>
      <w:pPr>
        <w:pStyle w:val="Heading2"/>
      </w:pPr>
      <w:bookmarkStart w:id="73" w:name="_Toc38029467"/>
      <w:bookmarkStart w:id="74" w:name="_Toc38029547"/>
      <w:bookmarkStart w:id="75" w:name="_Toc38030931"/>
      <w:bookmarkStart w:id="76" w:name="_Toc38031130"/>
      <w:r>
        <w:rPr>
          <w:rStyle w:val="CharPartNo"/>
        </w:rPr>
        <w:t>Part 4A</w:t>
      </w:r>
      <w:r>
        <w:rPr>
          <w:rStyle w:val="CharDivNo"/>
        </w:rPr>
        <w:t xml:space="preserve"> </w:t>
      </w:r>
      <w:r>
        <w:t>—</w:t>
      </w:r>
      <w:r>
        <w:rPr>
          <w:rStyle w:val="CharDivText"/>
        </w:rPr>
        <w:t xml:space="preserve"> </w:t>
      </w:r>
      <w:r>
        <w:rPr>
          <w:rStyle w:val="CharPartText"/>
        </w:rPr>
        <w:t>Regional price preference</w:t>
      </w:r>
      <w:bookmarkEnd w:id="73"/>
      <w:bookmarkEnd w:id="74"/>
      <w:bookmarkEnd w:id="75"/>
      <w:bookmarkEnd w:id="76"/>
    </w:p>
    <w:p>
      <w:pPr>
        <w:pStyle w:val="Footnoteheading"/>
      </w:pPr>
      <w:r>
        <w:tab/>
        <w:t>[Heading inserted: Gazette 25 Feb 2000 p. 971.]</w:t>
      </w:r>
    </w:p>
    <w:p>
      <w:pPr>
        <w:pStyle w:val="Heading5"/>
        <w:spacing w:before="180"/>
      </w:pPr>
      <w:bookmarkStart w:id="77" w:name="_Toc38031131"/>
      <w:r>
        <w:rPr>
          <w:rStyle w:val="CharSectno"/>
        </w:rPr>
        <w:t>24A</w:t>
      </w:r>
      <w:r>
        <w:t>.</w:t>
      </w:r>
      <w:r>
        <w:tab/>
        <w:t>Application of this Part</w:t>
      </w:r>
      <w:bookmarkEnd w:id="77"/>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Gazette 25 Feb 2000 p. 971.]</w:t>
      </w:r>
    </w:p>
    <w:p>
      <w:pPr>
        <w:pStyle w:val="Heading5"/>
        <w:spacing w:before="180"/>
      </w:pPr>
      <w:bookmarkStart w:id="78" w:name="_Toc38031132"/>
      <w:r>
        <w:rPr>
          <w:rStyle w:val="CharSectno"/>
        </w:rPr>
        <w:t>24B</w:t>
      </w:r>
      <w:r>
        <w:t>.</w:t>
      </w:r>
      <w:r>
        <w:tab/>
        <w:t>Terms used</w:t>
      </w:r>
      <w:bookmarkEnd w:id="78"/>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 Gazette 25 Feb 2000 p. 971.]</w:t>
      </w:r>
    </w:p>
    <w:p>
      <w:pPr>
        <w:pStyle w:val="Heading5"/>
        <w:spacing w:before="180"/>
      </w:pPr>
      <w:bookmarkStart w:id="79" w:name="_Toc38031133"/>
      <w:r>
        <w:rPr>
          <w:rStyle w:val="CharSectno"/>
        </w:rPr>
        <w:t>24C</w:t>
      </w:r>
      <w:r>
        <w:t>.</w:t>
      </w:r>
      <w:r>
        <w:tab/>
        <w:t>Regional price preference may be given</w:t>
      </w:r>
      <w:bookmarkEnd w:id="79"/>
    </w:p>
    <w:p>
      <w:pPr>
        <w:pStyle w:val="Subsection"/>
        <w:spacing w:before="120"/>
      </w:pPr>
      <w:r>
        <w:tab/>
      </w:r>
      <w:r>
        <w:tab/>
        <w:t>A local government located outside the metropolitan area may give a regional price preference to a regional tenderer in accordance with this Part.</w:t>
      </w:r>
    </w:p>
    <w:p>
      <w:pPr>
        <w:pStyle w:val="Footnotesection"/>
      </w:pPr>
      <w:r>
        <w:tab/>
        <w:t>[Regulation 24C inserted: Gazette 25 Feb 2000 p. 971.]</w:t>
      </w:r>
    </w:p>
    <w:p>
      <w:pPr>
        <w:pStyle w:val="Heading5"/>
      </w:pPr>
      <w:bookmarkStart w:id="80" w:name="_Toc38031134"/>
      <w:r>
        <w:rPr>
          <w:rStyle w:val="CharSectno"/>
        </w:rPr>
        <w:t>24D</w:t>
      </w:r>
      <w:r>
        <w:t>.</w:t>
      </w:r>
      <w:r>
        <w:tab/>
        <w:t>Discounts permitted for regional price preferences</w:t>
      </w:r>
      <w:bookmarkEnd w:id="80"/>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Gazette 25 Feb 2000 p. 972.]</w:t>
      </w:r>
    </w:p>
    <w:p>
      <w:pPr>
        <w:pStyle w:val="Heading5"/>
      </w:pPr>
      <w:bookmarkStart w:id="81" w:name="_Toc38031135"/>
      <w:r>
        <w:rPr>
          <w:rStyle w:val="CharSectno"/>
        </w:rPr>
        <w:t>24E</w:t>
      </w:r>
      <w:r>
        <w:t>.</w:t>
      </w:r>
      <w:r>
        <w:tab/>
        <w:t>Regional price preference policies for local governments</w:t>
      </w:r>
      <w:bookmarkEnd w:id="81"/>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 and</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 and</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p>
    <w:p>
      <w:pPr>
        <w:pStyle w:val="Indenta"/>
      </w:pPr>
      <w:r>
        <w:tab/>
        <w:t>(b)</w:t>
      </w:r>
      <w:r>
        <w:tab/>
      </w:r>
      <w:r>
        <w:rPr>
          <w:u w:val="single"/>
        </w:rPr>
        <w:t>for different goods or services</w:t>
      </w:r>
      <w:r>
        <w:t xml:space="preserve"> within a single contract or various contracts;</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Gazette 25 Feb 2000 p. 972</w:t>
      </w:r>
      <w:r>
        <w:noBreakHyphen/>
        <w:t>3; amended: Gazette 31 Mar 2005 p. 1055.]</w:t>
      </w:r>
    </w:p>
    <w:p>
      <w:pPr>
        <w:pStyle w:val="Heading5"/>
        <w:spacing w:before="180"/>
      </w:pPr>
      <w:bookmarkStart w:id="82" w:name="_Toc38031136"/>
      <w:r>
        <w:rPr>
          <w:rStyle w:val="CharSectno"/>
        </w:rPr>
        <w:t>24F</w:t>
      </w:r>
      <w:r>
        <w:t>.</w:t>
      </w:r>
      <w:r>
        <w:tab/>
        <w:t>Adoption and notice of regional price preference policy</w:t>
      </w:r>
      <w:bookmarkEnd w:id="82"/>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 and</w:t>
      </w:r>
    </w:p>
    <w:p>
      <w:pPr>
        <w:pStyle w:val="Indenta"/>
        <w:spacing w:before="60"/>
      </w:pPr>
      <w:r>
        <w:tab/>
        <w:t>(b)</w:t>
      </w:r>
      <w:r>
        <w:tab/>
        <w:t>the types and nature of businesses that may be considered for each type of preference; and</w:t>
      </w:r>
    </w:p>
    <w:p>
      <w:pPr>
        <w:pStyle w:val="Indenta"/>
        <w:spacing w:before="60"/>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rPr>
          <w:i/>
        </w:rPr>
      </w:pPr>
      <w:r>
        <w:tab/>
        <w:t>(b)</w:t>
      </w:r>
      <w:r>
        <w:tab/>
        <w:t xml:space="preserve">made available in accordance with regulation 29 of the </w:t>
      </w:r>
      <w:r>
        <w:rPr>
          <w:i/>
        </w:rPr>
        <w:t>Local Government (Administration) Regulations 1996.</w:t>
      </w:r>
    </w:p>
    <w:p>
      <w:pPr>
        <w:pStyle w:val="Footnotesection"/>
      </w:pPr>
      <w:r>
        <w:tab/>
        <w:t>[Regulation 24F inserted: Gazette 25 Feb 2000 p. 973</w:t>
      </w:r>
      <w:r>
        <w:noBreakHyphen/>
        <w:t>4; amended: Gazette 31 Mar 2005 p. 1055.]</w:t>
      </w:r>
    </w:p>
    <w:p>
      <w:pPr>
        <w:pStyle w:val="Heading5"/>
      </w:pPr>
      <w:bookmarkStart w:id="83" w:name="_Toc38031137"/>
      <w:r>
        <w:rPr>
          <w:rStyle w:val="CharSectno"/>
        </w:rPr>
        <w:t>24G</w:t>
      </w:r>
      <w:r>
        <w:t>.</w:t>
      </w:r>
      <w:r>
        <w:tab/>
        <w:t>Adopted regional price preference policy, effect of</w:t>
      </w:r>
      <w:bookmarkEnd w:id="83"/>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Gazette 25 Feb 2000 p. 974.]</w:t>
      </w:r>
    </w:p>
    <w:p>
      <w:pPr>
        <w:pStyle w:val="Ednotepart"/>
      </w:pPr>
      <w:r>
        <w:t>[Part 4B (r. 24H-24I) deleted: Gazette 27 Sep 2011 p. 3846.]</w:t>
      </w:r>
    </w:p>
    <w:p>
      <w:pPr>
        <w:pStyle w:val="Heading2"/>
      </w:pPr>
      <w:bookmarkStart w:id="84" w:name="_Toc38029475"/>
      <w:bookmarkStart w:id="85" w:name="_Toc38029555"/>
      <w:bookmarkStart w:id="86" w:name="_Toc38030939"/>
      <w:bookmarkStart w:id="87" w:name="_Toc38031138"/>
      <w:r>
        <w:rPr>
          <w:rStyle w:val="CharPartNo"/>
        </w:rPr>
        <w:t>Part 5</w:t>
      </w:r>
      <w:r>
        <w:rPr>
          <w:rStyle w:val="CharDivNo"/>
        </w:rPr>
        <w:t> </w:t>
      </w:r>
      <w:r>
        <w:t>—</w:t>
      </w:r>
      <w:r>
        <w:rPr>
          <w:rStyle w:val="CharDivText"/>
        </w:rPr>
        <w:t> </w:t>
      </w:r>
      <w:r>
        <w:rPr>
          <w:rStyle w:val="CharPartText"/>
        </w:rPr>
        <w:t>Owner onus and infringement notices</w:t>
      </w:r>
      <w:bookmarkEnd w:id="84"/>
      <w:bookmarkEnd w:id="85"/>
      <w:bookmarkEnd w:id="86"/>
      <w:bookmarkEnd w:id="87"/>
    </w:p>
    <w:p>
      <w:pPr>
        <w:pStyle w:val="Heading5"/>
        <w:ind w:right="376"/>
        <w:rPr>
          <w:snapToGrid w:val="0"/>
        </w:rPr>
      </w:pPr>
      <w:bookmarkStart w:id="88" w:name="_Toc38031139"/>
      <w:r>
        <w:rPr>
          <w:rStyle w:val="CharSectno"/>
        </w:rPr>
        <w:t>25</w:t>
      </w:r>
      <w:r>
        <w:rPr>
          <w:snapToGrid w:val="0"/>
        </w:rPr>
        <w:t>.</w:t>
      </w:r>
      <w:r>
        <w:rPr>
          <w:snapToGrid w:val="0"/>
        </w:rPr>
        <w:tab/>
        <w:t>Notice to put onus on vehicle owner, form of (Act s. 9.13)</w:t>
      </w:r>
      <w:bookmarkEnd w:id="88"/>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89" w:name="_Toc38031140"/>
      <w:r>
        <w:rPr>
          <w:rStyle w:val="CharSectno"/>
        </w:rPr>
        <w:t>26</w:t>
      </w:r>
      <w:r>
        <w:rPr>
          <w:snapToGrid w:val="0"/>
        </w:rPr>
        <w:t>.</w:t>
      </w:r>
      <w:r>
        <w:rPr>
          <w:snapToGrid w:val="0"/>
        </w:rPr>
        <w:tab/>
        <w:t>Infringement notice, form of (Act s. 9.16)</w:t>
      </w:r>
      <w:bookmarkEnd w:id="89"/>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90" w:name="_Toc38031141"/>
      <w:r>
        <w:rPr>
          <w:rStyle w:val="CharSectno"/>
        </w:rPr>
        <w:t>27</w:t>
      </w:r>
      <w:r>
        <w:rPr>
          <w:snapToGrid w:val="0"/>
        </w:rPr>
        <w:t>.</w:t>
      </w:r>
      <w:r>
        <w:rPr>
          <w:snapToGrid w:val="0"/>
        </w:rPr>
        <w:tab/>
        <w:t>Withdrawal of infringement notice, form of (Act s. 9.20)</w:t>
      </w:r>
      <w:bookmarkEnd w:id="90"/>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r>
        <w:rPr>
          <w:rStyle w:val="CharSectno"/>
        </w:rPr>
        <w:t>[</w:t>
      </w:r>
      <w:r>
        <w:rPr>
          <w:rStyle w:val="CharSectno"/>
          <w:b/>
          <w:bCs/>
        </w:rPr>
        <w:t>28</w:t>
      </w:r>
      <w:r>
        <w:rPr>
          <w:b/>
          <w:bCs/>
        </w:rPr>
        <w:t>.</w:t>
      </w:r>
      <w:r>
        <w:tab/>
        <w:t>Omitted under the Reprints Act 1984 s. 7(4)(g).]</w:t>
      </w:r>
    </w:p>
    <w:p>
      <w:pPr>
        <w:pStyle w:val="Heading2"/>
      </w:pPr>
      <w:bookmarkStart w:id="91" w:name="_Toc38029479"/>
      <w:bookmarkStart w:id="92" w:name="_Toc38029559"/>
      <w:bookmarkStart w:id="93" w:name="_Toc38030943"/>
      <w:bookmarkStart w:id="94" w:name="_Toc38031142"/>
      <w:r>
        <w:rPr>
          <w:rStyle w:val="CharPartNo"/>
        </w:rPr>
        <w:t>Part 6</w:t>
      </w:r>
      <w:r>
        <w:rPr>
          <w:rStyle w:val="CharDivNo"/>
        </w:rPr>
        <w:t> </w:t>
      </w:r>
      <w:r>
        <w:t>—</w:t>
      </w:r>
      <w:r>
        <w:rPr>
          <w:rStyle w:val="CharDivText"/>
        </w:rPr>
        <w:t> </w:t>
      </w:r>
      <w:r>
        <w:rPr>
          <w:rStyle w:val="CharPartText"/>
        </w:rPr>
        <w:t>Miscellaneous</w:t>
      </w:r>
      <w:bookmarkEnd w:id="91"/>
      <w:bookmarkEnd w:id="92"/>
      <w:bookmarkEnd w:id="93"/>
      <w:bookmarkEnd w:id="94"/>
    </w:p>
    <w:p>
      <w:pPr>
        <w:pStyle w:val="Heading5"/>
        <w:ind w:right="856"/>
        <w:rPr>
          <w:snapToGrid w:val="0"/>
        </w:rPr>
      </w:pPr>
      <w:bookmarkStart w:id="95" w:name="_Toc38031143"/>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95"/>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presence of the goods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 Gazette 29 Apr 1997 p. 2145; 25 Feb 2000 p. 974.]</w:t>
      </w:r>
    </w:p>
    <w:p>
      <w:pPr>
        <w:pStyle w:val="Heading5"/>
      </w:pPr>
      <w:bookmarkStart w:id="96" w:name="_Toc38031144"/>
      <w:r>
        <w:rPr>
          <w:rStyle w:val="CharSectno"/>
        </w:rPr>
        <w:t>29A</w:t>
      </w:r>
      <w:r>
        <w:t>.</w:t>
      </w:r>
      <w:r>
        <w:tab/>
        <w:t xml:space="preserve">Abandoned vehicle wrecks, value etc. prescribed for </w:t>
      </w:r>
      <w:r>
        <w:rPr>
          <w:snapToGrid w:val="0"/>
        </w:rPr>
        <w:t>(Act </w:t>
      </w:r>
      <w:r>
        <w:t>s. 3.40A(5)(c))</w:t>
      </w:r>
      <w:bookmarkEnd w:id="96"/>
    </w:p>
    <w:p>
      <w:pPr>
        <w:pStyle w:val="Subsection"/>
      </w:pPr>
      <w:r>
        <w:tab/>
      </w:r>
      <w:r>
        <w:tab/>
        <w:t xml:space="preserve">For the purposes of the definition of </w:t>
      </w:r>
      <w:r>
        <w:rPr>
          <w:b/>
          <w:i/>
        </w:rPr>
        <w:t>abandoned vehicle wreck</w:t>
      </w:r>
      <w:r>
        <w:t xml:space="preserve"> in section 3.40A(5)(c) of the Act —</w:t>
      </w:r>
    </w:p>
    <w:p>
      <w:pPr>
        <w:pStyle w:val="Indenta"/>
      </w:pPr>
      <w:r>
        <w:tab/>
        <w:t>(a)</w:t>
      </w:r>
      <w:r>
        <w:tab/>
        <w:t xml:space="preserve">the prescribed value is $500;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Gazette 31 Mar 2005 p. 1058; amended: Gazette 27 Sep 2011 p. 3846; 18 Sep 2015 p. 3812.]</w:t>
      </w:r>
    </w:p>
    <w:p>
      <w:pPr>
        <w:pStyle w:val="Heading5"/>
      </w:pPr>
      <w:bookmarkStart w:id="97" w:name="_Toc38031145"/>
      <w:r>
        <w:rPr>
          <w:rStyle w:val="CharSectno"/>
        </w:rPr>
        <w:t>29B</w:t>
      </w:r>
      <w:r>
        <w:t>.</w:t>
      </w:r>
      <w:r>
        <w:tab/>
        <w:t>Prescribed non</w:t>
      </w:r>
      <w:r>
        <w:noBreakHyphen/>
        <w:t xml:space="preserve">perishable goods </w:t>
      </w:r>
      <w:r>
        <w:rPr>
          <w:snapToGrid w:val="0"/>
        </w:rPr>
        <w:t>(Act </w:t>
      </w:r>
      <w:r>
        <w:t>s. 3.47(2b)(ca))</w:t>
      </w:r>
      <w:bookmarkEnd w:id="97"/>
    </w:p>
    <w:p>
      <w:pPr>
        <w:pStyle w:val="Subsection"/>
      </w:pPr>
      <w:r>
        <w:tab/>
      </w:r>
      <w:r>
        <w:tab/>
        <w:t>For the purposes of section 3.47(2b)(ca) of the Act, shopping trolleys are prescribed non</w:t>
      </w:r>
      <w:r>
        <w:noBreakHyphen/>
        <w:t>perishable goods.</w:t>
      </w:r>
    </w:p>
    <w:p>
      <w:pPr>
        <w:pStyle w:val="Footnotesection"/>
      </w:pPr>
      <w:r>
        <w:tab/>
        <w:t>[Regulation 29B inserted: Gazette 20 Nov 2009 p. 4660.]</w:t>
      </w:r>
    </w:p>
    <w:p>
      <w:pPr>
        <w:pStyle w:val="Heading5"/>
        <w:rPr>
          <w:snapToGrid w:val="0"/>
        </w:rPr>
      </w:pPr>
      <w:bookmarkStart w:id="98" w:name="_Toc38031146"/>
      <w:r>
        <w:rPr>
          <w:rStyle w:val="CharSectno"/>
        </w:rPr>
        <w:t>30</w:t>
      </w:r>
      <w:r>
        <w:rPr>
          <w:snapToGrid w:val="0"/>
        </w:rPr>
        <w:t>.</w:t>
      </w:r>
      <w:r>
        <w:rPr>
          <w:snapToGrid w:val="0"/>
        </w:rPr>
        <w:tab/>
        <w:t>Dispositions of property excluded from Act s. 3.58</w:t>
      </w:r>
      <w:bookmarkEnd w:id="98"/>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land is disposed of to a body, whether incorporated or not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land is disposed of to —</w:t>
      </w:r>
    </w:p>
    <w:p>
      <w:pPr>
        <w:pStyle w:val="Indenti"/>
        <w:rPr>
          <w:snapToGrid w:val="0"/>
        </w:rPr>
      </w:pPr>
      <w:r>
        <w:rPr>
          <w:snapToGrid w:val="0"/>
        </w:rPr>
        <w:tab/>
        <w:t>(i)</w:t>
      </w:r>
      <w:r>
        <w:rPr>
          <w:snapToGrid w:val="0"/>
        </w:rPr>
        <w:tab/>
        <w:t>the Crown in right of the State or the Commonwealth; or</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it is the leasing of land to an employee of the local government for use as the employee’s residence; or</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pPr>
        <w:pStyle w:val="Indenta"/>
      </w:pPr>
      <w:r>
        <w:tab/>
        <w:t>(f)</w:t>
      </w:r>
      <w:r>
        <w:tab/>
        <w:t xml:space="preserve">it is the leasing of land to a person registered under the </w:t>
      </w:r>
      <w:r>
        <w:rPr>
          <w:i/>
        </w:rPr>
        <w:t>Health Practitioner Regulation National Law (Western Australia)</w:t>
      </w:r>
      <w:r>
        <w:t xml:space="preserve"> in the medical profession to be used for carrying on his or her medical practice; or</w:t>
      </w:r>
    </w:p>
    <w:p>
      <w:pPr>
        <w:pStyle w:val="Indenta"/>
        <w:rPr>
          <w:snapToGrid w:val="0"/>
        </w:rPr>
      </w:pPr>
      <w:r>
        <w:tab/>
        <w:t>(g)</w:t>
      </w:r>
      <w:r>
        <w:tab/>
        <w:t>it is the leasing of residential property to a person.</w:t>
      </w:r>
    </w:p>
    <w:p>
      <w:pPr>
        <w:pStyle w:val="Subsection"/>
      </w:pPr>
      <w:r>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 or</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the subject of Statewide public notice under section 3.59(4) of the Act, and if the business plan referred to in that notice described the property concerned and gave details of the proposed disposition including —</w:t>
      </w:r>
    </w:p>
    <w:p>
      <w:pPr>
        <w:pStyle w:val="Indenti"/>
      </w:pPr>
      <w:r>
        <w:tab/>
        <w:t>(i)</w:t>
      </w:r>
      <w:r>
        <w:tab/>
        <w:t>the names of all other parties concerned; and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Details (</w:t>
      </w:r>
      <w:r>
        <w:rPr>
          <w:i/>
        </w:rPr>
        <w:t>see section 3.58(4) of the Act</w:t>
      </w:r>
      <w:r>
        <w:t>) of a disposition of property under subregulation (2a) must be made available for public inspection for at least 12 months from the initial auction or tender, as the case requires.</w:t>
      </w:r>
    </w:p>
    <w:p>
      <w:pPr>
        <w:pStyle w:val="Subsection"/>
        <w:rPr>
          <w:snapToGrid w:val="0"/>
        </w:rPr>
      </w:pPr>
      <w:r>
        <w:rPr>
          <w:snapToGrid w:val="0"/>
        </w:rPr>
        <w:tab/>
        <w:t>(3)</w:t>
      </w:r>
      <w:r>
        <w:rPr>
          <w:snapToGrid w:val="0"/>
        </w:rPr>
        <w:tab/>
        <w:t>A disposition of property other than land is an exempt disposition if —</w:t>
      </w:r>
    </w:p>
    <w:p>
      <w:pPr>
        <w:pStyle w:val="Indenta"/>
        <w:rPr>
          <w:snapToGrid w:val="0"/>
        </w:rPr>
      </w:pPr>
      <w:r>
        <w:rPr>
          <w:snapToGrid w:val="0"/>
        </w:rPr>
        <w:tab/>
        <w:t>(a)</w:t>
      </w:r>
      <w:r>
        <w:rPr>
          <w:snapToGrid w:val="0"/>
        </w:rPr>
        <w:tab/>
        <w:t>its market value is less than $20 000; or</w:t>
      </w:r>
    </w:p>
    <w:p>
      <w:pPr>
        <w:pStyle w:val="Indenta"/>
      </w:pPr>
      <w:r>
        <w:tab/>
        <w:t>(b)</w:t>
      </w:r>
      <w:r>
        <w:tab/>
        <w:t>the entire consideration received by the local government for the disposition is used to purchase other property, and where the total consideration for the other property is not more, or worth more, than $75 000.</w:t>
      </w:r>
    </w:p>
    <w:p>
      <w:pPr>
        <w:pStyle w:val="Footnotesection"/>
      </w:pPr>
      <w:r>
        <w:tab/>
        <w:t>[Regulation 30 amended: Gazette 25 Feb 2000 p. 974</w:t>
      </w:r>
      <w:r>
        <w:noBreakHyphen/>
        <w:t>5; 28 Apr 2000 p. 2041; 31 Mar 2005 p. 1055</w:t>
      </w:r>
      <w:r>
        <w:noBreakHyphen/>
        <w:t>6; 27 Sep 2011 p. 3846; 18 Sep 2015 p. 3812.]</w:t>
      </w:r>
    </w:p>
    <w:p>
      <w:pPr>
        <w:pStyle w:val="Heading5"/>
        <w:rPr>
          <w:snapToGrid w:val="0"/>
        </w:rPr>
      </w:pPr>
      <w:bookmarkStart w:id="99" w:name="_Toc38031147"/>
      <w:r>
        <w:rPr>
          <w:rStyle w:val="CharSectno"/>
        </w:rPr>
        <w:t>31</w:t>
      </w:r>
      <w:r>
        <w:rPr>
          <w:snapToGrid w:val="0"/>
        </w:rPr>
        <w:t>.</w:t>
      </w:r>
      <w:r>
        <w:rPr>
          <w:snapToGrid w:val="0"/>
        </w:rPr>
        <w:tab/>
        <w:t>Anti</w:t>
      </w:r>
      <w:r>
        <w:rPr>
          <w:snapToGrid w:val="0"/>
        </w:rPr>
        <w:noBreakHyphen/>
        <w:t>avoidance provision for Act s. 3.58</w:t>
      </w:r>
      <w:bookmarkEnd w:id="99"/>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100" w:name="_Toc38031148"/>
      <w:r>
        <w:rPr>
          <w:rStyle w:val="CharSectno"/>
        </w:rPr>
        <w:t>32</w:t>
      </w:r>
      <w:r>
        <w:rPr>
          <w:snapToGrid w:val="0"/>
        </w:rPr>
        <w:t>.</w:t>
      </w:r>
      <w:r>
        <w:rPr>
          <w:snapToGrid w:val="0"/>
        </w:rPr>
        <w:tab/>
        <w:t>Local government permitted to form incorporated association (Act s. </w:t>
      </w:r>
      <w:r>
        <w:rPr>
          <w:rStyle w:val="CharSectno"/>
        </w:rPr>
        <w:t>3</w:t>
      </w:r>
      <w:r>
        <w:rPr>
          <w:snapToGrid w:val="0"/>
        </w:rPr>
        <w:t>.60)</w:t>
      </w:r>
      <w:bookmarkEnd w:id="100"/>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rPr>
        <w:t>Associations Incorporation Act 2015</w:t>
      </w:r>
      <w:r>
        <w:rPr>
          <w:snapToGrid w:val="0"/>
        </w:rPr>
        <w:t xml:space="preserve"> and may do things for the purpose of the incorporation of the association under that Act.</w:t>
      </w:r>
    </w:p>
    <w:p>
      <w:pPr>
        <w:pStyle w:val="Subsection"/>
        <w:rPr>
          <w:snapToGrid w:val="0"/>
        </w:rPr>
      </w:pPr>
      <w:r>
        <w:rPr>
          <w:snapToGrid w:val="0"/>
        </w:rPr>
        <w:tab/>
        <w:t>(2)</w:t>
      </w:r>
      <w:r>
        <w:rPr>
          <w:snapToGrid w:val="0"/>
        </w:rPr>
        <w:tab/>
        <w:t xml:space="preserve">A local government may form or take part in forming a body corporate constituted under section 32 of the </w:t>
      </w:r>
      <w:r>
        <w:rPr>
          <w:i/>
          <w:snapToGrid w:val="0"/>
        </w:rPr>
        <w:t>Strata Titles Act 1985</w:t>
      </w:r>
      <w:r>
        <w:rPr>
          <w:snapToGrid w:val="0"/>
        </w:rPr>
        <w:t>.</w:t>
      </w:r>
    </w:p>
    <w:p>
      <w:pPr>
        <w:pStyle w:val="Footnotesection"/>
      </w:pPr>
      <w:r>
        <w:tab/>
        <w:t>[Regulation 32 amended: Gazette 4 Dec 1998 p. 6500; 30 Dec 2016 p. 5970.]</w:t>
      </w:r>
    </w:p>
    <w:p>
      <w:pPr>
        <w:pStyle w:val="Heading5"/>
      </w:pPr>
      <w:bookmarkStart w:id="101" w:name="_Toc38031149"/>
      <w:r>
        <w:rPr>
          <w:rStyle w:val="CharSectno"/>
        </w:rPr>
        <w:t>32A</w:t>
      </w:r>
      <w:r>
        <w:t>.</w:t>
      </w:r>
      <w:r>
        <w:tab/>
        <w:t xml:space="preserve">Excluded authorisations </w:t>
      </w:r>
      <w:r>
        <w:rPr>
          <w:snapToGrid w:val="0"/>
        </w:rPr>
        <w:t>(Act </w:t>
      </w:r>
      <w:r>
        <w:t>s. 9.2)</w:t>
      </w:r>
      <w:bookmarkEnd w:id="101"/>
    </w:p>
    <w:p>
      <w:pPr>
        <w:pStyle w:val="Subsection"/>
      </w:pPr>
      <w:r>
        <w:tab/>
        <w:t>(1)</w:t>
      </w:r>
      <w:r>
        <w:tab/>
        <w:t xml:space="preserve">The following are excluded from being authorisations for the purposes of the definition of </w:t>
      </w:r>
      <w:r>
        <w:rPr>
          <w:b/>
          <w:i/>
        </w:rPr>
        <w:t>authorisation</w:t>
      </w:r>
      <w:r>
        <w:t xml:space="preserve"> in section 9.2 of the Act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Gazette 25 Feb 2000 p. 975</w:t>
      </w:r>
      <w:r>
        <w:noBreakHyphen/>
        <w:t>6; amended: Gazette 27 Sep 2011 p. 3846-7.]</w:t>
      </w:r>
    </w:p>
    <w:p>
      <w:pPr>
        <w:pStyle w:val="Heading5"/>
        <w:rPr>
          <w:snapToGrid w:val="0"/>
        </w:rPr>
      </w:pPr>
      <w:bookmarkStart w:id="102" w:name="_Toc38031150"/>
      <w:r>
        <w:rPr>
          <w:rStyle w:val="CharSectno"/>
        </w:rPr>
        <w:t>33</w:t>
      </w:r>
      <w:r>
        <w:rPr>
          <w:snapToGrid w:val="0"/>
        </w:rPr>
        <w:t>.</w:t>
      </w:r>
      <w:r>
        <w:rPr>
          <w:snapToGrid w:val="0"/>
        </w:rPr>
        <w:tab/>
        <w:t>Objections to decisions, form of etc. prescribed (Act s. 9.5)</w:t>
      </w:r>
      <w:bookmarkEnd w:id="102"/>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103" w:name="_Toc38031151"/>
      <w:r>
        <w:rPr>
          <w:rStyle w:val="CharSectno"/>
        </w:rPr>
        <w:t>34</w:t>
      </w:r>
      <w:r>
        <w:t>.</w:t>
      </w:r>
      <w:r>
        <w:tab/>
        <w:t>Common seal, unauthorised use of</w:t>
      </w:r>
      <w:bookmarkEnd w:id="103"/>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Gazette 27 Sep 2011 p. 3846.]</w:t>
      </w:r>
    </w:p>
    <w:p>
      <w:pPr>
        <w:pStyle w:val="Heading5"/>
        <w:rPr>
          <w:snapToGrid w:val="0"/>
        </w:rPr>
      </w:pPr>
      <w:bookmarkStart w:id="104" w:name="_Toc38031152"/>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104"/>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105" w:name="_Toc38031153"/>
      <w:r>
        <w:rPr>
          <w:rStyle w:val="CharSectno"/>
        </w:rPr>
        <w:t>35A</w:t>
      </w:r>
      <w:r>
        <w:t>.</w:t>
      </w:r>
      <w:r>
        <w:tab/>
        <w:t xml:space="preserve">Delegable functions of Minister </w:t>
      </w:r>
      <w:r>
        <w:rPr>
          <w:snapToGrid w:val="0"/>
        </w:rPr>
        <w:t>(Act </w:t>
      </w:r>
      <w:r>
        <w:t>s. 9.66)</w:t>
      </w:r>
      <w:bookmarkEnd w:id="105"/>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Gazette 28 Jun 2002 p. 3082; amended: Gazette 27 Sep 2011 p. 3846.]</w:t>
      </w:r>
    </w:p>
    <w:p>
      <w:pPr>
        <w:pStyle w:val="Heading5"/>
      </w:pPr>
      <w:bookmarkStart w:id="106" w:name="_Toc38031154"/>
      <w:r>
        <w:rPr>
          <w:rStyle w:val="CharSectno"/>
        </w:rPr>
        <w:t>35B</w:t>
      </w:r>
      <w:r>
        <w:t>.</w:t>
      </w:r>
      <w:r>
        <w:tab/>
        <w:t>Delegable functions of Departmental CEO (Act s. 9.67)</w:t>
      </w:r>
      <w:bookmarkEnd w:id="106"/>
    </w:p>
    <w:p>
      <w:pPr>
        <w:pStyle w:val="Subsection"/>
      </w:pPr>
      <w:r>
        <w:tab/>
      </w:r>
      <w:r>
        <w:tab/>
        <w:t xml:space="preserve">The Departmental CEO’s functions under the provisions of the Act that are listed in the Table are </w:t>
      </w:r>
      <w:r>
        <w:rPr>
          <w:szCs w:val="24"/>
        </w:rPr>
        <w:t>delegable functions.</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19"/>
        <w:gridCol w:w="2892"/>
      </w:tblGrid>
      <w:tr>
        <w:tc>
          <w:tcPr>
            <w:tcW w:w="2919" w:type="dxa"/>
          </w:tcPr>
          <w:p>
            <w:pPr>
              <w:pStyle w:val="TableNAm"/>
            </w:pPr>
            <w:r>
              <w:rPr>
                <w:szCs w:val="24"/>
              </w:rPr>
              <w:t>s. 5.108(1)</w:t>
            </w:r>
          </w:p>
        </w:tc>
        <w:tc>
          <w:tcPr>
            <w:tcW w:w="2892" w:type="dxa"/>
          </w:tcPr>
          <w:p>
            <w:pPr>
              <w:pStyle w:val="TableNAm"/>
            </w:pPr>
            <w:r>
              <w:rPr>
                <w:szCs w:val="24"/>
              </w:rPr>
              <w:t>s. 5.112(1), (2), (3) and (4)</w:t>
            </w:r>
          </w:p>
        </w:tc>
      </w:tr>
      <w:tr>
        <w:tc>
          <w:tcPr>
            <w:tcW w:w="2919" w:type="dxa"/>
          </w:tcPr>
          <w:p>
            <w:pPr>
              <w:pStyle w:val="TableNAm"/>
            </w:pPr>
            <w:r>
              <w:rPr>
                <w:szCs w:val="24"/>
              </w:rPr>
              <w:t>s. 5.116(1), (2), (3) and (5)</w:t>
            </w:r>
          </w:p>
        </w:tc>
        <w:tc>
          <w:tcPr>
            <w:tcW w:w="2892" w:type="dxa"/>
          </w:tcPr>
          <w:p>
            <w:pPr>
              <w:pStyle w:val="TableNAm"/>
            </w:pPr>
            <w:r>
              <w:rPr>
                <w:szCs w:val="24"/>
              </w:rPr>
              <w:t>s. 5.117(4) and (5)</w:t>
            </w:r>
          </w:p>
        </w:tc>
      </w:tr>
      <w:tr>
        <w:tc>
          <w:tcPr>
            <w:tcW w:w="2919" w:type="dxa"/>
          </w:tcPr>
          <w:p>
            <w:pPr>
              <w:pStyle w:val="TableNAm"/>
            </w:pPr>
            <w:r>
              <w:rPr>
                <w:szCs w:val="24"/>
              </w:rPr>
              <w:t>s. 5.118(2)</w:t>
            </w:r>
          </w:p>
        </w:tc>
        <w:tc>
          <w:tcPr>
            <w:tcW w:w="2892" w:type="dxa"/>
          </w:tcPr>
          <w:p>
            <w:pPr>
              <w:pStyle w:val="TableNAm"/>
            </w:pPr>
            <w:r>
              <w:rPr>
                <w:szCs w:val="24"/>
              </w:rPr>
              <w:t>s. 8.2(1)</w:t>
            </w:r>
          </w:p>
        </w:tc>
      </w:tr>
      <w:tr>
        <w:tc>
          <w:tcPr>
            <w:tcW w:w="2919" w:type="dxa"/>
          </w:tcPr>
          <w:p>
            <w:pPr>
              <w:pStyle w:val="TableNAm"/>
            </w:pPr>
            <w:r>
              <w:rPr>
                <w:szCs w:val="24"/>
              </w:rPr>
              <w:t>s. 8.3(1), (2) and (4)</w:t>
            </w:r>
          </w:p>
        </w:tc>
        <w:tc>
          <w:tcPr>
            <w:tcW w:w="2892" w:type="dxa"/>
          </w:tcPr>
          <w:p>
            <w:pPr>
              <w:pStyle w:val="TableNAm"/>
            </w:pPr>
            <w:r>
              <w:rPr>
                <w:szCs w:val="24"/>
              </w:rPr>
              <w:t>s. 8.4(4)</w:t>
            </w:r>
          </w:p>
        </w:tc>
      </w:tr>
      <w:tr>
        <w:tc>
          <w:tcPr>
            <w:tcW w:w="2919" w:type="dxa"/>
          </w:tcPr>
          <w:p>
            <w:pPr>
              <w:pStyle w:val="TableNAm"/>
            </w:pPr>
            <w:r>
              <w:rPr>
                <w:szCs w:val="24"/>
              </w:rPr>
              <w:t>s. 8.13(4)</w:t>
            </w:r>
          </w:p>
        </w:tc>
        <w:tc>
          <w:tcPr>
            <w:tcW w:w="2892" w:type="dxa"/>
          </w:tcPr>
          <w:p>
            <w:pPr>
              <w:pStyle w:val="TableNAm"/>
            </w:pPr>
            <w:r>
              <w:rPr>
                <w:szCs w:val="24"/>
              </w:rPr>
              <w:t>s. 8.14(1) and (2)</w:t>
            </w:r>
          </w:p>
        </w:tc>
      </w:tr>
      <w:tr>
        <w:tc>
          <w:tcPr>
            <w:tcW w:w="2919" w:type="dxa"/>
          </w:tcPr>
          <w:p>
            <w:pPr>
              <w:pStyle w:val="TableNAm"/>
              <w:rPr>
                <w:szCs w:val="24"/>
              </w:rPr>
            </w:pPr>
            <w:r>
              <w:rPr>
                <w:szCs w:val="24"/>
              </w:rPr>
              <w:t>s. 8.36(1)</w:t>
            </w:r>
          </w:p>
        </w:tc>
        <w:tc>
          <w:tcPr>
            <w:tcW w:w="2892" w:type="dxa"/>
          </w:tcPr>
          <w:p>
            <w:pPr>
              <w:pStyle w:val="TableNAm"/>
              <w:rPr>
                <w:szCs w:val="24"/>
              </w:rPr>
            </w:pPr>
            <w:r>
              <w:rPr>
                <w:szCs w:val="24"/>
              </w:rPr>
              <w:t>s. 8.41(2)</w:t>
            </w:r>
          </w:p>
        </w:tc>
      </w:tr>
      <w:tr>
        <w:tc>
          <w:tcPr>
            <w:tcW w:w="2919" w:type="dxa"/>
          </w:tcPr>
          <w:p>
            <w:pPr>
              <w:pStyle w:val="TableNAm"/>
              <w:rPr>
                <w:szCs w:val="24"/>
              </w:rPr>
            </w:pPr>
            <w:r>
              <w:rPr>
                <w:szCs w:val="24"/>
              </w:rPr>
              <w:t>s. 8.43(2)</w:t>
            </w:r>
          </w:p>
        </w:tc>
        <w:tc>
          <w:tcPr>
            <w:tcW w:w="2892" w:type="dxa"/>
          </w:tcPr>
          <w:p>
            <w:pPr>
              <w:pStyle w:val="TableNAm"/>
              <w:rPr>
                <w:szCs w:val="24"/>
              </w:rPr>
            </w:pPr>
            <w:r>
              <w:rPr>
                <w:szCs w:val="24"/>
              </w:rPr>
              <w:t>Sch. 9.3 cl. 51(3) and (7)</w:t>
            </w:r>
          </w:p>
        </w:tc>
      </w:tr>
    </w:tbl>
    <w:p>
      <w:pPr>
        <w:pStyle w:val="Footnotesection"/>
      </w:pPr>
      <w:r>
        <w:tab/>
        <w:t>[Regulation 35B inserted: Gazette 8 Dec 2017 p. 5845.]</w:t>
      </w:r>
    </w:p>
    <w:p>
      <w:pPr>
        <w:pStyle w:val="Heading5"/>
        <w:rPr>
          <w:snapToGrid w:val="0"/>
        </w:rPr>
      </w:pPr>
      <w:bookmarkStart w:id="107" w:name="_Toc38031155"/>
      <w:r>
        <w:rPr>
          <w:rStyle w:val="CharSectno"/>
        </w:rPr>
        <w:t>36</w:t>
      </w:r>
      <w:r>
        <w:rPr>
          <w:snapToGrid w:val="0"/>
        </w:rPr>
        <w:t>.</w:t>
      </w:r>
      <w:r>
        <w:rPr>
          <w:snapToGrid w:val="0"/>
        </w:rPr>
        <w:tab/>
        <w:t>Warrant to enter, form of (Act s. 3.33(1) and 8.8(1))</w:t>
      </w:r>
      <w:bookmarkEnd w:id="107"/>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108" w:name="_Toc38029493"/>
      <w:bookmarkStart w:id="109" w:name="_Toc38029573"/>
      <w:bookmarkStart w:id="110" w:name="_Toc38030957"/>
      <w:bookmarkStart w:id="111" w:name="_Toc38031156"/>
      <w:r>
        <w:rPr>
          <w:rStyle w:val="CharPartNo"/>
        </w:rPr>
        <w:t>Part 7</w:t>
      </w:r>
      <w:r>
        <w:rPr>
          <w:rStyle w:val="CharDivNo"/>
        </w:rPr>
        <w:t> </w:t>
      </w:r>
      <w:r>
        <w:t>—</w:t>
      </w:r>
      <w:r>
        <w:rPr>
          <w:rStyle w:val="CharDivText"/>
        </w:rPr>
        <w:t> </w:t>
      </w:r>
      <w:r>
        <w:rPr>
          <w:rStyle w:val="CharPartText"/>
        </w:rPr>
        <w:t>Other transitional provisions</w:t>
      </w:r>
      <w:bookmarkEnd w:id="108"/>
      <w:bookmarkEnd w:id="109"/>
      <w:bookmarkEnd w:id="110"/>
      <w:bookmarkEnd w:id="111"/>
    </w:p>
    <w:p>
      <w:pPr>
        <w:pStyle w:val="Ednotesection"/>
        <w:ind w:left="890" w:hanging="890"/>
      </w:pPr>
      <w:r>
        <w:t>[</w:t>
      </w:r>
      <w:r>
        <w:rPr>
          <w:b/>
          <w:bCs/>
        </w:rPr>
        <w:t>37.</w:t>
      </w:r>
      <w:r>
        <w:tab/>
      </w:r>
      <w:r>
        <w:rPr>
          <w:snapToGrid/>
        </w:rPr>
        <w:t>Omitted under the Reprints Act 1984 s. 7(4)(e).]</w:t>
      </w:r>
    </w:p>
    <w:p>
      <w:pPr>
        <w:pStyle w:val="Heading5"/>
        <w:rPr>
          <w:snapToGrid w:val="0"/>
        </w:rPr>
      </w:pPr>
      <w:bookmarkStart w:id="112" w:name="_Toc38031157"/>
      <w:r>
        <w:rPr>
          <w:rStyle w:val="CharSectno"/>
        </w:rPr>
        <w:t>38</w:t>
      </w:r>
      <w:r>
        <w:t>.</w:t>
      </w:r>
      <w:r>
        <w:rPr>
          <w:snapToGrid w:val="0"/>
        </w:rPr>
        <w:tab/>
        <w:t>Adopting former model by</w:t>
      </w:r>
      <w:r>
        <w:rPr>
          <w:snapToGrid w:val="0"/>
        </w:rPr>
        <w:noBreakHyphen/>
        <w:t>laws as local laws (Act s. 3.8(2) and (3))</w:t>
      </w:r>
      <w:bookmarkEnd w:id="112"/>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13" w:name="_Toc38029495"/>
      <w:bookmarkStart w:id="114" w:name="_Toc38029575"/>
      <w:bookmarkStart w:id="115" w:name="_Toc38030959"/>
      <w:bookmarkStart w:id="116" w:name="_Toc38031158"/>
      <w:r>
        <w:rPr>
          <w:rStyle w:val="CharSchNo"/>
        </w:rPr>
        <w:t>Schedule 1</w:t>
      </w:r>
      <w:r>
        <w:t> — </w:t>
      </w:r>
      <w:r>
        <w:rPr>
          <w:rStyle w:val="CharSchText"/>
        </w:rPr>
        <w:t>Forms</w:t>
      </w:r>
      <w:bookmarkEnd w:id="113"/>
      <w:bookmarkEnd w:id="114"/>
      <w:bookmarkEnd w:id="115"/>
      <w:bookmarkEnd w:id="116"/>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type w:val="continuous"/>
          <w:pgSz w:w="11907" w:h="16840" w:code="9"/>
          <w:pgMar w:top="2381" w:right="2410" w:bottom="2977" w:left="2410" w:header="720" w:footer="3380" w:gutter="0"/>
          <w:cols w:space="720"/>
          <w:noEndnote/>
          <w:docGrid w:linePitch="326"/>
        </w:sectPr>
      </w:pPr>
    </w:p>
    <w:p>
      <w:pPr>
        <w:pStyle w:val="nHeading2"/>
      </w:pPr>
      <w:bookmarkStart w:id="118" w:name="_Toc38029496"/>
      <w:bookmarkStart w:id="119" w:name="_Toc38029576"/>
      <w:bookmarkStart w:id="120" w:name="_Toc38030960"/>
      <w:bookmarkStart w:id="121" w:name="_Toc38031159"/>
      <w:r>
        <w:t>Notes</w:t>
      </w:r>
      <w:bookmarkEnd w:id="118"/>
      <w:bookmarkEnd w:id="119"/>
      <w:bookmarkEnd w:id="120"/>
      <w:bookmarkEnd w:id="121"/>
    </w:p>
    <w:p>
      <w:pPr>
        <w:pStyle w:val="nStatement"/>
      </w:pPr>
      <w:r>
        <w:t xml:space="preserve">This is a compilation of the </w:t>
      </w:r>
      <w:r>
        <w:rPr>
          <w:i/>
          <w:noProof/>
        </w:rPr>
        <w:t>Local Government (Functions and General)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2" w:name="_Toc38031160"/>
      <w:r>
        <w:t>Compilation table</w:t>
      </w:r>
      <w:bookmarkEnd w:id="12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2001</w:t>
            </w:r>
            <w:r>
              <w:rPr>
                <w:vertAlign w:val="superscript"/>
              </w:rPr>
              <w:t xml:space="preserve"> 2</w:t>
            </w:r>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 xml:space="preserve">Local Government (Functions and General) Amendment Regulations 2015 </w:t>
            </w:r>
            <w:r>
              <w:t>Pt. 2</w:t>
            </w:r>
          </w:p>
        </w:tc>
        <w:tc>
          <w:tcPr>
            <w:tcW w:w="1276" w:type="dxa"/>
            <w:shd w:val="clear" w:color="auto" w:fill="auto"/>
          </w:tcPr>
          <w:p>
            <w:pPr>
              <w:pStyle w:val="nTable"/>
              <w:spacing w:after="40"/>
            </w:pPr>
            <w:r>
              <w:t>18 Sep 2015 p. 3804</w:t>
            </w:r>
            <w:r>
              <w:noBreakHyphen/>
              <w:t>13</w:t>
            </w:r>
          </w:p>
        </w:tc>
        <w:tc>
          <w:tcPr>
            <w:tcW w:w="2693" w:type="dxa"/>
            <w:shd w:val="clear" w:color="auto" w:fill="auto"/>
          </w:tcPr>
          <w:p>
            <w:pPr>
              <w:pStyle w:val="nTable"/>
              <w:spacing w:after="40"/>
              <w:rPr>
                <w:snapToGrid w:val="0"/>
              </w:rPr>
            </w:pPr>
            <w:r>
              <w:rPr>
                <w:snapToGrid w:val="0"/>
              </w:rPr>
              <w:t>1 Oct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Local Government Regulations Amendment (Associations Incorporation) Regulations 2016</w:t>
            </w:r>
            <w:r>
              <w:t xml:space="preserve"> Pt. 3</w:t>
            </w:r>
          </w:p>
        </w:tc>
        <w:tc>
          <w:tcPr>
            <w:tcW w:w="1276" w:type="dxa"/>
            <w:shd w:val="clear" w:color="auto" w:fill="auto"/>
          </w:tcPr>
          <w:p>
            <w:pPr>
              <w:pStyle w:val="nTable"/>
              <w:spacing w:after="40"/>
            </w:pPr>
            <w:r>
              <w:t>30 Dec 2016 p. 5969</w:t>
            </w:r>
            <w:r>
              <w:noBreakHyphen/>
              <w:t>70</w:t>
            </w:r>
          </w:p>
        </w:tc>
        <w:tc>
          <w:tcPr>
            <w:tcW w:w="2693" w:type="dxa"/>
            <w:shd w:val="clear" w:color="auto" w:fill="auto"/>
          </w:tcPr>
          <w:p>
            <w:pPr>
              <w:pStyle w:val="nTable"/>
              <w:spacing w:after="40"/>
              <w:rPr>
                <w:snapToGrid w:val="0"/>
              </w:rPr>
            </w:pPr>
            <w:r>
              <w:rPr>
                <w:snapToGrid w:val="0"/>
              </w:rPr>
              <w:t>31 Dec 2016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2017</w:t>
            </w:r>
          </w:p>
        </w:tc>
        <w:tc>
          <w:tcPr>
            <w:tcW w:w="1276" w:type="dxa"/>
            <w:tcBorders>
              <w:top w:val="nil"/>
              <w:bottom w:val="nil"/>
            </w:tcBorders>
            <w:shd w:val="clear" w:color="auto" w:fill="auto"/>
          </w:tcPr>
          <w:p>
            <w:pPr>
              <w:pStyle w:val="nTable"/>
              <w:spacing w:after="40"/>
            </w:pPr>
            <w:r>
              <w:t>8 Dec 2017 p. 5844</w:t>
            </w:r>
            <w:r>
              <w:noBreakHyphen/>
              <w:t>5</w:t>
            </w:r>
          </w:p>
        </w:tc>
        <w:tc>
          <w:tcPr>
            <w:tcW w:w="2693" w:type="dxa"/>
            <w:tcBorders>
              <w:top w:val="nil"/>
              <w:bottom w:val="nil"/>
            </w:tcBorders>
            <w:shd w:val="clear" w:color="auto" w:fill="auto"/>
          </w:tcPr>
          <w:p>
            <w:pPr>
              <w:pStyle w:val="nTable"/>
              <w:spacing w:after="40"/>
              <w:rPr>
                <w:snapToGrid w:val="0"/>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pPr>
            <w:r>
              <w:rPr>
                <w:i/>
              </w:rPr>
              <w:t>Local Government Regulations Amendment Regulations 2020</w:t>
            </w:r>
            <w:r>
              <w:t xml:space="preserve"> Pt. 3</w:t>
            </w:r>
          </w:p>
        </w:tc>
        <w:tc>
          <w:tcPr>
            <w:tcW w:w="1276" w:type="dxa"/>
            <w:tcBorders>
              <w:bottom w:val="single" w:sz="4" w:space="0" w:color="auto"/>
            </w:tcBorders>
            <w:shd w:val="clear" w:color="auto" w:fill="auto"/>
          </w:tcPr>
          <w:p>
            <w:pPr>
              <w:pStyle w:val="nTable"/>
              <w:spacing w:after="40"/>
            </w:pPr>
            <w:r>
              <w:t>SL 2020/35 9 Apr 2020</w:t>
            </w:r>
          </w:p>
        </w:tc>
        <w:tc>
          <w:tcPr>
            <w:tcW w:w="2693" w:type="dxa"/>
            <w:tcBorders>
              <w:bottom w:val="single" w:sz="4" w:space="0" w:color="auto"/>
            </w:tcBorders>
            <w:shd w:val="clear" w:color="auto" w:fill="auto"/>
          </w:tcPr>
          <w:p>
            <w:pPr>
              <w:pStyle w:val="nTable"/>
              <w:spacing w:after="40"/>
              <w:rPr>
                <w:bCs/>
                <w:snapToGrid w:val="0"/>
                <w:spacing w:val="-2"/>
              </w:rPr>
            </w:pPr>
            <w:r>
              <w:rPr>
                <w:bCs/>
                <w:snapToGrid w:val="0"/>
                <w:spacing w:val="-2"/>
              </w:rPr>
              <w:t>10 Apr 2020 (see r. 2(b))</w:t>
            </w:r>
          </w:p>
        </w:tc>
      </w:tr>
    </w:tbl>
    <w:p>
      <w:pPr>
        <w:pStyle w:val="nHeading3"/>
      </w:pPr>
      <w:bookmarkStart w:id="123" w:name="_Toc38031161"/>
      <w:r>
        <w:t>Uncommenced provisions table</w:t>
      </w:r>
      <w:bookmarkEnd w:id="12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b/>
              </w:rPr>
            </w:pPr>
            <w:r>
              <w:rPr>
                <w:i/>
              </w:rPr>
              <w:t>Local Government (Functions and General) Amendment Regulations 2019</w:t>
            </w:r>
            <w:r>
              <w:t xml:space="preserve"> r. 3 and 4</w:t>
            </w:r>
          </w:p>
        </w:tc>
        <w:tc>
          <w:tcPr>
            <w:tcW w:w="1276" w:type="dxa"/>
          </w:tcPr>
          <w:p>
            <w:pPr>
              <w:pStyle w:val="nTable"/>
              <w:spacing w:after="40"/>
              <w:rPr>
                <w:b/>
              </w:rPr>
            </w:pPr>
            <w:r>
              <w:t>31 Dec 2019 p. 4649</w:t>
            </w:r>
          </w:p>
        </w:tc>
        <w:tc>
          <w:tcPr>
            <w:tcW w:w="2693" w:type="dxa"/>
          </w:tcPr>
          <w:p>
            <w:pPr>
              <w:pStyle w:val="nTable"/>
              <w:spacing w:after="40"/>
              <w:rPr>
                <w:b/>
              </w:rPr>
            </w:pPr>
            <w:r>
              <w:t>1 May 2020 (see r. 2(b) and SL 2020/39 cl. 2)</w:t>
            </w:r>
          </w:p>
        </w:tc>
      </w:tr>
    </w:tbl>
    <w:p>
      <w:pPr>
        <w:pStyle w:val="nHeading3"/>
      </w:pPr>
      <w:bookmarkStart w:id="124" w:name="_Toc38031162"/>
      <w:r>
        <w:t>Other notes</w:t>
      </w:r>
      <w:bookmarkEnd w:id="124"/>
    </w:p>
    <w:p>
      <w:pPr>
        <w:pStyle w:val="nNote"/>
        <w:spacing w:before="160"/>
      </w:pPr>
      <w:r>
        <w:rPr>
          <w:vertAlign w:val="superscript"/>
        </w:rPr>
        <w:t>1</w:t>
      </w:r>
      <w:r>
        <w:tab/>
        <w:t xml:space="preserve">The </w:t>
      </w:r>
      <w:r>
        <w:rPr>
          <w:i/>
          <w:iCs/>
        </w:rPr>
        <w:t>Local Government Act 1995</w:t>
      </w:r>
      <w:r>
        <w:t xml:space="preserve"> came into operation on 1 July 1996.</w:t>
      </w:r>
    </w:p>
    <w:p>
      <w:pPr>
        <w:pStyle w:val="nNote"/>
      </w:pPr>
      <w:r>
        <w:rPr>
          <w:vertAlign w:val="superscript"/>
        </w:rPr>
        <w:t>2</w:t>
      </w:r>
      <w:r>
        <w:tab/>
        <w:t xml:space="preserve">The </w:t>
      </w:r>
      <w:r>
        <w:rPr>
          <w:i/>
        </w:rPr>
        <w:t>Local Government (Functions and General) Amendment Regulations 2001</w:t>
      </w:r>
      <w:r>
        <w:t xml:space="preserve"> r. 11 is a transitional provision that is of no further effect.</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26" w:name="_Toc38029500"/>
      <w:bookmarkStart w:id="127" w:name="_Toc38029580"/>
      <w:bookmarkStart w:id="128" w:name="_Toc38030964"/>
      <w:bookmarkStart w:id="129" w:name="_Toc38031163"/>
      <w:r>
        <w:rPr>
          <w:sz w:val="28"/>
        </w:rPr>
        <w:t>Defined terms</w:t>
      </w:r>
      <w:bookmarkEnd w:id="126"/>
      <w:bookmarkEnd w:id="127"/>
      <w:bookmarkEnd w:id="128"/>
      <w:bookmarkEnd w:id="1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application</w:t>
      </w:r>
      <w:r>
        <w:tab/>
        <w:t>24AH(1)</w:t>
      </w:r>
    </w:p>
    <w:p>
      <w:pPr>
        <w:pStyle w:val="DefinedTerms"/>
      </w:pPr>
      <w:r>
        <w:t>contracts</w:t>
      </w:r>
      <w:r>
        <w:tab/>
        <w:t>12(1)</w:t>
      </w:r>
    </w:p>
    <w:p>
      <w:pPr>
        <w:pStyle w:val="DefinedTerms"/>
      </w:pPr>
      <w:r>
        <w:t>former draft model by</w:t>
      </w:r>
      <w:r>
        <w:noBreakHyphen/>
        <w:t>law</w:t>
      </w:r>
      <w:r>
        <w:tab/>
        <w:t>38(4)</w:t>
      </w:r>
    </w:p>
    <w:p>
      <w:pPr>
        <w:pStyle w:val="DefinedTerms"/>
      </w:pPr>
      <w:r>
        <w:t>former section</w:t>
      </w:r>
      <w:r>
        <w:tab/>
        <w:t>6(4)</w:t>
      </w:r>
    </w:p>
    <w:p>
      <w:pPr>
        <w:pStyle w:val="DefinedTerms"/>
      </w:pPr>
      <w:r>
        <w:t>joint venture</w:t>
      </w:r>
      <w:r>
        <w:tab/>
        <w:t>10(2)</w:t>
      </w:r>
    </w:p>
    <w:p>
      <w:pPr>
        <w:pStyle w:val="DefinedTerms"/>
      </w:pPr>
      <w:r>
        <w:t>joint venturer</w:t>
      </w:r>
      <w:r>
        <w:tab/>
        <w:t>10(2)</w:t>
      </w:r>
    </w:p>
    <w:p>
      <w:pPr>
        <w:pStyle w:val="DefinedTerms"/>
      </w:pPr>
      <w:r>
        <w:t>land that will lose its access</w:t>
      </w:r>
      <w:r>
        <w:tab/>
        <w:t>4(3)</w:t>
      </w:r>
    </w:p>
    <w:p>
      <w:pPr>
        <w:pStyle w:val="DefinedTerms"/>
      </w:pPr>
      <w:r>
        <w:t>major regional centre</w:t>
      </w:r>
      <w:r>
        <w:tab/>
        <w:t>7(1)</w:t>
      </w:r>
    </w:p>
    <w:p>
      <w:pPr>
        <w:pStyle w:val="DefinedTerms"/>
      </w:pPr>
      <w:r>
        <w:t>minor variation</w:t>
      </w:r>
      <w:r>
        <w:tab/>
        <w:t>20(3)</w:t>
      </w:r>
    </w:p>
    <w:p>
      <w:pPr>
        <w:pStyle w:val="DefinedTerms"/>
      </w:pPr>
      <w:r>
        <w:t>original contract</w:t>
      </w:r>
      <w:r>
        <w:tab/>
        <w:t>11(2)</w:t>
      </w:r>
    </w:p>
    <w:p>
      <w:pPr>
        <w:pStyle w:val="DefinedTerms"/>
      </w:pPr>
      <w:r>
        <w:t>panel of pre</w:t>
      </w:r>
      <w:r>
        <w:noBreakHyphen/>
        <w:t>qualified suppliers</w:t>
      </w:r>
      <w:r>
        <w:tab/>
        <w:t>24AA</w:t>
      </w:r>
    </w:p>
    <w:p>
      <w:pPr>
        <w:pStyle w:val="DefinedTerms"/>
      </w:pPr>
      <w:r>
        <w:t>pre</w:t>
      </w:r>
      <w:r>
        <w:noBreakHyphen/>
        <w:t>qualified supplier</w:t>
      </w:r>
      <w:r>
        <w:tab/>
        <w:t>24AA</w:t>
      </w:r>
    </w:p>
    <w:p>
      <w:pPr>
        <w:pStyle w:val="DefinedTerms"/>
      </w:pPr>
      <w:r>
        <w:t>public place</w:t>
      </w:r>
      <w:r>
        <w:tab/>
        <w:t>29(2)</w:t>
      </w:r>
    </w:p>
    <w:p>
      <w:pPr>
        <w:pStyle w:val="DefinedTerms"/>
      </w:pPr>
      <w:r>
        <w:t>regional price preference</w:t>
      </w:r>
      <w:r>
        <w:tab/>
        <w:t>24B(1)</w:t>
      </w:r>
    </w:p>
    <w:p>
      <w:pPr>
        <w:pStyle w:val="DefinedTerms"/>
      </w:pPr>
      <w:r>
        <w:t>regional tenderer</w:t>
      </w:r>
      <w:r>
        <w:tab/>
        <w:t>24B(1)</w:t>
      </w:r>
    </w:p>
    <w:p>
      <w:pPr>
        <w:pStyle w:val="DefinedTerms"/>
      </w:pPr>
      <w:r>
        <w:t>state of emergency declaration</w:t>
      </w:r>
      <w:r>
        <w:tab/>
        <w:t>11(1A)</w:t>
      </w:r>
    </w:p>
    <w:p>
      <w:pPr>
        <w:pStyle w:val="DefinedTerms"/>
      </w:pPr>
      <w:r>
        <w:t>transferee</w:t>
      </w:r>
      <w:r>
        <w:tab/>
        <w:t>30(2)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7" w:name="Schedule"/>
    <w:bookmarkEnd w:id="1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5" w:name="Compilation"/>
    <w:bookmarkEnd w:id="1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0" w:name="DefinedTerms"/>
    <w:bookmarkEnd w:id="13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1" w:name="Coversheet"/>
    <w:bookmarkEnd w:id="1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47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151302"/>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 w:name="WAFER_20171207105328" w:val="RemoveTocBookmarks,RemoveUnusedBookmarks,RemoveLanguageTags,UsedStyles,ResetPageSize"/>
    <w:docVar w:name="WAFER_20171207105328_GUID" w:val="1421a779-b912-4ce8-a8c7-af32431e4417"/>
    <w:docVar w:name="WAFER_20171207115802" w:val="RemoveTocBookmarks,RemoveUnusedBookmarks,RemoveLanguageTags,UsedStyles,ResetPageSize"/>
    <w:docVar w:name="WAFER_20171207115802_GUID" w:val="86549e10-5878-40f9-b375-038c17683e46"/>
    <w:docVar w:name="WAFER_20171207115825" w:val="RemoveTocBookmarks,RemoveUnusedBookmarks,RemoveLanguageTags,UsedStyles,ResetPageSize"/>
    <w:docVar w:name="WAFER_20171207115825_GUID" w:val="d52c36cb-da0b-45eb-8b44-913855b6b89a"/>
    <w:docVar w:name="WAFER_20171207120039" w:val="RemoveTocBookmarks,RemoveUnusedBookmarks,RemoveLanguageTags,UsedStyles,ResetPageSize"/>
    <w:docVar w:name="WAFER_20171207120039_GUID" w:val="886383aa-4e43-4a67-8483-0516bab34336"/>
    <w:docVar w:name="WAFER_20171207120058" w:val="RemoveTocBookmarks,RemoveUnusedBookmarks,RemoveLanguageTags,UsedStyles,ResetPageSize"/>
    <w:docVar w:name="WAFER_20171207120058_GUID" w:val="d8ff3925-b4ff-4353-bf91-274182f2eaf2"/>
    <w:docVar w:name="WAFER_20191218152628" w:val="RemoveTocBookmarks,RemoveUnusedBookmarks,RemoveLanguageTags,ResetPageSize,RunningHeaders,UpdateStyles,UsedStyles"/>
    <w:docVar w:name="WAFER_20191218152628_GUID" w:val="2b75b0fa-c10a-4f36-90d5-4615a7e8354c"/>
    <w:docVar w:name="WAFER_202002110857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723_GUID" w:val="579a2ed0-872e-47e4-93fd-a6eeb89d65ee"/>
    <w:docVar w:name="WAFER_20200408142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142148_GUID" w:val="49eeb3c4-efce-4254-85c2-251e70273447"/>
    <w:docVar w:name="WAFER_20200417151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302_GUID" w:val="981cb513-0e76-48ee-8570-5749590706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12440</Words>
  <Characters>67056</Characters>
  <Application>Microsoft Office Word</Application>
  <DocSecurity>0</DocSecurity>
  <Lines>1764</Lines>
  <Paragraphs>1088</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78408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1996 - 03-f0-01</dc:title>
  <dc:subject/>
  <dc:creator/>
  <cp:keywords/>
  <dc:description/>
  <cp:lastModifiedBy>svcMRProcess</cp:lastModifiedBy>
  <cp:revision>4</cp:revision>
  <cp:lastPrinted>2012-04-02T07:14:00Z</cp:lastPrinted>
  <dcterms:created xsi:type="dcterms:W3CDTF">2020-04-17T08:23:00Z</dcterms:created>
  <dcterms:modified xsi:type="dcterms:W3CDTF">2020-04-17T08:23:00Z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DocumentType">
    <vt:lpwstr>Reg</vt:lpwstr>
  </property>
  <property fmtid="{D5CDD505-2E9C-101B-9397-08002B2CF9AE}" pid="4" name="OwlsUID">
    <vt:i4>4578</vt:i4>
  </property>
  <property fmtid="{D5CDD505-2E9C-101B-9397-08002B2CF9AE}" pid="5" name="ReprintNo">
    <vt:lpwstr>3</vt:lpwstr>
  </property>
  <property fmtid="{D5CDD505-2E9C-101B-9397-08002B2CF9AE}" pid="6" name="ReprintedAsAt">
    <vt:filetime>2012-03-15T16:00:00Z</vt:filetime>
  </property>
  <property fmtid="{D5CDD505-2E9C-101B-9397-08002B2CF9AE}" pid="7" name="AsAtDate">
    <vt:lpwstr>10 Apr 2020</vt:lpwstr>
  </property>
  <property fmtid="{D5CDD505-2E9C-101B-9397-08002B2CF9AE}" pid="8" name="Suffix">
    <vt:lpwstr>03-f0-01</vt:lpwstr>
  </property>
  <property fmtid="{D5CDD505-2E9C-101B-9397-08002B2CF9AE}" pid="9" name="CommencementDate">
    <vt:lpwstr>20200410</vt:lpwstr>
  </property>
</Properties>
</file>