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_Toc37254851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_Toc37254852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_Toc37254853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_Toc37254856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_Toc37254857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_Toc37254858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_Toc37254859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_Toc37254860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retail prices</w:t>
      </w:r>
      <w:r>
        <w:tab/>
      </w:r>
      <w:r>
        <w:fldChar w:fldCharType="begin"/>
      </w:r>
      <w:r>
        <w:instrText xml:space="preserve"> PAGEREF _Toc37254861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_Toc37254863 \h </w:instrText>
      </w:r>
      <w:r>
        <w:fldChar w:fldCharType="separate"/>
      </w:r>
      <w:r>
        <w:t>5</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_Toc37254864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_Toc37254865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_Toc37254867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_Toc37254868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_Toc37254869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_Toc37254870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_Toc37254875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_Toc37254876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37240541"/>
      <w:bookmarkStart w:id="4" w:name="_Toc37241409"/>
      <w:bookmarkStart w:id="5" w:name="_Toc37241944"/>
      <w:bookmarkStart w:id="6" w:name="_Toc3725485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Footnoteheading"/>
      </w:pPr>
      <w:r>
        <w:tab/>
        <w:t>[Heading inserted: Gazette 11 Jul 2001 p. 3459.]</w:t>
      </w:r>
    </w:p>
    <w:p>
      <w:pPr>
        <w:pStyle w:val="Heading5"/>
      </w:pPr>
      <w:bookmarkStart w:id="7" w:name="_Toc37254851"/>
      <w:r>
        <w:rPr>
          <w:rStyle w:val="CharSectno"/>
        </w:rPr>
        <w:t>1</w:t>
      </w:r>
      <w:r>
        <w:t>.</w:t>
      </w:r>
      <w:r>
        <w:tab/>
        <w:t>Citation</w:t>
      </w:r>
      <w:bookmarkEnd w:id="7"/>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8" w:name="_Toc372548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9" w:name="_Toc37254853"/>
      <w:r>
        <w:rPr>
          <w:rStyle w:val="CharSectno"/>
        </w:rPr>
        <w:t>2AA</w:t>
      </w:r>
      <w:r>
        <w:t>.</w:t>
      </w:r>
      <w:r>
        <w:tab/>
        <w:t>Terms used</w:t>
      </w:r>
      <w:bookmarkEnd w:id="9"/>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0" w:name="_Toc37240545"/>
      <w:bookmarkStart w:id="11" w:name="_Toc37241413"/>
      <w:bookmarkStart w:id="12" w:name="_Toc37241948"/>
      <w:bookmarkStart w:id="13" w:name="_Toc37254854"/>
      <w:r>
        <w:rPr>
          <w:rStyle w:val="CharPartNo"/>
        </w:rPr>
        <w:t>Part 2</w:t>
      </w:r>
      <w:r>
        <w:t> — </w:t>
      </w:r>
      <w:r>
        <w:rPr>
          <w:rStyle w:val="CharPartText"/>
        </w:rPr>
        <w:t>Special provisions about motor fuel</w:t>
      </w:r>
      <w:bookmarkEnd w:id="10"/>
      <w:bookmarkEnd w:id="11"/>
      <w:bookmarkEnd w:id="12"/>
      <w:bookmarkEnd w:id="13"/>
    </w:p>
    <w:p>
      <w:pPr>
        <w:pStyle w:val="Footnoteheading"/>
      </w:pPr>
      <w:r>
        <w:tab/>
        <w:t>[Heading inserted: Gazette 11 Jul 2001 p. 3459.]</w:t>
      </w:r>
    </w:p>
    <w:p>
      <w:pPr>
        <w:pStyle w:val="Heading3"/>
      </w:pPr>
      <w:bookmarkStart w:id="14" w:name="_Toc37240546"/>
      <w:bookmarkStart w:id="15" w:name="_Toc37241414"/>
      <w:bookmarkStart w:id="16" w:name="_Toc37241949"/>
      <w:bookmarkStart w:id="17" w:name="_Toc37254855"/>
      <w:r>
        <w:rPr>
          <w:rStyle w:val="CharDivNo"/>
        </w:rPr>
        <w:t>Division 1</w:t>
      </w:r>
      <w:r>
        <w:t> — </w:t>
      </w:r>
      <w:r>
        <w:rPr>
          <w:rStyle w:val="CharDivText"/>
        </w:rPr>
        <w:t>Retail sale</w:t>
      </w:r>
      <w:bookmarkEnd w:id="14"/>
      <w:bookmarkEnd w:id="15"/>
      <w:bookmarkEnd w:id="16"/>
      <w:bookmarkEnd w:id="17"/>
    </w:p>
    <w:p>
      <w:pPr>
        <w:pStyle w:val="Footnoteheading"/>
      </w:pPr>
      <w:r>
        <w:tab/>
        <w:t>[Heading inserted: Gazette 11 Jul 2001 p. 3459.]</w:t>
      </w:r>
    </w:p>
    <w:p>
      <w:pPr>
        <w:pStyle w:val="Heading5"/>
      </w:pPr>
      <w:bookmarkStart w:id="18" w:name="_Toc37254856"/>
      <w:r>
        <w:rPr>
          <w:rStyle w:val="CharSectno"/>
        </w:rPr>
        <w:t>2A</w:t>
      </w:r>
      <w:r>
        <w:t>.</w:t>
      </w:r>
      <w:r>
        <w:tab/>
        <w:t>Terms used</w:t>
      </w:r>
      <w:bookmarkEnd w:id="18"/>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19" w:name="_Toc37254857"/>
      <w:r>
        <w:rPr>
          <w:rStyle w:val="CharSectno"/>
        </w:rPr>
        <w:t>3</w:t>
      </w:r>
      <w:r>
        <w:t>.</w:t>
      </w:r>
      <w:r>
        <w:tab/>
        <w:t>Standard retail price to be as notified</w:t>
      </w:r>
      <w:bookmarkEnd w:id="19"/>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20" w:name="_Toc37254858"/>
      <w:r>
        <w:rPr>
          <w:rStyle w:val="CharSectno"/>
        </w:rPr>
        <w:t>3A</w:t>
      </w:r>
      <w:r>
        <w:t>.</w:t>
      </w:r>
      <w:r>
        <w:tab/>
        <w:t>Requirements for giving notification</w:t>
      </w:r>
      <w:bookmarkEnd w:id="20"/>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21" w:name="_Toc37254859"/>
      <w:r>
        <w:rPr>
          <w:rStyle w:val="CharSectno"/>
        </w:rPr>
        <w:t>4</w:t>
      </w:r>
      <w:r>
        <w:t>.</w:t>
      </w:r>
      <w:r>
        <w:tab/>
        <w:t>Price changes in certain places need not be notified</w:t>
      </w:r>
      <w:bookmarkEnd w:id="21"/>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22" w:name="_Toc37254860"/>
      <w:r>
        <w:rPr>
          <w:rStyle w:val="CharSectno"/>
        </w:rPr>
        <w:t>5</w:t>
      </w:r>
      <w:r>
        <w:t>.</w:t>
      </w:r>
      <w:r>
        <w:tab/>
        <w:t>Places where regulation 6 applies</w:t>
      </w:r>
      <w:bookmarkEnd w:id="22"/>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23" w:name="_Toc37254861"/>
      <w:r>
        <w:rPr>
          <w:rStyle w:val="CharSectno"/>
        </w:rPr>
        <w:t>6</w:t>
      </w:r>
      <w:r>
        <w:t>.</w:t>
      </w:r>
      <w:r>
        <w:tab/>
        <w:t>Retailer to display retail prices</w:t>
      </w:r>
      <w:bookmarkEnd w:id="23"/>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24" w:name="_Toc37240553"/>
      <w:bookmarkStart w:id="25" w:name="_Toc37241421"/>
      <w:bookmarkStart w:id="26" w:name="_Toc37241956"/>
      <w:bookmarkStart w:id="27" w:name="_Toc37254862"/>
      <w:r>
        <w:rPr>
          <w:rStyle w:val="CharDivNo"/>
        </w:rPr>
        <w:t>Division 2</w:t>
      </w:r>
      <w:r>
        <w:t> — </w:t>
      </w:r>
      <w:r>
        <w:rPr>
          <w:rStyle w:val="CharDivText"/>
        </w:rPr>
        <w:t>Before retail sale</w:t>
      </w:r>
      <w:bookmarkEnd w:id="24"/>
      <w:bookmarkEnd w:id="25"/>
      <w:bookmarkEnd w:id="26"/>
      <w:bookmarkEnd w:id="27"/>
    </w:p>
    <w:p>
      <w:pPr>
        <w:pStyle w:val="Footnoteheading"/>
        <w:keepNext/>
      </w:pPr>
      <w:r>
        <w:tab/>
        <w:t>[Heading inserted: Gazette 11 Jul 2001 p. 3461.]</w:t>
      </w:r>
    </w:p>
    <w:p>
      <w:pPr>
        <w:pStyle w:val="Heading5"/>
      </w:pPr>
      <w:bookmarkStart w:id="28" w:name="_Toc37254863"/>
      <w:r>
        <w:rPr>
          <w:rStyle w:val="CharSectno"/>
        </w:rPr>
        <w:t>7</w:t>
      </w:r>
      <w:r>
        <w:t>.</w:t>
      </w:r>
      <w:r>
        <w:tab/>
        <w:t>How to notify Commissioner of price changes</w:t>
      </w:r>
      <w:bookmarkEnd w:id="28"/>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29" w:name="_Toc37254864"/>
      <w:r>
        <w:rPr>
          <w:rStyle w:val="CharSectno"/>
        </w:rPr>
        <w:t>9</w:t>
      </w:r>
      <w:r>
        <w:t>.</w:t>
      </w:r>
      <w:r>
        <w:tab/>
        <w:t>Details of price differences</w:t>
      </w:r>
      <w:bookmarkEnd w:id="29"/>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30" w:name="_Toc37254865"/>
      <w:r>
        <w:rPr>
          <w:rStyle w:val="CharSectno"/>
        </w:rPr>
        <w:t>10</w:t>
      </w:r>
      <w:r>
        <w:t>.</w:t>
      </w:r>
      <w:r>
        <w:tab/>
        <w:t>Notifying Commissioner of price differences</w:t>
      </w:r>
      <w:bookmarkEnd w:id="30"/>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31" w:name="_Toc37240557"/>
      <w:bookmarkStart w:id="32" w:name="_Toc37241425"/>
      <w:bookmarkStart w:id="33" w:name="_Toc37241960"/>
      <w:bookmarkStart w:id="34" w:name="_Toc37254866"/>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31"/>
      <w:bookmarkEnd w:id="32"/>
      <w:bookmarkEnd w:id="33"/>
      <w:bookmarkEnd w:id="34"/>
    </w:p>
    <w:p>
      <w:pPr>
        <w:pStyle w:val="Footnoteheading"/>
      </w:pPr>
      <w:r>
        <w:tab/>
        <w:t>[Heading inserted: Gazette 9 Nov 2001 p. 5925.]</w:t>
      </w:r>
    </w:p>
    <w:p>
      <w:pPr>
        <w:pStyle w:val="Heading5"/>
      </w:pPr>
      <w:bookmarkStart w:id="35" w:name="_Toc37254867"/>
      <w:r>
        <w:rPr>
          <w:rStyle w:val="CharSectno"/>
        </w:rPr>
        <w:t>11</w:t>
      </w:r>
      <w:r>
        <w:t>.</w:t>
      </w:r>
      <w:r>
        <w:tab/>
        <w:t>Prescribed offences (s. 31B)</w:t>
      </w:r>
      <w:bookmarkEnd w:id="35"/>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36" w:name="_Toc37254868"/>
      <w:r>
        <w:rPr>
          <w:rStyle w:val="CharSectno"/>
        </w:rPr>
        <w:t>12</w:t>
      </w:r>
      <w:r>
        <w:t>.</w:t>
      </w:r>
      <w:r>
        <w:tab/>
        <w:t>Prescribed modified penalties (s. 31C)</w:t>
      </w:r>
      <w:bookmarkEnd w:id="36"/>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37" w:name="_Toc37254869"/>
      <w:r>
        <w:rPr>
          <w:rStyle w:val="CharSectno"/>
        </w:rPr>
        <w:t>13</w:t>
      </w:r>
      <w:r>
        <w:t>.</w:t>
      </w:r>
      <w:r>
        <w:tab/>
        <w:t>Prescribed form of infringement notice (s. 31C)</w:t>
      </w:r>
      <w:bookmarkEnd w:id="37"/>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38" w:name="_Toc37254870"/>
      <w:r>
        <w:rPr>
          <w:rStyle w:val="CharSectno"/>
        </w:rPr>
        <w:t>14</w:t>
      </w:r>
      <w:r>
        <w:t>.</w:t>
      </w:r>
      <w:r>
        <w:tab/>
        <w:t>Prescribed form of withdrawal of notice (s. 31E)</w:t>
      </w:r>
      <w:bookmarkEnd w:id="38"/>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9" w:name="_Toc37240562"/>
      <w:bookmarkStart w:id="40" w:name="_Toc37241430"/>
      <w:bookmarkStart w:id="41" w:name="_Toc37241965"/>
      <w:bookmarkStart w:id="42" w:name="_Toc37254871"/>
      <w:r>
        <w:rPr>
          <w:rStyle w:val="CharSchNo"/>
        </w:rPr>
        <w:t>Schedule 1</w:t>
      </w:r>
      <w:r>
        <w:t> — </w:t>
      </w:r>
      <w:r>
        <w:rPr>
          <w:rStyle w:val="CharSchText"/>
        </w:rPr>
        <w:t>Places where regulations 3(1) and 6 apply</w:t>
      </w:r>
      <w:bookmarkEnd w:id="39"/>
      <w:bookmarkEnd w:id="40"/>
      <w:bookmarkEnd w:id="41"/>
      <w:bookmarkEnd w:id="42"/>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Kellerberrin</w:t>
            </w:r>
          </w:p>
        </w:tc>
      </w:tr>
      <w:tr>
        <w:trPr>
          <w:cantSplit/>
          <w:trHeight w:val="276"/>
        </w:trPr>
        <w:tc>
          <w:tcPr>
            <w:tcW w:w="2552" w:type="dxa"/>
          </w:tcPr>
          <w:p>
            <w:pPr>
              <w:pStyle w:val="yTableNAm"/>
            </w:pPr>
            <w:r>
              <w:t>Broome</w:t>
            </w:r>
          </w:p>
        </w:tc>
        <w:tc>
          <w:tcPr>
            <w:tcW w:w="2410" w:type="dxa"/>
          </w:tcPr>
          <w:p>
            <w:pPr>
              <w:pStyle w:val="yTableNAm"/>
            </w:pPr>
            <w:r>
              <w:t>Kojonup</w:t>
            </w:r>
          </w:p>
        </w:tc>
      </w:tr>
      <w:tr>
        <w:trPr>
          <w:cantSplit/>
          <w:trHeight w:val="276"/>
        </w:trPr>
        <w:tc>
          <w:tcPr>
            <w:tcW w:w="2552" w:type="dxa"/>
          </w:tcPr>
          <w:p>
            <w:pPr>
              <w:pStyle w:val="yTableNAm"/>
            </w:pPr>
            <w:r>
              <w:t>Carnarvon</w:t>
            </w:r>
          </w:p>
        </w:tc>
        <w:tc>
          <w:tcPr>
            <w:tcW w:w="2410" w:type="dxa"/>
          </w:tcPr>
          <w:p>
            <w:pPr>
              <w:pStyle w:val="yTableNAm"/>
            </w:pPr>
            <w:r>
              <w:t>Kununurra</w:t>
            </w:r>
          </w:p>
        </w:tc>
      </w:tr>
      <w:tr>
        <w:trPr>
          <w:cantSplit/>
          <w:trHeight w:val="276"/>
        </w:trPr>
        <w:tc>
          <w:tcPr>
            <w:tcW w:w="2552" w:type="dxa"/>
          </w:tcPr>
          <w:p>
            <w:pPr>
              <w:pStyle w:val="yTableNAm"/>
            </w:pPr>
            <w:r>
              <w:t>Collie</w:t>
            </w:r>
          </w:p>
        </w:tc>
        <w:tc>
          <w:tcPr>
            <w:tcW w:w="2410" w:type="dxa"/>
          </w:tcPr>
          <w:p>
            <w:pPr>
              <w:pStyle w:val="yTableNAm"/>
            </w:pPr>
            <w:r>
              <w:t>Meckering</w:t>
            </w:r>
          </w:p>
        </w:tc>
      </w:tr>
      <w:tr>
        <w:trPr>
          <w:cantSplit/>
          <w:trHeight w:val="276"/>
        </w:trPr>
        <w:tc>
          <w:tcPr>
            <w:tcW w:w="2552" w:type="dxa"/>
          </w:tcPr>
          <w:p>
            <w:pPr>
              <w:pStyle w:val="yTableNAm"/>
            </w:pPr>
            <w:r>
              <w:t>Coolgardie</w:t>
            </w:r>
          </w:p>
        </w:tc>
        <w:tc>
          <w:tcPr>
            <w:tcW w:w="2410" w:type="dxa"/>
          </w:tcPr>
          <w:p>
            <w:pPr>
              <w:pStyle w:val="yTableNAm"/>
            </w:pPr>
            <w:r>
              <w:t>Meekatharra</w:t>
            </w:r>
          </w:p>
        </w:tc>
      </w:tr>
      <w:tr>
        <w:trPr>
          <w:cantSplit/>
          <w:trHeight w:val="276"/>
        </w:trPr>
        <w:tc>
          <w:tcPr>
            <w:tcW w:w="2552" w:type="dxa"/>
          </w:tcPr>
          <w:p>
            <w:pPr>
              <w:pStyle w:val="yTableNAm"/>
            </w:pPr>
            <w:r>
              <w:t>Cunderdin</w:t>
            </w:r>
          </w:p>
        </w:tc>
        <w:tc>
          <w:tcPr>
            <w:tcW w:w="2410" w:type="dxa"/>
          </w:tcPr>
          <w:p>
            <w:pPr>
              <w:pStyle w:val="yTableNAm"/>
            </w:pPr>
            <w:r>
              <w:t>Moora</w:t>
            </w:r>
          </w:p>
        </w:tc>
      </w:tr>
      <w:tr>
        <w:trPr>
          <w:cantSplit/>
          <w:trHeight w:val="276"/>
        </w:trPr>
        <w:tc>
          <w:tcPr>
            <w:tcW w:w="2552" w:type="dxa"/>
          </w:tcPr>
          <w:p>
            <w:pPr>
              <w:pStyle w:val="yTableNAm"/>
            </w:pPr>
            <w:r>
              <w:t>Dalwallinu</w:t>
            </w:r>
          </w:p>
        </w:tc>
        <w:tc>
          <w:tcPr>
            <w:tcW w:w="2410" w:type="dxa"/>
          </w:tcPr>
          <w:p>
            <w:pPr>
              <w:pStyle w:val="yTableNAm"/>
            </w:pPr>
            <w:r>
              <w:t>Mt Barker</w:t>
            </w:r>
          </w:p>
        </w:tc>
      </w:tr>
      <w:tr>
        <w:trPr>
          <w:cantSplit/>
          <w:trHeight w:val="276"/>
        </w:trPr>
        <w:tc>
          <w:tcPr>
            <w:tcW w:w="2552" w:type="dxa"/>
          </w:tcPr>
          <w:p>
            <w:pPr>
              <w:pStyle w:val="yTableNAm"/>
            </w:pPr>
            <w:r>
              <w:t>Dampier</w:t>
            </w:r>
          </w:p>
        </w:tc>
        <w:tc>
          <w:tcPr>
            <w:tcW w:w="2410" w:type="dxa"/>
          </w:tcPr>
          <w:p>
            <w:pPr>
              <w:pStyle w:val="yTableNAm"/>
            </w:pPr>
            <w:r>
              <w:t>Narrogin</w:t>
            </w:r>
          </w:p>
        </w:tc>
      </w:tr>
      <w:tr>
        <w:trPr>
          <w:cantSplit/>
          <w:trHeight w:val="276"/>
        </w:trPr>
        <w:tc>
          <w:tcPr>
            <w:tcW w:w="2552" w:type="dxa"/>
          </w:tcPr>
          <w:p>
            <w:pPr>
              <w:pStyle w:val="yTableNAm"/>
            </w:pPr>
            <w:r>
              <w:t>Denmark</w:t>
            </w:r>
          </w:p>
        </w:tc>
        <w:tc>
          <w:tcPr>
            <w:tcW w:w="2410" w:type="dxa"/>
          </w:tcPr>
          <w:p>
            <w:pPr>
              <w:pStyle w:val="yTableNAm"/>
            </w:pPr>
            <w:r>
              <w:t>Newman</w:t>
            </w:r>
          </w:p>
        </w:tc>
      </w:tr>
      <w:tr>
        <w:trPr>
          <w:cantSplit/>
          <w:trHeight w:val="276"/>
        </w:trPr>
        <w:tc>
          <w:tcPr>
            <w:tcW w:w="2552" w:type="dxa"/>
          </w:tcPr>
          <w:p>
            <w:pPr>
              <w:pStyle w:val="yTableNAm"/>
            </w:pPr>
            <w:r>
              <w:t>Derby</w:t>
            </w:r>
          </w:p>
        </w:tc>
        <w:tc>
          <w:tcPr>
            <w:tcW w:w="2410" w:type="dxa"/>
          </w:tcPr>
          <w:p>
            <w:pPr>
              <w:pStyle w:val="yTableNAm"/>
            </w:pPr>
            <w:r>
              <w:t xml:space="preserve">Norseman </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w:t>
      </w:r>
    </w:p>
    <w:p>
      <w:pPr>
        <w:pStyle w:val="yScheduleHeading"/>
      </w:pPr>
      <w:bookmarkStart w:id="43" w:name="_Toc37240563"/>
      <w:bookmarkStart w:id="44" w:name="_Toc37241431"/>
      <w:bookmarkStart w:id="45" w:name="_Toc37241966"/>
      <w:bookmarkStart w:id="46" w:name="_Toc37254872"/>
      <w:r>
        <w:rPr>
          <w:rStyle w:val="CharSchNo"/>
        </w:rPr>
        <w:t>Schedule 2</w:t>
      </w:r>
      <w:r>
        <w:t> — </w:t>
      </w:r>
      <w:r>
        <w:rPr>
          <w:rStyle w:val="CharSchText"/>
        </w:rPr>
        <w:t>Prescribed offences and modified penalties</w:t>
      </w:r>
      <w:bookmarkEnd w:id="43"/>
      <w:bookmarkEnd w:id="44"/>
      <w:bookmarkEnd w:id="45"/>
      <w:bookmarkEnd w:id="46"/>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47" w:name="_Toc37240564"/>
      <w:bookmarkStart w:id="48" w:name="_Toc37241432"/>
      <w:bookmarkStart w:id="49" w:name="_Toc37241967"/>
      <w:bookmarkStart w:id="50" w:name="_Toc37254873"/>
      <w:r>
        <w:rPr>
          <w:rStyle w:val="CharSchNo"/>
        </w:rPr>
        <w:t>Schedule 3</w:t>
      </w:r>
      <w:r>
        <w:t> — </w:t>
      </w:r>
      <w:r>
        <w:rPr>
          <w:rStyle w:val="CharSchText"/>
        </w:rPr>
        <w:t>Forms</w:t>
      </w:r>
      <w:bookmarkEnd w:id="47"/>
      <w:bookmarkEnd w:id="48"/>
      <w:bookmarkEnd w:id="49"/>
      <w:bookmarkEnd w:id="50"/>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2" w:name="_Toc37240565"/>
      <w:bookmarkStart w:id="53" w:name="_Toc37241433"/>
      <w:bookmarkStart w:id="54" w:name="_Toc37241968"/>
      <w:bookmarkStart w:id="55" w:name="_Toc37254874"/>
      <w:r>
        <w:t>Notes</w:t>
      </w:r>
      <w:bookmarkEnd w:id="52"/>
      <w:bookmarkEnd w:id="53"/>
      <w:bookmarkEnd w:id="54"/>
      <w:bookmarkEnd w:id="55"/>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pPr>
        <w:pStyle w:val="nHeading3"/>
      </w:pPr>
      <w:bookmarkStart w:id="56" w:name="_Toc37254875"/>
      <w:r>
        <w:t>Compilation table</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w:t>
            </w:r>
            <w:r>
              <w:rPr>
                <w:lang w:val="en-US"/>
              </w:rPr>
              <w:t>r. 2(a));</w:t>
            </w:r>
            <w:r>
              <w:rPr>
                <w:lang w:val="en-US"/>
              </w:rPr>
              <w:br/>
              <w:t>Regulations other than r. 1 and 2: 10 Apr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Petroleum Products Pricing Amendment Regulations (No. 2) 2020</w:t>
            </w:r>
          </w:p>
        </w:tc>
        <w:tc>
          <w:tcPr>
            <w:tcW w:w="1276" w:type="dxa"/>
            <w:tcBorders>
              <w:bottom w:val="single" w:sz="4" w:space="0" w:color="auto"/>
            </w:tcBorders>
          </w:tcPr>
          <w:p>
            <w:pPr>
              <w:pStyle w:val="nTable"/>
              <w:spacing w:after="40"/>
            </w:pPr>
            <w:r>
              <w:t>SL 2020/34 9 Apr 2020</w:t>
            </w:r>
          </w:p>
        </w:tc>
        <w:tc>
          <w:tcPr>
            <w:tcW w:w="2693" w:type="dxa"/>
            <w:tcBorders>
              <w:bottom w:val="single" w:sz="4" w:space="0" w:color="auto"/>
            </w:tcBorders>
          </w:tcPr>
          <w:p>
            <w:pPr>
              <w:pStyle w:val="nTable"/>
              <w:spacing w:after="40"/>
              <w:rPr>
                <w:lang w:val="en-US"/>
              </w:rPr>
            </w:pPr>
            <w:r>
              <w:t>r. 1 and 2: 9 Apr 2020 (see </w:t>
            </w:r>
            <w:r>
              <w:rPr>
                <w:lang w:val="en-US"/>
              </w:rPr>
              <w:t>r. 2(a));</w:t>
            </w:r>
            <w:r>
              <w:rPr>
                <w:lang w:val="en-US"/>
              </w:rPr>
              <w:br/>
              <w:t>Regulations other than r. 1 and 2: 10 Apr 2020 (see r. 2(b))</w:t>
            </w:r>
          </w:p>
        </w:tc>
      </w:tr>
    </w:tbl>
    <w:p>
      <w:pPr>
        <w:pStyle w:val="nHeading3"/>
      </w:pPr>
      <w:bookmarkStart w:id="57" w:name="_Toc37254876"/>
      <w:r>
        <w:t>Other notes</w:t>
      </w:r>
      <w:bookmarkEnd w:id="57"/>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9" w:name="_Toc37254877"/>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townsite</w:t>
      </w:r>
      <w:r>
        <w:tab/>
        <w:t>2AA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8120834"/>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4369</Words>
  <Characters>21850</Characters>
  <Application>Microsoft Office Word</Application>
  <DocSecurity>0</DocSecurity>
  <Lines>910</Lines>
  <Paragraphs>546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25673</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2000 - 02-j0-00</dc:title>
  <dc:subject/>
  <dc:creator/>
  <cp:keywords/>
  <dc:description/>
  <cp:lastModifiedBy>svcMRProcess</cp:lastModifiedBy>
  <cp:revision>4</cp:revision>
  <cp:lastPrinted>2009-08-27T00:49:00Z</cp:lastPrinted>
  <dcterms:created xsi:type="dcterms:W3CDTF">2020-04-09T06:14:00Z</dcterms:created>
  <dcterms:modified xsi:type="dcterms:W3CDTF">2020-04-09T06:14:00Z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10 Apr 2020</vt:lpwstr>
  </property>
  <property fmtid="{D5CDD505-2E9C-101B-9397-08002B2CF9AE}" pid="7" name="Suffix">
    <vt:lpwstr>02-j0-00</vt:lpwstr>
  </property>
  <property fmtid="{D5CDD505-2E9C-101B-9397-08002B2CF9AE}" pid="8" name="CommencementDate">
    <vt:lpwstr>20200410</vt:lpwstr>
  </property>
</Properties>
</file>