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(Declared Pest Account) Regulations 2014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(Declared Pest Account) Regulations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_Toc38007700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_Toc38007701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areas</w:t>
      </w:r>
      <w:r>
        <w:tab/>
      </w:r>
      <w:r>
        <w:fldChar w:fldCharType="begin"/>
      </w:r>
      <w:r>
        <w:instrText xml:space="preserve"> PAGEREF _Toc38007702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Consultation requirement</w:t>
      </w:r>
      <w:r>
        <w:tab/>
      </w:r>
      <w:r>
        <w:fldChar w:fldCharType="begin"/>
      </w:r>
      <w:r>
        <w:instrText xml:space="preserve"> PAGEREF _Toc38007703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Prescribed amount for flat rate</w:t>
      </w:r>
      <w:r>
        <w:tab/>
      </w:r>
      <w:r>
        <w:fldChar w:fldCharType="begin"/>
      </w:r>
      <w:r>
        <w:instrText xml:space="preserve"> PAGEREF _Toc38007704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</w:rPr>
        <w:t>Biosecurity and Agriculture Management (Declared Pest Account Rate Consultation) Regulations 2011</w:t>
      </w:r>
      <w:r>
        <w:t xml:space="preserve"> repealed</w:t>
      </w:r>
      <w:r>
        <w:tab/>
      </w:r>
      <w:r>
        <w:fldChar w:fldCharType="begin"/>
      </w:r>
      <w:r>
        <w:instrText xml:space="preserve"> PAGEREF _Toc38007705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_Toc38007707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(Declared Pest Account) Regulations 2014</w:t>
      </w:r>
    </w:p>
    <w:p>
      <w:pPr>
        <w:pStyle w:val="Heading5"/>
      </w:pPr>
      <w:bookmarkStart w:id="3" w:name="_Toc3800770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(Declared Pest Account) Regulations 2014</w:t>
      </w:r>
      <w:r>
        <w:t>.</w:t>
      </w:r>
    </w:p>
    <w:p>
      <w:pPr>
        <w:pStyle w:val="Heading5"/>
        <w:rPr>
          <w:spacing w:val="-2"/>
        </w:rPr>
      </w:pPr>
      <w:bookmarkStart w:id="5" w:name="_Toc380077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38007702"/>
      <w:r>
        <w:rPr>
          <w:rStyle w:val="CharSectno"/>
        </w:rPr>
        <w:t>3</w:t>
      </w:r>
      <w:r>
        <w:t>.</w:t>
      </w:r>
      <w:r>
        <w:tab/>
        <w:t>Prescribed areas</w:t>
      </w:r>
      <w:bookmarkEnd w:id="6"/>
    </w:p>
    <w:p>
      <w:pPr>
        <w:pStyle w:val="Subsection"/>
      </w:pPr>
      <w:r>
        <w:tab/>
      </w:r>
      <w:r>
        <w:tab/>
        <w:t>The local government districts specified in the Table are prescribed as areas for the purposes of section 130(1) of the Act.</w:t>
      </w:r>
    </w:p>
    <w:p>
      <w:pPr>
        <w:pStyle w:val="THeadingNAm"/>
      </w:pPr>
      <w:r>
        <w:t>Table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977"/>
        <w:gridCol w:w="2835"/>
      </w:tblGrid>
      <w:tr>
        <w:tc>
          <w:tcPr>
            <w:tcW w:w="2977" w:type="dxa"/>
          </w:tcPr>
          <w:p>
            <w:pPr>
              <w:pStyle w:val="TableNAm"/>
            </w:pPr>
            <w:r>
              <w:t>Ashburton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Boyup Brook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Bridgetown</w:t>
            </w:r>
            <w:r>
              <w:noBreakHyphen/>
              <w:t>Greenbushes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Broome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Capel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Carnamah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Carnarvon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Chapman Valley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Coolgardie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 xml:space="preserve">Coorow 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Cue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Dalwallinu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Dandaragan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lastRenderedPageBreak/>
              <w:t>Dardanup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Derby</w:t>
            </w:r>
            <w:r>
              <w:noBreakHyphen/>
              <w:t>West Kimberley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Donnybrook</w:t>
            </w:r>
            <w:r>
              <w:noBreakHyphen/>
              <w:t>Balingup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Dundas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East Pilbara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Esperance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Exmouth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Greater Geraldton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Halls Creek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Harvey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 xml:space="preserve">Irwin 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Kalgoorlie</w:t>
            </w:r>
            <w:r>
              <w:noBreakHyphen/>
              <w:t>Boulder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Kondinin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Koorda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Kulin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Lake Grace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Laverton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Leonora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Mandurah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Menzies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Merredin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 xml:space="preserve">Mingenew 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 xml:space="preserve">Moora 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Morawa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Mount Magnet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Mount Marshall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Mukinbudin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Murchison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Murray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Nannup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Narembeen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Ngaanyatjarraku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Northampton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Nungarin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Perenjori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Port Hedland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Ravensthorpe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Sandstone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Serpentine</w:t>
            </w:r>
            <w:r>
              <w:noBreakHyphen/>
              <w:t>Jarrahdale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Shark Bay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Three Springs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Trayning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Upper Gascoyne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Waroona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West Arthur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Westonia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Wyndham</w:t>
            </w:r>
            <w:r>
              <w:noBreakHyphen/>
              <w:t>East Kimberley</w:t>
            </w:r>
          </w:p>
        </w:tc>
      </w:tr>
      <w:tr>
        <w:tc>
          <w:tcPr>
            <w:tcW w:w="2977" w:type="dxa"/>
          </w:tcPr>
          <w:p>
            <w:pPr>
              <w:pStyle w:val="TableNAm"/>
            </w:pPr>
            <w:r>
              <w:t>Yalgoo</w:t>
            </w:r>
          </w:p>
        </w:tc>
        <w:tc>
          <w:tcPr>
            <w:tcW w:w="2835" w:type="dxa"/>
          </w:tcPr>
          <w:p>
            <w:pPr>
              <w:pStyle w:val="TableNAm"/>
            </w:pPr>
            <w:r>
              <w:t>Yilgarn</w:t>
            </w:r>
          </w:p>
        </w:tc>
      </w:tr>
    </w:tbl>
    <w:p>
      <w:pPr>
        <w:pStyle w:val="Footnotesection"/>
      </w:pPr>
      <w:r>
        <w:tab/>
        <w:t>[Regulation 3 inserted: SL 2020/38 r. 4.]</w:t>
      </w:r>
    </w:p>
    <w:p>
      <w:pPr>
        <w:pStyle w:val="Heading5"/>
        <w:rPr>
          <w:snapToGrid w:val="0"/>
        </w:rPr>
      </w:pPr>
      <w:bookmarkStart w:id="7" w:name="_Toc3800770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Consultation requirement</w:t>
      </w:r>
      <w:bookmarkEnd w:id="7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affected land</w:t>
      </w:r>
      <w:r>
        <w:t>, in relation to a proposal to determine a rate under section 130 of the Act, means the land or the class of land in respect of which it is proposed to determine the rate;</w:t>
      </w:r>
    </w:p>
    <w:p>
      <w:pPr>
        <w:pStyle w:val="Defstart"/>
      </w:pPr>
      <w:r>
        <w:tab/>
      </w:r>
      <w:r>
        <w:rPr>
          <w:rStyle w:val="CharDefText"/>
        </w:rPr>
        <w:t>relevant newspaper</w:t>
      </w:r>
      <w:r>
        <w:t>, in relation to a proposal to determine a rate under section 130 of the Act, means a newspaper circulating generally in the area in which the affected land is situated.</w:t>
      </w:r>
    </w:p>
    <w:p>
      <w:pPr>
        <w:pStyle w:val="Subsection"/>
      </w:pPr>
      <w:r>
        <w:tab/>
        <w:t>(2)</w:t>
      </w:r>
      <w:r>
        <w:tab/>
        <w:t xml:space="preserve">Not less than one month before determining a rate chargeable on land under section 130 of the Act, the Minister must — </w:t>
      </w:r>
    </w:p>
    <w:p>
      <w:pPr>
        <w:pStyle w:val="Indenta"/>
      </w:pPr>
      <w:r>
        <w:tab/>
        <w:t>(a)</w:t>
      </w:r>
      <w:r>
        <w:tab/>
        <w:t xml:space="preserve">publish a notice in a relevant newspaper — </w:t>
      </w:r>
    </w:p>
    <w:p>
      <w:pPr>
        <w:pStyle w:val="Indenti"/>
      </w:pPr>
      <w:r>
        <w:tab/>
        <w:t>(i)</w:t>
      </w:r>
      <w:r>
        <w:tab/>
        <w:t>identifying the affected land; and</w:t>
      </w:r>
    </w:p>
    <w:p>
      <w:pPr>
        <w:pStyle w:val="Indenti"/>
      </w:pPr>
      <w:r>
        <w:tab/>
        <w:t>(ii)</w:t>
      </w:r>
      <w:r>
        <w:tab/>
        <w:t>stating the rate that the Minister proposes to determine; and</w:t>
      </w:r>
    </w:p>
    <w:p>
      <w:pPr>
        <w:pStyle w:val="Indenti"/>
      </w:pPr>
      <w:r>
        <w:tab/>
        <w:t>(iii)</w:t>
      </w:r>
      <w:r>
        <w:tab/>
        <w:t>inviting submissions from interested persons regarding the proposed determination;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  <w:keepNext/>
      </w:pPr>
      <w:r>
        <w:tab/>
        <w:t>(b)</w:t>
      </w:r>
      <w:r>
        <w:tab/>
        <w:t xml:space="preserve">in so far as is reasonably practicable, give a copy of the notice to each owner of affected land if — </w:t>
      </w:r>
    </w:p>
    <w:p>
      <w:pPr>
        <w:pStyle w:val="Indenti"/>
      </w:pPr>
      <w:r>
        <w:tab/>
        <w:t>(i)</w:t>
      </w:r>
      <w:r>
        <w:tab/>
        <w:t>the Minister has not made a determination in relation to the rate chargeable on the affected land for the previous financial year; or</w:t>
      </w:r>
    </w:p>
    <w:p>
      <w:pPr>
        <w:pStyle w:val="Indenti"/>
      </w:pPr>
      <w:r>
        <w:tab/>
        <w:t>(ii)</w:t>
      </w:r>
      <w:r>
        <w:tab/>
        <w:t>the rate the Minister proposes to determine is an increase of 5% or more on the rate determined in respect of the affected land in the previous financial year.</w:t>
      </w:r>
    </w:p>
    <w:p>
      <w:pPr>
        <w:pStyle w:val="Footnotesection"/>
      </w:pPr>
      <w:r>
        <w:tab/>
        <w:t>[Regulation 4 amended: Gazette 17 May 2019 p. 1433.]</w:t>
      </w:r>
    </w:p>
    <w:p>
      <w:pPr>
        <w:pStyle w:val="Heading5"/>
      </w:pPr>
      <w:bookmarkStart w:id="8" w:name="_Toc38007704"/>
      <w:r>
        <w:rPr>
          <w:rStyle w:val="CharSectno"/>
        </w:rPr>
        <w:t>4A</w:t>
      </w:r>
      <w:r>
        <w:t>.</w:t>
      </w:r>
      <w:r>
        <w:tab/>
        <w:t>Prescribed amount for flat rate</w:t>
      </w:r>
      <w:bookmarkEnd w:id="8"/>
    </w:p>
    <w:p>
      <w:pPr>
        <w:pStyle w:val="Subsection"/>
      </w:pPr>
      <w:r>
        <w:tab/>
      </w:r>
      <w:r>
        <w:tab/>
        <w:t>For the purposes of section 132(2) of the Act, the amount is $3 781.</w:t>
      </w:r>
    </w:p>
    <w:p>
      <w:pPr>
        <w:pStyle w:val="Footnotesection"/>
      </w:pPr>
      <w:r>
        <w:tab/>
        <w:t>[Regulation 4A inserted: Gazette 3 Feb 2017 p. 1110.]</w:t>
      </w:r>
    </w:p>
    <w:p>
      <w:pPr>
        <w:pStyle w:val="Heading5"/>
      </w:pPr>
      <w:bookmarkStart w:id="9" w:name="_Toc38007705"/>
      <w:r>
        <w:rPr>
          <w:rStyle w:val="CharSectno"/>
        </w:rPr>
        <w:t>5</w:t>
      </w:r>
      <w:r>
        <w:t>.</w:t>
      </w:r>
      <w:r>
        <w:tab/>
      </w:r>
      <w:r>
        <w:rPr>
          <w:i/>
        </w:rPr>
        <w:t>Biosecurity and Agriculture Management (Declared Pest Account Rate Consultation) Regulations 2011</w:t>
      </w:r>
      <w:r>
        <w:t xml:space="preserve"> repealed</w:t>
      </w:r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Biosecurity and Agriculture Management (Declared Pest Account Rate Consultation) Regulations 2011</w:t>
      </w:r>
      <w:r>
        <w:t xml:space="preserve"> are repealed.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46844"/>
      <w:bookmarkStart w:id="11" w:name="_Toc38007627"/>
      <w:bookmarkStart w:id="12" w:name="_Toc38007706"/>
      <w:bookmarkStart w:id="13" w:name="_Toc37944641"/>
      <w:bookmarkStart w:id="14" w:name="_Toc37944656"/>
      <w:r>
        <w:t>Notes</w:t>
      </w:r>
      <w:bookmarkEnd w:id="10"/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Biosecurity and Agriculture Management (Declared Pest Account) Regulations 2014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38007707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Biosecurity and Agriculture Management (Declared Pest Account) Regulations 2014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30 May 2014 p. 1680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30 May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31 May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</w:rPr>
              <w:t>Biosecurity and Agriculture Management (Declared Pest Account)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 2016 p. 1355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 May 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4 May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Biosecurity and Agriculture Management (Declared Pest Account)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Feb 2017 p. 1109</w:t>
            </w:r>
            <w:r>
              <w:noBreakHyphen/>
              <w:t>10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 1 and 2: </w:t>
            </w:r>
            <w:r>
              <w:t>3 Feb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4</w:t>
            </w:r>
            <w:r>
              <w:t> Feb 2017</w:t>
            </w:r>
            <w:r>
              <w:rPr>
                <w:bCs/>
                <w:snapToGrid w:val="0"/>
                <w:spacing w:val="-2"/>
              </w:rPr>
              <w:t xml:space="preserve">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Biosecurity and Agriculture Management (Declared Pest Account) Amendment Regulations (No. 2)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Aug 2017 p. 4445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18</w:t>
            </w:r>
            <w:r>
              <w:t> Aug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19</w:t>
            </w:r>
            <w:r>
              <w:t> Aug 2017</w:t>
            </w:r>
            <w:r>
              <w:rPr>
                <w:bCs/>
                <w:snapToGrid w:val="0"/>
                <w:spacing w:val="-2"/>
              </w:rPr>
              <w:t xml:space="preserve">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Biosecurity and Agriculture Management (Declared Pest Account) Amendment Regulations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15 May 2018 p. 1528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t>15 May 2018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16 May 2018</w:t>
            </w:r>
            <w:r>
              <w:rPr>
                <w:bCs/>
                <w:snapToGrid w:val="0"/>
                <w:spacing w:val="-2"/>
              </w:rPr>
              <w:t xml:space="preserve">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Biosecurity and Agriculture Management (Declared Pest Account)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17 May 2019 p. 1433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t>17 May 2019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18 May 2019</w:t>
            </w:r>
            <w:r>
              <w:rPr>
                <w:bCs/>
                <w:snapToGrid w:val="0"/>
                <w:spacing w:val="-2"/>
              </w:rPr>
              <w:t xml:space="preserve">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Biosecurity and Agriculture Management (Declared Pest Account) Amendment Regulations 2020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2020/38</w:t>
            </w:r>
            <w:r>
              <w:br/>
              <w:t xml:space="preserve">17 Apr 2020 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t>17 Apr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18 Apr 2020</w:t>
            </w:r>
            <w:r>
              <w:rPr>
                <w:bCs/>
                <w:snapToGrid w:val="0"/>
                <w:spacing w:val="-2"/>
              </w:rPr>
              <w:t xml:space="preserve">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37946846"/>
      <w:bookmarkStart w:id="18" w:name="_Toc38007629"/>
      <w:bookmarkStart w:id="19" w:name="_Toc38007708"/>
      <w:r>
        <w:rPr>
          <w:sz w:val="28"/>
        </w:rPr>
        <w:t>Defined terms</w:t>
      </w:r>
      <w:bookmarkEnd w:id="13"/>
      <w:bookmarkEnd w:id="14"/>
      <w:bookmarkEnd w:id="17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affected land</w:t>
      </w:r>
      <w:r>
        <w:tab/>
        <w:t>4(1)</w:t>
      </w:r>
    </w:p>
    <w:p>
      <w:pPr>
        <w:pStyle w:val="DefinedTerms"/>
      </w:pPr>
      <w:r>
        <w:t>relevant newspaper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(Declared Pest Account)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416154538"/>
    <w:docVar w:name="WAFER_20140414163802" w:val="RemoveTocBookmarks,RemoveUnusedBookmarks,RemoveLanguageTags,UsedStyles,ResetPageSize,RunningHeaders"/>
    <w:docVar w:name="WAFER_20140414163802_GUID" w:val="bd661ddd-f9e0-4a4d-a8ff-531c76e654b3"/>
    <w:docVar w:name="WAFER_20140507113619" w:val="RemoveTocBookmarks,RemoveUnusedBookmarks,RemoveLanguageTags,UsedStyles,ResetPageSize"/>
    <w:docVar w:name="WAFER_20140507113619_GUID" w:val="83fcdba0-e0c6-4869-b3e6-77a22eb40630"/>
    <w:docVar w:name="WAFER_20140529100923" w:val="RemoveTocBookmarks,RemoveUnusedBookmarks,RemoveLanguageTags,UsedStyles,ResetPageSize"/>
    <w:docVar w:name="WAFER_20140529100923_GUID" w:val="7bbe84f1-1b80-4529-82b4-9a550b553ea1"/>
    <w:docVar w:name="WAFER_20150324114122" w:val="ResetPageSize,UpdateArrangement,UpdateNTable"/>
    <w:docVar w:name="WAFER_20150324114122_GUID" w:val="efc9da9f-b86c-494f-99d0-21dbf5554cf1"/>
    <w:docVar w:name="WAFER_20151102122244" w:val="UpdateStyles,UsedStyles"/>
    <w:docVar w:name="WAFER_20151102122244_GUID" w:val="b031a4ac-5bcb-46fc-96eb-76ab882a903b"/>
    <w:docVar w:name="WAFER_20160502101817" w:val="RemoveTocBookmarks,RemoveUnusedBookmarks,RemoveLanguageTags,UsedStyles,ResetPageSize"/>
    <w:docVar w:name="WAFER_20160502101817_GUID" w:val="072c0998-074a-4db5-923d-d18740838a35"/>
    <w:docVar w:name="WAFER_20180514111331" w:val="RemoveTocBookmarks,RemoveUnusedBookmarks,RemoveLanguageTags,UsedStyles,ResetPageSize"/>
    <w:docVar w:name="WAFER_20180514111331_GUID" w:val="f178911a-ed33-4944-b78a-d2b36aec596d"/>
    <w:docVar w:name="WAFER_20190516143628" w:val="RemoveTocBookmarks,RemoveUnusedBookmarks,RemoveLanguageTags,ResetPageSize,RunningHeaders,UpdateStyles,UsedStyles"/>
    <w:docVar w:name="WAFER_20190516143628_GUID" w:val="f6fad4ef-eb96-4757-a7da-33f117c0baf5"/>
    <w:docVar w:name="WAFER_202004161545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416154538_GUID" w:val="76f5d8f2-28f9-4e6b-b7eb-460d6773c6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8112A-A1CD-46BD-BCF8-F9D31937F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864</Words>
  <Characters>5351</Characters>
  <Application>Microsoft Office Word</Application>
  <DocSecurity>0</DocSecurity>
  <Lines>267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(Declared Pest Account) Regulations 2014 - 00-g0-00</dc:title>
  <dc:subject/>
  <dc:creator/>
  <cp:keywords/>
  <dc:description/>
  <cp:lastModifiedBy>svcMRProcess</cp:lastModifiedBy>
  <cp:revision>4</cp:revision>
  <cp:lastPrinted>2016-05-03T08:08:00Z</cp:lastPrinted>
  <dcterms:created xsi:type="dcterms:W3CDTF">2020-04-17T06:29:00Z</dcterms:created>
  <dcterms:modified xsi:type="dcterms:W3CDTF">2020-04-17T06:29:00Z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2014 p 1680-2</vt:lpwstr>
  </property>
  <property fmtid="{D5CDD505-2E9C-101B-9397-08002B2CF9AE}" pid="3" name="DocumentType">
    <vt:lpwstr>Reg</vt:lpwstr>
  </property>
  <property fmtid="{D5CDD505-2E9C-101B-9397-08002B2CF9AE}" pid="4" name="AsAtDate">
    <vt:lpwstr>18 Apr 2020</vt:lpwstr>
  </property>
  <property fmtid="{D5CDD505-2E9C-101B-9397-08002B2CF9AE}" pid="5" name="Suffix">
    <vt:lpwstr>00-g0-00</vt:lpwstr>
  </property>
  <property fmtid="{D5CDD505-2E9C-101B-9397-08002B2CF9AE}" pid="6" name="CommencementDate">
    <vt:lpwstr>20200418</vt:lpwstr>
  </property>
</Properties>
</file>