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Act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_Toc39039387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_Toc39039388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_Toc39039389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_Toc39039390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_Toc39039391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_Toc39039392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_Toc39039393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_Toc39039395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_Toc39039396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_Toc39039397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_Toc39039398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_Toc39039399 \h </w:instrText>
      </w:r>
      <w:r>
        <w:fldChar w:fldCharType="separate"/>
      </w:r>
      <w:r>
        <w:t>14</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_Toc39039400 \h </w:instrText>
      </w:r>
      <w:r>
        <w:fldChar w:fldCharType="separate"/>
      </w:r>
      <w:r>
        <w:t>15</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_Toc39039401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_Toc39039403 \h </w:instrText>
      </w:r>
      <w:r>
        <w:fldChar w:fldCharType="separate"/>
      </w:r>
      <w:r>
        <w:t>16</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_Toc39039404 \h </w:instrText>
      </w:r>
      <w:r>
        <w:fldChar w:fldCharType="separate"/>
      </w:r>
      <w:r>
        <w:t>16</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_Toc39039405 \h </w:instrText>
      </w:r>
      <w:r>
        <w:fldChar w:fldCharType="separate"/>
      </w:r>
      <w:r>
        <w:t>16</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_Toc39039406 \h </w:instrText>
      </w:r>
      <w:r>
        <w:fldChar w:fldCharType="separate"/>
      </w:r>
      <w:r>
        <w:t>17</w:t>
      </w:r>
      <w:r>
        <w:fldChar w:fldCharType="end"/>
      </w:r>
    </w:p>
    <w:p>
      <w:pPr>
        <w:pStyle w:val="TOC8"/>
        <w:rPr>
          <w:rFonts w:asciiTheme="minorHAnsi" w:eastAsiaTheme="minorEastAsia" w:hAnsiTheme="minorHAnsi" w:cstheme="minorBidi"/>
          <w:szCs w:val="22"/>
        </w:rPr>
      </w:pPr>
      <w:r>
        <w:t>13B.</w:t>
      </w:r>
      <w:r>
        <w:tab/>
        <w:t>Appeals from decisions of registrar</w:t>
      </w:r>
      <w:r>
        <w:tab/>
      </w:r>
      <w:r>
        <w:fldChar w:fldCharType="begin"/>
      </w:r>
      <w:r>
        <w:instrText xml:space="preserve"> PAGEREF _Toc39039407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_Toc39039408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Applications for relief and orders that may be made</w:t>
      </w:r>
      <w:r>
        <w:tab/>
      </w:r>
      <w:r>
        <w:fldChar w:fldCharType="begin"/>
      </w:r>
      <w:r>
        <w:instrText xml:space="preserve"> PAGEREF _Toc39039409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_Toc39039410 \h </w:instrText>
      </w:r>
      <w:r>
        <w:fldChar w:fldCharType="separate"/>
      </w:r>
      <w:r>
        <w:t>20</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_Toc39039411 \h </w:instrText>
      </w:r>
      <w:r>
        <w:fldChar w:fldCharType="separate"/>
      </w:r>
      <w:r>
        <w:t>20</w:t>
      </w:r>
      <w:r>
        <w:fldChar w:fldCharType="end"/>
      </w:r>
    </w:p>
    <w:p>
      <w:pPr>
        <w:pStyle w:val="TOC8"/>
        <w:rPr>
          <w:rFonts w:asciiTheme="minorHAnsi" w:eastAsiaTheme="minorEastAsia" w:hAnsiTheme="minorHAnsi" w:cstheme="minorBidi"/>
          <w:szCs w:val="22"/>
        </w:rPr>
      </w:pPr>
      <w:r>
        <w:t>17B.</w:t>
      </w:r>
      <w:r>
        <w:tab/>
        <w:t>Determination of rights and liabilities after termination of tenant’s interest on grounds of family violence</w:t>
      </w:r>
      <w:r>
        <w:tab/>
      </w:r>
      <w:r>
        <w:fldChar w:fldCharType="begin"/>
      </w:r>
      <w:r>
        <w:instrText xml:space="preserve"> PAGEREF _Toc39039412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_Toc39039413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_Toc39039414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_Toc39039415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_Toc39039416 \h </w:instrText>
      </w:r>
      <w:r>
        <w:fldChar w:fldCharType="separate"/>
      </w:r>
      <w:r>
        <w:t>24</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_Toc39039417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_Toc39039418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_Toc39039419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_Toc39039420 \h </w:instrText>
      </w:r>
      <w:r>
        <w:fldChar w:fldCharType="separate"/>
      </w:r>
      <w:r>
        <w:t>29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_Toc39039421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_Toc39039422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IV — Residential tenancy agreements</w:t>
      </w:r>
    </w:p>
    <w:p>
      <w:pPr>
        <w:pStyle w:val="TOC4"/>
        <w:tabs>
          <w:tab w:val="right" w:leader="dot" w:pos="7077"/>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_Toc39039425 \h </w:instrText>
      </w:r>
      <w:r>
        <w:fldChar w:fldCharType="separate"/>
      </w:r>
      <w:r>
        <w:t>31</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_Toc39039426 \h </w:instrText>
      </w:r>
      <w:r>
        <w:fldChar w:fldCharType="separate"/>
      </w:r>
      <w:r>
        <w:t>31</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_Toc39039427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_Toc39039429 \h </w:instrText>
      </w:r>
      <w:r>
        <w:fldChar w:fldCharType="separate"/>
      </w:r>
      <w:r>
        <w:t>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_Toc39039430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_Toc39039431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_Toc39039432 \h </w:instrText>
      </w:r>
      <w:r>
        <w:fldChar w:fldCharType="separate"/>
      </w:r>
      <w:r>
        <w:t>36</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_Toc39039433 \h </w:instrText>
      </w:r>
      <w:r>
        <w:fldChar w:fldCharType="separate"/>
      </w:r>
      <w:r>
        <w:t>37</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_Toc39039434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_Toc39039435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_Toc39039436 \h </w:instrText>
      </w:r>
      <w:r>
        <w:fldChar w:fldCharType="separate"/>
      </w:r>
      <w:r>
        <w:t>39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give receipt for rent</w:t>
      </w:r>
      <w:r>
        <w:tab/>
      </w:r>
      <w:r>
        <w:fldChar w:fldCharType="begin"/>
      </w:r>
      <w:r>
        <w:instrText xml:space="preserve"> PAGEREF _Toc39039437 \h </w:instrText>
      </w:r>
      <w:r>
        <w:fldChar w:fldCharType="separate"/>
      </w:r>
      <w:r>
        <w:t>41</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_Toc39039438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_Toc39039439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_Toc39039440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_Toc39039441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_Toc39039443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_Toc39039444 \h </w:instrText>
      </w:r>
      <w:r>
        <w:fldChar w:fldCharType="separate"/>
      </w:r>
      <w:r>
        <w:t>44</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_Toc39039445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_Toc39039446 \h </w:instrText>
      </w:r>
      <w:r>
        <w:fldChar w:fldCharType="separate"/>
      </w:r>
      <w:r>
        <w:t>45</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_Toc39039447 \h </w:instrText>
      </w:r>
      <w:r>
        <w:fldChar w:fldCharType="separate"/>
      </w:r>
      <w:r>
        <w:t>45</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_Toc39039448 \h </w:instrText>
      </w:r>
      <w:r>
        <w:fldChar w:fldCharType="separate"/>
      </w:r>
      <w:r>
        <w:t>46</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_Toc39039449 \h </w:instrText>
      </w:r>
      <w:r>
        <w:fldChar w:fldCharType="separate"/>
      </w:r>
      <w:r>
        <w:t>47</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_Toc39039450 \h </w:instrText>
      </w:r>
      <w:r>
        <w:fldChar w:fldCharType="separate"/>
      </w:r>
      <w:r>
        <w:t>48</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_Toc39039451 \h </w:instrText>
      </w:r>
      <w:r>
        <w:fldChar w:fldCharType="separate"/>
      </w:r>
      <w:r>
        <w:t>49</w:t>
      </w:r>
      <w:r>
        <w:fldChar w:fldCharType="end"/>
      </w:r>
    </w:p>
    <w:p>
      <w:pPr>
        <w:pStyle w:val="TOC8"/>
        <w:rPr>
          <w:rFonts w:asciiTheme="minorHAnsi" w:eastAsiaTheme="minorEastAsia" w:hAnsiTheme="minorHAnsi" w:cstheme="minorBidi"/>
          <w:szCs w:val="22"/>
        </w:rPr>
      </w:pPr>
      <w:r>
        <w:t>47.</w:t>
      </w:r>
      <w:r>
        <w:tab/>
        <w:t>Right of tenant to affix and remove fixtures etc.</w:t>
      </w:r>
      <w:r>
        <w:tab/>
      </w:r>
      <w:r>
        <w:fldChar w:fldCharType="begin"/>
      </w:r>
      <w:r>
        <w:instrText xml:space="preserve"> PAGEREF _Toc39039452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_Toc39039453 \h </w:instrText>
      </w:r>
      <w:r>
        <w:fldChar w:fldCharType="separate"/>
      </w:r>
      <w:r>
        <w:t>56</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_Toc39039454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_Toc39039455 \h </w:instrText>
      </w:r>
      <w:r>
        <w:fldChar w:fldCharType="separate"/>
      </w:r>
      <w:r>
        <w:t>59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_Toc39039456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_Toc39039458 \h </w:instrText>
      </w:r>
      <w:r>
        <w:fldChar w:fldCharType="separate"/>
      </w:r>
      <w:r>
        <w:t>60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_Toc39039459 \h </w:instrText>
      </w:r>
      <w:r>
        <w:fldChar w:fldCharType="separate"/>
      </w:r>
      <w:r>
        <w:t>61</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_Toc39039460 \h </w:instrText>
      </w:r>
      <w:r>
        <w:fldChar w:fldCharType="separate"/>
      </w:r>
      <w:r>
        <w:t>61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_Toc39039461 \h </w:instrText>
      </w:r>
      <w:r>
        <w:fldChar w:fldCharType="separate"/>
      </w:r>
      <w:r>
        <w:t>62</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_Toc39039462 \h </w:instrText>
      </w:r>
      <w:r>
        <w:fldChar w:fldCharType="separate"/>
      </w:r>
      <w:r>
        <w:t>62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_Toc39039463 \h </w:instrText>
      </w:r>
      <w:r>
        <w:fldChar w:fldCharType="separate"/>
      </w:r>
      <w:r>
        <w:t>63</w:t>
      </w:r>
      <w:r>
        <w:fldChar w:fldCharType="end"/>
      </w:r>
    </w:p>
    <w:p>
      <w:pPr>
        <w:pStyle w:val="TOC8"/>
        <w:rPr>
          <w:rFonts w:asciiTheme="minorHAnsi" w:eastAsiaTheme="minorEastAsia" w:hAnsiTheme="minorHAnsi" w:cstheme="minorBidi"/>
          <w:szCs w:val="22"/>
        </w:rPr>
      </w:pPr>
      <w:r>
        <w:t>56A.</w:t>
      </w:r>
      <w:r>
        <w:tab/>
        <w:t>Discrimination against tenants subjected or exposed to family violence</w:t>
      </w:r>
      <w:r>
        <w:tab/>
      </w:r>
      <w:r>
        <w:fldChar w:fldCharType="begin"/>
      </w:r>
      <w:r>
        <w:instrText xml:space="preserve"> PAGEREF _Toc39039464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_Toc39039465 \h </w:instrText>
      </w:r>
      <w:r>
        <w:fldChar w:fldCharType="separate"/>
      </w:r>
      <w:r>
        <w:t>64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_Toc39039466 \h </w:instrText>
      </w:r>
      <w:r>
        <w:fldChar w:fldCharType="separate"/>
      </w:r>
      <w:r>
        <w:t>64</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_Toc39039467 \h </w:instrText>
      </w:r>
      <w:r>
        <w:fldChar w:fldCharType="separate"/>
      </w:r>
      <w:r>
        <w:t>65</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_Toc39039468 \h </w:instrText>
      </w:r>
      <w:r>
        <w:fldChar w:fldCharType="separate"/>
      </w:r>
      <w:r>
        <w:t>65</w:t>
      </w:r>
      <w:r>
        <w:fldChar w:fldCharType="end"/>
      </w:r>
    </w:p>
    <w:p>
      <w:pPr>
        <w:pStyle w:val="TOC8"/>
        <w:rPr>
          <w:rFonts w:asciiTheme="minorHAnsi" w:eastAsiaTheme="minorEastAsia" w:hAnsiTheme="minorHAnsi" w:cstheme="minorBidi"/>
          <w:szCs w:val="22"/>
        </w:rPr>
      </w:pPr>
      <w:r>
        <w:t>59C.</w:t>
      </w:r>
      <w:r>
        <w:tab/>
        <w:t>Recognition of certain persons as tenants</w:t>
      </w:r>
      <w:r>
        <w:tab/>
      </w:r>
      <w:r>
        <w:fldChar w:fldCharType="begin"/>
      </w:r>
      <w:r>
        <w:instrText xml:space="preserve"> PAGEREF _Toc39039469 \h </w:instrText>
      </w:r>
      <w:r>
        <w:fldChar w:fldCharType="separate"/>
      </w:r>
      <w:r>
        <w:t>66</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_Toc39039470 \h </w:instrText>
      </w:r>
      <w:r>
        <w:fldChar w:fldCharType="separate"/>
      </w:r>
      <w:r>
        <w:t>66</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_Toc39039471 \h </w:instrText>
      </w:r>
      <w:r>
        <w:fldChar w:fldCharType="separate"/>
      </w:r>
      <w:r>
        <w:t>67</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_Toc39039472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77"/>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and tenant’s interests in agreements are terminated</w:t>
      </w:r>
      <w:r>
        <w:tab/>
      </w:r>
      <w:r>
        <w:fldChar w:fldCharType="begin"/>
      </w:r>
      <w:r>
        <w:instrText xml:space="preserve"> PAGEREF _Toc39039475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_Toc39039477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_Toc39039478 \h </w:instrText>
      </w:r>
      <w:r>
        <w:fldChar w:fldCharType="separate"/>
      </w:r>
      <w:r>
        <w:t>71</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_Toc39039479 \h </w:instrText>
      </w:r>
      <w:r>
        <w:fldChar w:fldCharType="separate"/>
      </w:r>
      <w:r>
        <w:t>73</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_Toc39039480 \h </w:instrText>
      </w:r>
      <w:r>
        <w:fldChar w:fldCharType="separate"/>
      </w:r>
      <w:r>
        <w:t>74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_Toc39039481 \h </w:instrText>
      </w:r>
      <w:r>
        <w:fldChar w:fldCharType="separate"/>
      </w:r>
      <w:r>
        <w:t>75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_Toc39039482 \h </w:instrText>
      </w:r>
      <w:r>
        <w:fldChar w:fldCharType="separate"/>
      </w:r>
      <w:r>
        <w:t>75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_Toc39039483 \h </w:instrText>
      </w:r>
      <w:r>
        <w:fldChar w:fldCharType="separate"/>
      </w:r>
      <w:r>
        <w:t>76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_Toc39039484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_Toc39039485 \h </w:instrText>
      </w:r>
      <w:r>
        <w:fldChar w:fldCharType="separate"/>
      </w:r>
      <w:r>
        <w:t>76</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_Toc39039486 \h </w:instrText>
      </w:r>
      <w:r>
        <w:fldChar w:fldCharType="separate"/>
      </w:r>
      <w:r>
        <w:t>77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_Toc39039487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2A — Special provisions about terminating tenant’s interest on grounds of family violence</w:t>
      </w:r>
    </w:p>
    <w:p>
      <w:pPr>
        <w:pStyle w:val="TOC8"/>
        <w:rPr>
          <w:rFonts w:asciiTheme="minorHAnsi" w:eastAsiaTheme="minorEastAsia" w:hAnsiTheme="minorHAnsi" w:cstheme="minorBidi"/>
          <w:szCs w:val="22"/>
        </w:rPr>
      </w:pPr>
      <w:r>
        <w:t>71AA.</w:t>
      </w:r>
      <w:r>
        <w:tab/>
        <w:t>Terms used</w:t>
      </w:r>
      <w:r>
        <w:tab/>
      </w:r>
      <w:r>
        <w:fldChar w:fldCharType="begin"/>
      </w:r>
      <w:r>
        <w:instrText xml:space="preserve"> PAGEREF _Toc39039489 \h </w:instrText>
      </w:r>
      <w:r>
        <w:fldChar w:fldCharType="separate"/>
      </w:r>
      <w:r>
        <w:t>79</w:t>
      </w:r>
      <w:r>
        <w:fldChar w:fldCharType="end"/>
      </w:r>
    </w:p>
    <w:p>
      <w:pPr>
        <w:pStyle w:val="TOC8"/>
        <w:rPr>
          <w:rFonts w:asciiTheme="minorHAnsi" w:eastAsiaTheme="minorEastAsia" w:hAnsiTheme="minorHAnsi" w:cstheme="minorBidi"/>
          <w:szCs w:val="22"/>
        </w:rPr>
      </w:pPr>
      <w:r>
        <w:t>71AB.</w:t>
      </w:r>
      <w:r>
        <w:tab/>
        <w:t>Notice of termination of tenant’s interest on ground that tenant subject to family violence</w:t>
      </w:r>
      <w:r>
        <w:tab/>
      </w:r>
      <w:r>
        <w:fldChar w:fldCharType="begin"/>
      </w:r>
      <w:r>
        <w:instrText xml:space="preserve"> PAGEREF _Toc39039490 \h </w:instrText>
      </w:r>
      <w:r>
        <w:fldChar w:fldCharType="separate"/>
      </w:r>
      <w:r>
        <w:t>79</w:t>
      </w:r>
      <w:r>
        <w:fldChar w:fldCharType="end"/>
      </w:r>
    </w:p>
    <w:p>
      <w:pPr>
        <w:pStyle w:val="TOC8"/>
        <w:rPr>
          <w:rFonts w:asciiTheme="minorHAnsi" w:eastAsiaTheme="minorEastAsia" w:hAnsiTheme="minorHAnsi" w:cstheme="minorBidi"/>
          <w:szCs w:val="22"/>
        </w:rPr>
      </w:pPr>
      <w:r>
        <w:t>71AC.</w:t>
      </w:r>
      <w:r>
        <w:tab/>
        <w:t>Review of notice of termination under s. 71AB</w:t>
      </w:r>
      <w:r>
        <w:tab/>
      </w:r>
      <w:r>
        <w:fldChar w:fldCharType="begin"/>
      </w:r>
      <w:r>
        <w:instrText xml:space="preserve"> PAGEREF _Toc39039491 \h </w:instrText>
      </w:r>
      <w:r>
        <w:fldChar w:fldCharType="separate"/>
      </w:r>
      <w:r>
        <w:t>81</w:t>
      </w:r>
      <w:r>
        <w:fldChar w:fldCharType="end"/>
      </w:r>
    </w:p>
    <w:p>
      <w:pPr>
        <w:pStyle w:val="TOC8"/>
        <w:rPr>
          <w:rFonts w:asciiTheme="minorHAnsi" w:eastAsiaTheme="minorEastAsia" w:hAnsiTheme="minorHAnsi" w:cstheme="minorBidi"/>
          <w:szCs w:val="22"/>
        </w:rPr>
      </w:pPr>
      <w:r>
        <w:t>71AD.</w:t>
      </w:r>
      <w:r>
        <w:tab/>
        <w:t>Rights of co</w:t>
      </w:r>
      <w:r>
        <w:noBreakHyphen/>
        <w:t>tenants after notice under s. 71AB</w:t>
      </w:r>
      <w:r>
        <w:tab/>
      </w:r>
      <w:r>
        <w:fldChar w:fldCharType="begin"/>
      </w:r>
      <w:r>
        <w:instrText xml:space="preserve"> PAGEREF _Toc39039492 \h </w:instrText>
      </w:r>
      <w:r>
        <w:fldChar w:fldCharType="separate"/>
      </w:r>
      <w:r>
        <w:t>81</w:t>
      </w:r>
      <w:r>
        <w:fldChar w:fldCharType="end"/>
      </w:r>
    </w:p>
    <w:p>
      <w:pPr>
        <w:pStyle w:val="TOC8"/>
        <w:rPr>
          <w:rFonts w:asciiTheme="minorHAnsi" w:eastAsiaTheme="minorEastAsia" w:hAnsiTheme="minorHAnsi" w:cstheme="minorBidi"/>
          <w:szCs w:val="22"/>
        </w:rPr>
      </w:pPr>
      <w:r>
        <w:t>71AE.</w:t>
      </w:r>
      <w:r>
        <w:tab/>
        <w:t>Termination of tenant’s interest by court on grounds of family violence</w:t>
      </w:r>
      <w:r>
        <w:tab/>
      </w:r>
      <w:r>
        <w:fldChar w:fldCharType="begin"/>
      </w:r>
      <w:r>
        <w:instrText xml:space="preserve"> PAGEREF _Toc39039493 \h </w:instrText>
      </w:r>
      <w:r>
        <w:fldChar w:fldCharType="separate"/>
      </w:r>
      <w:r>
        <w:t>82</w:t>
      </w:r>
      <w:r>
        <w:fldChar w:fldCharType="end"/>
      </w:r>
    </w:p>
    <w:p>
      <w:pPr>
        <w:pStyle w:val="TOC8"/>
        <w:rPr>
          <w:rFonts w:asciiTheme="minorHAnsi" w:eastAsiaTheme="minorEastAsia" w:hAnsiTheme="minorHAnsi" w:cstheme="minorBidi"/>
          <w:szCs w:val="22"/>
        </w:rPr>
      </w:pPr>
      <w:r>
        <w:t>71AF.</w:t>
      </w:r>
      <w:r>
        <w:tab/>
        <w:t>Review of Division</w:t>
      </w:r>
      <w:r>
        <w:tab/>
      </w:r>
      <w:r>
        <w:fldChar w:fldCharType="begin"/>
      </w:r>
      <w:r>
        <w:instrText xml:space="preserve"> PAGEREF _Toc39039494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Special provisions about terminating social housing tenancy agreements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_Toc39039497 \h </w:instrText>
      </w:r>
      <w:r>
        <w:fldChar w:fldCharType="separate"/>
      </w:r>
      <w:r>
        <w:t>84</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_Toc39039498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_Toc39039500 \h </w:instrText>
      </w:r>
      <w:r>
        <w:fldChar w:fldCharType="separate"/>
      </w:r>
      <w:r>
        <w:t>85</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_Toc39039501 \h </w:instrText>
      </w:r>
      <w:r>
        <w:fldChar w:fldCharType="separate"/>
      </w:r>
      <w:r>
        <w:t>86</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_Toc39039502 \h </w:instrText>
      </w:r>
      <w:r>
        <w:fldChar w:fldCharType="separate"/>
      </w:r>
      <w:r>
        <w:t>86</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_Toc39039503 \h </w:instrText>
      </w:r>
      <w:r>
        <w:fldChar w:fldCharType="separate"/>
      </w:r>
      <w:r>
        <w:t>87</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_Toc39039504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_Toc39039506 \h </w:instrText>
      </w:r>
      <w:r>
        <w:fldChar w:fldCharType="separate"/>
      </w:r>
      <w:r>
        <w:t>89</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_Toc39039507 \h </w:instrText>
      </w:r>
      <w:r>
        <w:fldChar w:fldCharType="separate"/>
      </w:r>
      <w:r>
        <w:t>89</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_Toc39039508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_Toc39039510 \h </w:instrText>
      </w:r>
      <w:r>
        <w:fldChar w:fldCharType="separate"/>
      </w:r>
      <w:r>
        <w:t>92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_Toc39039511 \h </w:instrText>
      </w:r>
      <w:r>
        <w:fldChar w:fldCharType="separate"/>
      </w:r>
      <w:r>
        <w:t>95</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_Toc39039512 \h </w:instrText>
      </w:r>
      <w:r>
        <w:fldChar w:fldCharType="separate"/>
      </w:r>
      <w:r>
        <w:t>97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_Toc39039513 \h </w:instrText>
      </w:r>
      <w:r>
        <w:fldChar w:fldCharType="separate"/>
      </w:r>
      <w:r>
        <w:t>97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_Toc39039514 \h </w:instrText>
      </w:r>
      <w:r>
        <w:fldChar w:fldCharType="separate"/>
      </w:r>
      <w:r>
        <w:t>98</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_Toc39039515 \h </w:instrText>
      </w:r>
      <w:r>
        <w:fldChar w:fldCharType="separate"/>
      </w:r>
      <w:r>
        <w:t>98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Termination of agreement for breach by lessor</w:t>
      </w:r>
      <w:r>
        <w:tab/>
      </w:r>
      <w:r>
        <w:fldChar w:fldCharType="begin"/>
      </w:r>
      <w:r>
        <w:instrText xml:space="preserve"> PAGEREF _Toc39039516 \h </w:instrText>
      </w:r>
      <w:r>
        <w:fldChar w:fldCharType="separate"/>
      </w:r>
      <w:r>
        <w:t>99</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_Toc39039517 \h </w:instrText>
      </w:r>
      <w:r>
        <w:fldChar w:fldCharType="separate"/>
      </w:r>
      <w:r>
        <w:t>100</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_Toc39039518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_Toc39039520 \h </w:instrText>
      </w:r>
      <w:r>
        <w:fldChar w:fldCharType="separate"/>
      </w:r>
      <w:r>
        <w:t>101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_Toc39039521 \h </w:instrText>
      </w:r>
      <w:r>
        <w:fldChar w:fldCharType="separate"/>
      </w:r>
      <w:r>
        <w:t>101</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_Toc39039522 \h </w:instrText>
      </w:r>
      <w:r>
        <w:fldChar w:fldCharType="separate"/>
      </w:r>
      <w:r>
        <w:t>102</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_Toc39039523 \h </w:instrText>
      </w:r>
      <w:r>
        <w:fldChar w:fldCharType="separate"/>
      </w:r>
      <w:r>
        <w:t>103</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_Toc39039524 \h </w:instrText>
      </w:r>
      <w:r>
        <w:fldChar w:fldCharType="separate"/>
      </w:r>
      <w:r>
        <w:t>103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_Toc39039525 \h </w:instrText>
      </w:r>
      <w:r>
        <w:fldChar w:fldCharType="separate"/>
      </w:r>
      <w:r>
        <w:t>104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_Toc39039526 \h </w:instrText>
      </w:r>
      <w:r>
        <w:fldChar w:fldCharType="separate"/>
      </w:r>
      <w:r>
        <w:t>104</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_Toc39039527 \h </w:instrText>
      </w:r>
      <w:r>
        <w:fldChar w:fldCharType="separate"/>
      </w:r>
      <w:r>
        <w:t>108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_Toc39039528 \h </w:instrText>
      </w:r>
      <w:r>
        <w:fldChar w:fldCharType="separate"/>
      </w:r>
      <w:r>
        <w:t>110</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_Toc39039529 \h </w:instrText>
      </w:r>
      <w:r>
        <w:fldChar w:fldCharType="separate"/>
      </w:r>
      <w:r>
        <w:t>110</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_Toc39039530 \h </w:instrText>
      </w:r>
      <w:r>
        <w:fldChar w:fldCharType="separate"/>
      </w:r>
      <w:r>
        <w:t>112</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_Toc39039531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VIA — Residential tenancy databases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82A.</w:t>
      </w:r>
      <w:r>
        <w:tab/>
        <w:t>Terms used</w:t>
      </w:r>
      <w:r>
        <w:tab/>
      </w:r>
      <w:r>
        <w:fldChar w:fldCharType="begin"/>
      </w:r>
      <w:r>
        <w:instrText xml:space="preserve"> PAGEREF _Toc39039534 \h </w:instrText>
      </w:r>
      <w:r>
        <w:fldChar w:fldCharType="separate"/>
      </w:r>
      <w:r>
        <w:t>114</w:t>
      </w:r>
      <w:r>
        <w:fldChar w:fldCharType="end"/>
      </w:r>
    </w:p>
    <w:p>
      <w:pPr>
        <w:pStyle w:val="TOC8"/>
        <w:rPr>
          <w:rFonts w:asciiTheme="minorHAnsi" w:eastAsiaTheme="minorEastAsia" w:hAnsiTheme="minorHAnsi" w:cstheme="minorBidi"/>
          <w:szCs w:val="22"/>
        </w:rPr>
      </w:pPr>
      <w:r>
        <w:t>82B.</w:t>
      </w:r>
      <w:r>
        <w:tab/>
        <w:t>Application of Part</w:t>
      </w:r>
      <w:r>
        <w:tab/>
      </w:r>
      <w:r>
        <w:fldChar w:fldCharType="begin"/>
      </w:r>
      <w:r>
        <w:instrText xml:space="preserve"> PAGEREF _Toc39039535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t>82C.</w:t>
      </w:r>
      <w:r>
        <w:tab/>
        <w:t>Notice of usual use of database</w:t>
      </w:r>
      <w:r>
        <w:tab/>
      </w:r>
      <w:r>
        <w:fldChar w:fldCharType="begin"/>
      </w:r>
      <w:r>
        <w:instrText xml:space="preserve"> PAGEREF _Toc39039537 \h </w:instrText>
      </w:r>
      <w:r>
        <w:fldChar w:fldCharType="separate"/>
      </w:r>
      <w:r>
        <w:t>116</w:t>
      </w:r>
      <w:r>
        <w:fldChar w:fldCharType="end"/>
      </w:r>
    </w:p>
    <w:p>
      <w:pPr>
        <w:pStyle w:val="TOC8"/>
        <w:rPr>
          <w:rFonts w:asciiTheme="minorHAnsi" w:eastAsiaTheme="minorEastAsia" w:hAnsiTheme="minorHAnsi" w:cstheme="minorBidi"/>
          <w:szCs w:val="22"/>
        </w:rPr>
      </w:pPr>
      <w:r>
        <w:t>82D.</w:t>
      </w:r>
      <w:r>
        <w:tab/>
        <w:t>Notice of listing if database used</w:t>
      </w:r>
      <w:r>
        <w:tab/>
      </w:r>
      <w:r>
        <w:fldChar w:fldCharType="begin"/>
      </w:r>
      <w:r>
        <w:instrText xml:space="preserve"> PAGEREF _Toc39039538 \h </w:instrText>
      </w:r>
      <w:r>
        <w:fldChar w:fldCharType="separate"/>
      </w:r>
      <w:r>
        <w:t>118</w:t>
      </w:r>
      <w:r>
        <w:fldChar w:fldCharType="end"/>
      </w:r>
    </w:p>
    <w:p>
      <w:pPr>
        <w:pStyle w:val="TOC8"/>
        <w:rPr>
          <w:rFonts w:asciiTheme="minorHAnsi" w:eastAsiaTheme="minorEastAsia" w:hAnsiTheme="minorHAnsi" w:cstheme="minorBidi"/>
          <w:szCs w:val="22"/>
        </w:rPr>
      </w:pPr>
      <w:r>
        <w:t>82E.</w:t>
      </w:r>
      <w:r>
        <w:tab/>
        <w:t>Listing can be made only for particular breaches by particular persons</w:t>
      </w:r>
      <w:r>
        <w:tab/>
      </w:r>
      <w:r>
        <w:fldChar w:fldCharType="begin"/>
      </w:r>
      <w:r>
        <w:instrText xml:space="preserve"> PAGEREF _Toc39039539 \h </w:instrText>
      </w:r>
      <w:r>
        <w:fldChar w:fldCharType="separate"/>
      </w:r>
      <w:r>
        <w:t>119</w:t>
      </w:r>
      <w:r>
        <w:fldChar w:fldCharType="end"/>
      </w:r>
    </w:p>
    <w:p>
      <w:pPr>
        <w:pStyle w:val="TOC8"/>
        <w:rPr>
          <w:rFonts w:asciiTheme="minorHAnsi" w:eastAsiaTheme="minorEastAsia" w:hAnsiTheme="minorHAnsi" w:cstheme="minorBidi"/>
          <w:szCs w:val="22"/>
        </w:rPr>
      </w:pPr>
      <w:r>
        <w:t>82F.</w:t>
      </w:r>
      <w:r>
        <w:tab/>
        <w:t>Further restriction on listing</w:t>
      </w:r>
      <w:r>
        <w:tab/>
      </w:r>
      <w:r>
        <w:fldChar w:fldCharType="begin"/>
      </w:r>
      <w:r>
        <w:instrText xml:space="preserve"> PAGEREF _Toc39039540 \h </w:instrText>
      </w:r>
      <w:r>
        <w:fldChar w:fldCharType="separate"/>
      </w:r>
      <w:r>
        <w:t>120</w:t>
      </w:r>
      <w:r>
        <w:fldChar w:fldCharType="end"/>
      </w:r>
    </w:p>
    <w:p>
      <w:pPr>
        <w:pStyle w:val="TOC8"/>
        <w:rPr>
          <w:rFonts w:asciiTheme="minorHAnsi" w:eastAsiaTheme="minorEastAsia" w:hAnsiTheme="minorHAnsi" w:cstheme="minorBidi"/>
          <w:szCs w:val="22"/>
        </w:rPr>
      </w:pPr>
      <w:r>
        <w:t>82G.</w:t>
      </w:r>
      <w:r>
        <w:tab/>
        <w:t>Ensuring quality of listing — lessor’s or agent’s obligation</w:t>
      </w:r>
      <w:r>
        <w:tab/>
      </w:r>
      <w:r>
        <w:fldChar w:fldCharType="begin"/>
      </w:r>
      <w:r>
        <w:instrText xml:space="preserve"> PAGEREF _Toc39039541 \h </w:instrText>
      </w:r>
      <w:r>
        <w:fldChar w:fldCharType="separate"/>
      </w:r>
      <w:r>
        <w:t>121</w:t>
      </w:r>
      <w:r>
        <w:fldChar w:fldCharType="end"/>
      </w:r>
    </w:p>
    <w:p>
      <w:pPr>
        <w:pStyle w:val="TOC8"/>
        <w:rPr>
          <w:rFonts w:asciiTheme="minorHAnsi" w:eastAsiaTheme="minorEastAsia" w:hAnsiTheme="minorHAnsi" w:cstheme="minorBidi"/>
          <w:szCs w:val="22"/>
        </w:rPr>
      </w:pPr>
      <w:r>
        <w:t>82H.</w:t>
      </w:r>
      <w:r>
        <w:tab/>
        <w:t>Ensuring quality of listing — database operator’s obligation</w:t>
      </w:r>
      <w:r>
        <w:tab/>
      </w:r>
      <w:r>
        <w:fldChar w:fldCharType="begin"/>
      </w:r>
      <w:r>
        <w:instrText xml:space="preserve"> PAGEREF _Toc39039542 \h </w:instrText>
      </w:r>
      <w:r>
        <w:fldChar w:fldCharType="separate"/>
      </w:r>
      <w:r>
        <w:t>121</w:t>
      </w:r>
      <w:r>
        <w:fldChar w:fldCharType="end"/>
      </w:r>
    </w:p>
    <w:p>
      <w:pPr>
        <w:pStyle w:val="TOC8"/>
        <w:rPr>
          <w:rFonts w:asciiTheme="minorHAnsi" w:eastAsiaTheme="minorEastAsia" w:hAnsiTheme="minorHAnsi" w:cstheme="minorBidi"/>
          <w:szCs w:val="22"/>
        </w:rPr>
      </w:pPr>
      <w:r>
        <w:t>82I.</w:t>
      </w:r>
      <w:r>
        <w:tab/>
        <w:t>Providing copy of personal information listed</w:t>
      </w:r>
      <w:r>
        <w:tab/>
      </w:r>
      <w:r>
        <w:fldChar w:fldCharType="begin"/>
      </w:r>
      <w:r>
        <w:instrText xml:space="preserve"> PAGEREF _Toc39039543 \h </w:instrText>
      </w:r>
      <w:r>
        <w:fldChar w:fldCharType="separate"/>
      </w:r>
      <w:r>
        <w:t>122</w:t>
      </w:r>
      <w:r>
        <w:fldChar w:fldCharType="end"/>
      </w:r>
    </w:p>
    <w:p>
      <w:pPr>
        <w:pStyle w:val="TOC8"/>
        <w:keepNext/>
        <w:rPr>
          <w:rFonts w:asciiTheme="minorHAnsi" w:eastAsiaTheme="minorEastAsia" w:hAnsiTheme="minorHAnsi" w:cstheme="minorBidi"/>
          <w:szCs w:val="22"/>
        </w:rPr>
      </w:pPr>
      <w:r>
        <w:t>82J.</w:t>
      </w:r>
      <w:r>
        <w:tab/>
        <w:t>Disputes about listings</w:t>
      </w:r>
      <w:r>
        <w:tab/>
      </w:r>
      <w:r>
        <w:fldChar w:fldCharType="begin"/>
      </w:r>
      <w:r>
        <w:instrText xml:space="preserve"> PAGEREF _Toc39039544 \h </w:instrText>
      </w:r>
      <w:r>
        <w:fldChar w:fldCharType="separate"/>
      </w:r>
      <w:r>
        <w:t>123</w:t>
      </w:r>
      <w:r>
        <w:fldChar w:fldCharType="end"/>
      </w:r>
    </w:p>
    <w:p>
      <w:pPr>
        <w:pStyle w:val="TOC8"/>
        <w:rPr>
          <w:rFonts w:asciiTheme="minorHAnsi" w:eastAsiaTheme="minorEastAsia" w:hAnsiTheme="minorHAnsi" w:cstheme="minorBidi"/>
          <w:szCs w:val="22"/>
        </w:rPr>
      </w:pPr>
      <w:r>
        <w:t>82K.</w:t>
      </w:r>
      <w:r>
        <w:tab/>
        <w:t>Keeping personal information listed</w:t>
      </w:r>
      <w:r>
        <w:tab/>
      </w:r>
      <w:r>
        <w:fldChar w:fldCharType="begin"/>
      </w:r>
      <w:r>
        <w:instrText xml:space="preserve"> PAGEREF _Toc39039545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_Toc39039547 \h </w:instrText>
      </w:r>
      <w:r>
        <w:fldChar w:fldCharType="separate"/>
      </w:r>
      <w:r>
        <w:t>126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_Toc39039548 \h </w:instrText>
      </w:r>
      <w:r>
        <w:fldChar w:fldCharType="separate"/>
      </w:r>
      <w:r>
        <w:t>126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_Toc39039549 \h </w:instrText>
      </w:r>
      <w:r>
        <w:fldChar w:fldCharType="separate"/>
      </w:r>
      <w:r>
        <w:t>126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_Toc39039550 \h </w:instrText>
      </w:r>
      <w:r>
        <w:fldChar w:fldCharType="separate"/>
      </w:r>
      <w:r>
        <w:t>127</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_Toc39039551 \h </w:instrText>
      </w:r>
      <w:r>
        <w:fldChar w:fldCharType="separate"/>
      </w:r>
      <w:r>
        <w:t>128</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_Toc39039552 \h </w:instrText>
      </w:r>
      <w:r>
        <w:fldChar w:fldCharType="separate"/>
      </w:r>
      <w:r>
        <w:t>129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_Toc39039553 \h </w:instrText>
      </w:r>
      <w:r>
        <w:fldChar w:fldCharType="separate"/>
      </w:r>
      <w:r>
        <w:t>129</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_Toc39039554 \h </w:instrText>
      </w:r>
      <w:r>
        <w:fldChar w:fldCharType="separate"/>
      </w:r>
      <w:r>
        <w:t>129</w:t>
      </w:r>
      <w:r>
        <w:fldChar w:fldCharType="end"/>
      </w:r>
    </w:p>
    <w:p>
      <w:pPr>
        <w:pStyle w:val="TOC8"/>
        <w:rPr>
          <w:rFonts w:asciiTheme="minorHAnsi" w:eastAsiaTheme="minorEastAsia" w:hAnsiTheme="minorHAnsi" w:cstheme="minorBidi"/>
          <w:szCs w:val="22"/>
        </w:rPr>
      </w:pPr>
      <w:r>
        <w:t>88B.</w:t>
      </w:r>
      <w:r>
        <w:tab/>
        <w:t>Cross</w:t>
      </w:r>
      <w:r>
        <w:noBreakHyphen/>
        <w:t>examination of persons in proceedings involving family violence</w:t>
      </w:r>
      <w:r>
        <w:tab/>
      </w:r>
      <w:r>
        <w:fldChar w:fldCharType="begin"/>
      </w:r>
      <w:r>
        <w:instrText xml:space="preserve"> PAGEREF _Toc39039555 \h </w:instrText>
      </w:r>
      <w:r>
        <w:fldChar w:fldCharType="separate"/>
      </w:r>
      <w:r>
        <w:t>132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_Toc39039556 \h </w:instrText>
      </w:r>
      <w:r>
        <w:fldChar w:fldCharType="separate"/>
      </w:r>
      <w:r>
        <w:t>132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_Toc39039557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77"/>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_Toc39039560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_Toc39039562 \h </w:instrText>
      </w:r>
      <w:r>
        <w:fldChar w:fldCharType="separate"/>
      </w:r>
      <w:r>
        <w:t>134</w:t>
      </w:r>
      <w:r>
        <w:fldChar w:fldCharType="end"/>
      </w:r>
    </w:p>
    <w:p>
      <w:pPr>
        <w:pStyle w:val="TOC8"/>
        <w:rPr>
          <w:rFonts w:asciiTheme="minorHAnsi" w:eastAsiaTheme="minorEastAsia" w:hAnsiTheme="minorHAnsi" w:cstheme="minorBidi"/>
          <w:szCs w:val="22"/>
        </w:rPr>
      </w:pPr>
      <w:r>
        <w:t>93.</w:t>
      </w:r>
      <w:r>
        <w:tab/>
        <w:t>All security bonds to be transferred to bond administrator after renewal of agreement or within 18 months</w:t>
      </w:r>
      <w:r>
        <w:tab/>
      </w:r>
      <w:r>
        <w:fldChar w:fldCharType="begin"/>
      </w:r>
      <w:r>
        <w:instrText xml:space="preserve"> PAGEREF _Toc39039563 \h </w:instrText>
      </w:r>
      <w:r>
        <w:fldChar w:fldCharType="separate"/>
      </w:r>
      <w:r>
        <w:t>135</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_Toc39039564 \h </w:instrText>
      </w:r>
      <w:r>
        <w:fldChar w:fldCharType="separate"/>
      </w:r>
      <w:r>
        <w:t>136</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_Toc39039565 \h </w:instrText>
      </w:r>
      <w:r>
        <w:fldChar w:fldCharType="separate"/>
      </w:r>
      <w:r>
        <w:t>137</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_Toc39039566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_Toc39039568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 relating to the </w:t>
      </w:r>
      <w:r>
        <w:rPr>
          <w:i/>
        </w:rPr>
        <w:t>Consumer Protection Legislation Amendment Act 2019</w:t>
      </w:r>
    </w:p>
    <w:p>
      <w:pPr>
        <w:pStyle w:val="TOC8"/>
        <w:rPr>
          <w:rFonts w:asciiTheme="minorHAnsi" w:eastAsiaTheme="minorEastAsia" w:hAnsiTheme="minorHAnsi" w:cstheme="minorBidi"/>
          <w:szCs w:val="22"/>
        </w:rPr>
      </w:pPr>
      <w:r>
        <w:t>98.</w:t>
      </w:r>
      <w:r>
        <w:tab/>
        <w:t>Application of s. 49A to residential tenancy agreements and utility charges</w:t>
      </w:r>
      <w:r>
        <w:tab/>
      </w:r>
      <w:r>
        <w:fldChar w:fldCharType="begin"/>
      </w:r>
      <w:r>
        <w:instrText xml:space="preserve"> PAGEREF _Toc39039570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r>
      <w:r>
        <w:t>Term</w:t>
      </w:r>
      <w:r>
        <w:rPr>
          <w:snapToGrid w:val="0"/>
        </w:rPr>
        <w:t xml:space="preserve"> used: authorised agent</w:t>
      </w:r>
      <w:r>
        <w:tab/>
      </w:r>
      <w:r>
        <w:fldChar w:fldCharType="begin"/>
      </w:r>
      <w:r>
        <w:instrText xml:space="preserve"> PAGEREF _Toc39039573 \h </w:instrText>
      </w:r>
      <w:r>
        <w:fldChar w:fldCharType="separate"/>
      </w:r>
      <w:r>
        <w:t>142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_Toc39039574 \h </w:instrText>
      </w:r>
      <w:r>
        <w:fldChar w:fldCharType="separate"/>
      </w:r>
      <w:r>
        <w:t>142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_Toc39039575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_Toc39039577 \h </w:instrText>
      </w:r>
      <w:r>
        <w:fldChar w:fldCharType="separate"/>
      </w:r>
      <w:r>
        <w:t>145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Disposal of </w:t>
      </w:r>
      <w:r>
        <w:t>security</w:t>
      </w:r>
      <w:r>
        <w:rPr>
          <w:snapToGrid w:val="0"/>
        </w:rPr>
        <w:t xml:space="preserve"> bond by bond administrator</w:t>
      </w:r>
      <w:r>
        <w:tab/>
      </w:r>
      <w:r>
        <w:fldChar w:fldCharType="begin"/>
      </w:r>
      <w:r>
        <w:instrText xml:space="preserve"> PAGEREF _Toc39039578 \h </w:instrText>
      </w:r>
      <w:r>
        <w:fldChar w:fldCharType="separate"/>
      </w:r>
      <w:r>
        <w:t>145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Court</w:t>
      </w:r>
      <w:r>
        <w:rPr>
          <w:snapToGrid w:val="0"/>
        </w:rPr>
        <w:t xml:space="preserve"> may determine disposal of security bond</w:t>
      </w:r>
      <w:r>
        <w:tab/>
      </w:r>
      <w:r>
        <w:fldChar w:fldCharType="begin"/>
      </w:r>
      <w:r>
        <w:instrText xml:space="preserve"> PAGEREF _Toc39039579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_Toc39039581 \h </w:instrText>
      </w:r>
      <w:r>
        <w:fldChar w:fldCharType="separate"/>
      </w:r>
      <w:r>
        <w:t>148</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_Toc39039582 \h </w:instrText>
      </w:r>
      <w:r>
        <w:fldChar w:fldCharType="separate"/>
      </w:r>
      <w:r>
        <w:t>148</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_Toc39039583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_Toc39039585 \h </w:instrText>
      </w:r>
      <w:r>
        <w:fldChar w:fldCharType="separate"/>
      </w:r>
      <w:r>
        <w:t>150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_Toc39039586 \h </w:instrText>
      </w:r>
      <w:r>
        <w:fldChar w:fldCharType="separate"/>
      </w:r>
      <w:r>
        <w:t>153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_Toc39039587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3" w:name="_Toc38006726"/>
      <w:bookmarkStart w:id="4" w:name="_Toc38006929"/>
      <w:bookmarkStart w:id="5" w:name="_Toc39039183"/>
      <w:bookmarkStart w:id="6" w:name="_Toc3903938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9039387"/>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8" w:name="_Toc39039388"/>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9" w:name="_Toc39039389"/>
      <w:r>
        <w:rPr>
          <w:rStyle w:val="CharSectno"/>
        </w:rPr>
        <w:t>3</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tab/>
        <w:t>(b)</w:t>
      </w:r>
      <w:r>
        <w:tab/>
        <w:t xml:space="preserve">includes common property (as defined in the </w:t>
      </w:r>
      <w:r>
        <w:rPr>
          <w:i/>
        </w:rPr>
        <w:t>Strata Titles Act 1985</w:t>
      </w:r>
      <w:r>
        <w:t xml:space="preserve"> section 3) of a strata scheme or survey strata scheme;</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No. 25 of 2019 s. 64.] </w:t>
      </w:r>
    </w:p>
    <w:p>
      <w:pPr>
        <w:pStyle w:val="Heading5"/>
        <w:rPr>
          <w:snapToGrid w:val="0"/>
        </w:rPr>
      </w:pPr>
      <w:bookmarkStart w:id="10" w:name="_Toc39039390"/>
      <w:r>
        <w:rPr>
          <w:rStyle w:val="CharSectno"/>
        </w:rPr>
        <w:t>4</w:t>
      </w:r>
      <w:r>
        <w:rPr>
          <w:snapToGrid w:val="0"/>
        </w:rPr>
        <w:t>.</w:t>
      </w:r>
      <w:r>
        <w:rPr>
          <w:snapToGrid w:val="0"/>
        </w:rPr>
        <w:tab/>
        <w:t>Position of Crown</w:t>
      </w:r>
      <w:bookmarkEnd w:id="10"/>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1" w:name="_Toc39039391"/>
      <w:r>
        <w:rPr>
          <w:rStyle w:val="CharSectno"/>
        </w:rPr>
        <w:t>5</w:t>
      </w:r>
      <w:r>
        <w:rPr>
          <w:snapToGrid w:val="0"/>
        </w:rPr>
        <w:t>.</w:t>
      </w:r>
      <w:r>
        <w:rPr>
          <w:snapToGrid w:val="0"/>
        </w:rPr>
        <w:tab/>
        <w:t>Application of Act</w:t>
      </w:r>
      <w:bookmarkEnd w:id="11"/>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pPr>
      <w:r>
        <w:tab/>
        <w:t>(1A)</w:t>
      </w:r>
      <w:r>
        <w:tab/>
        <w:t xml:space="preserve">This Act does not apply to a residential tenancy agreement that is a strata lease, within the meaning of the </w:t>
      </w:r>
      <w:r>
        <w:rPr>
          <w:i/>
          <w:snapToGrid w:val="0"/>
        </w:rPr>
        <w:t>Strata Titles Act 1985</w:t>
      </w:r>
      <w:r>
        <w:t>.</w:t>
      </w:r>
    </w:p>
    <w:p>
      <w:pPr>
        <w:pStyle w:val="PermNoteHeading"/>
      </w:pPr>
      <w:r>
        <w:tab/>
        <w:t>Note for this subsection:</w:t>
      </w:r>
    </w:p>
    <w:p>
      <w:pPr>
        <w:pStyle w:val="PermNoteText"/>
      </w:pPr>
      <w:r>
        <w:tab/>
      </w:r>
      <w:r>
        <w:tab/>
        <w:t>This subsection does not affect the application of this Act to a residential tenancy agreement that is a sublease of a strata lease.</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 No. 30 of 2018 s. 182.]</w:t>
      </w:r>
    </w:p>
    <w:p>
      <w:pPr>
        <w:pStyle w:val="Heading5"/>
        <w:rPr>
          <w:snapToGrid w:val="0"/>
        </w:rPr>
      </w:pPr>
      <w:bookmarkStart w:id="12" w:name="_Toc39039392"/>
      <w:r>
        <w:rPr>
          <w:rStyle w:val="CharSectno"/>
        </w:rPr>
        <w:t>6</w:t>
      </w:r>
      <w:r>
        <w:rPr>
          <w:snapToGrid w:val="0"/>
        </w:rPr>
        <w:t>.</w:t>
      </w:r>
      <w:r>
        <w:rPr>
          <w:snapToGrid w:val="0"/>
        </w:rPr>
        <w:tab/>
        <w:t>Modification of application of Act by regulation</w:t>
      </w:r>
      <w:bookmarkEnd w:id="12"/>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13" w:name="_Toc39039393"/>
      <w:r>
        <w:rPr>
          <w:rStyle w:val="CharSectno"/>
        </w:rPr>
        <w:t>7</w:t>
      </w:r>
      <w:r>
        <w:rPr>
          <w:snapToGrid w:val="0"/>
        </w:rPr>
        <w:t>.</w:t>
      </w:r>
      <w:r>
        <w:rPr>
          <w:snapToGrid w:val="0"/>
        </w:rPr>
        <w:tab/>
      </w:r>
      <w:r>
        <w:rPr>
          <w:bCs/>
        </w:rPr>
        <w:t>Transitional provisions relating to commencement of this Act</w:t>
      </w:r>
      <w:bookmarkEnd w:id="1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14" w:name="_Toc38006734"/>
      <w:bookmarkStart w:id="15" w:name="_Toc38006937"/>
      <w:bookmarkStart w:id="16" w:name="_Toc39039191"/>
      <w:bookmarkStart w:id="17" w:name="_Toc39039394"/>
      <w:r>
        <w:rPr>
          <w:rStyle w:val="CharPartNo"/>
        </w:rPr>
        <w:t>Part II</w:t>
      </w:r>
      <w:r>
        <w:rPr>
          <w:rStyle w:val="CharDivNo"/>
        </w:rPr>
        <w:t> </w:t>
      </w:r>
      <w:r>
        <w:t>—</w:t>
      </w:r>
      <w:r>
        <w:rPr>
          <w:rStyle w:val="CharDivText"/>
        </w:rPr>
        <w:t> </w:t>
      </w:r>
      <w:r>
        <w:rPr>
          <w:rStyle w:val="CharPartText"/>
        </w:rPr>
        <w:t>Administration</w:t>
      </w:r>
      <w:bookmarkEnd w:id="14"/>
      <w:bookmarkEnd w:id="15"/>
      <w:bookmarkEnd w:id="16"/>
      <w:bookmarkEnd w:id="17"/>
    </w:p>
    <w:p>
      <w:pPr>
        <w:pStyle w:val="Heading5"/>
      </w:pPr>
      <w:bookmarkStart w:id="18" w:name="_Toc39039395"/>
      <w:r>
        <w:rPr>
          <w:rStyle w:val="CharSectno"/>
        </w:rPr>
        <w:t>7A</w:t>
      </w:r>
      <w:r>
        <w:t>.</w:t>
      </w:r>
      <w:r>
        <w:tab/>
        <w:t>Commissioner</w:t>
      </w:r>
      <w:bookmarkEnd w:id="1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19" w:name="_Toc39039396"/>
      <w:r>
        <w:rPr>
          <w:rStyle w:val="CharSectno"/>
        </w:rPr>
        <w:t>8</w:t>
      </w:r>
      <w:r>
        <w:rPr>
          <w:snapToGrid w:val="0"/>
        </w:rPr>
        <w:t>.</w:t>
      </w:r>
      <w:r>
        <w:rPr>
          <w:snapToGrid w:val="0"/>
        </w:rPr>
        <w:tab/>
        <w:t>Functions of Commissioner</w:t>
      </w:r>
      <w:bookmarkEnd w:id="19"/>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20" w:name="_Toc39039397"/>
      <w:r>
        <w:rPr>
          <w:rStyle w:val="CharSectno"/>
        </w:rPr>
        <w:t>9</w:t>
      </w:r>
      <w:r>
        <w:rPr>
          <w:snapToGrid w:val="0"/>
        </w:rPr>
        <w:t>.</w:t>
      </w:r>
      <w:r>
        <w:rPr>
          <w:snapToGrid w:val="0"/>
        </w:rPr>
        <w:tab/>
        <w:t>Commissioner may institute or defend proceedings for party</w:t>
      </w:r>
      <w:bookmarkEnd w:id="20"/>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21" w:name="_Toc39039398"/>
      <w:r>
        <w:rPr>
          <w:rStyle w:val="CharSectno"/>
        </w:rPr>
        <w:t>10</w:t>
      </w:r>
      <w:r>
        <w:rPr>
          <w:snapToGrid w:val="0"/>
        </w:rPr>
        <w:t>.</w:t>
      </w:r>
      <w:r>
        <w:rPr>
          <w:snapToGrid w:val="0"/>
        </w:rPr>
        <w:tab/>
        <w:t>Delegation by Commissioner</w:t>
      </w:r>
      <w:bookmarkEnd w:id="21"/>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22" w:name="_Toc39039399"/>
      <w:r>
        <w:rPr>
          <w:rStyle w:val="CharSectno"/>
        </w:rPr>
        <w:t>11</w:t>
      </w:r>
      <w:r>
        <w:rPr>
          <w:snapToGrid w:val="0"/>
        </w:rPr>
        <w:t>.</w:t>
      </w:r>
      <w:r>
        <w:rPr>
          <w:snapToGrid w:val="0"/>
        </w:rPr>
        <w:tab/>
        <w:t>Protection of officers</w:t>
      </w:r>
      <w:bookmarkEnd w:id="22"/>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23" w:name="_Toc39039400"/>
      <w:r>
        <w:rPr>
          <w:rStyle w:val="CharSectno"/>
        </w:rPr>
        <w:t>11A</w:t>
      </w:r>
      <w:r>
        <w:t>.</w:t>
      </w:r>
      <w:r>
        <w:tab/>
        <w:t>Information officially obtained to be confidential</w:t>
      </w:r>
      <w:bookmarkEnd w:id="23"/>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w:t>
      </w:r>
    </w:p>
    <w:p>
      <w:pPr>
        <w:pStyle w:val="Heading5"/>
      </w:pPr>
      <w:bookmarkStart w:id="24" w:name="_Toc39039401"/>
      <w:r>
        <w:rPr>
          <w:rStyle w:val="CharSectno"/>
        </w:rPr>
        <w:t>11B</w:t>
      </w:r>
      <w:r>
        <w:t>.</w:t>
      </w:r>
      <w:r>
        <w:tab/>
        <w:t>Powers of investigation</w:t>
      </w:r>
      <w:bookmarkEnd w:id="24"/>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25" w:name="_Toc38006742"/>
      <w:bookmarkStart w:id="26" w:name="_Toc38006945"/>
      <w:bookmarkStart w:id="27" w:name="_Toc39039199"/>
      <w:bookmarkStart w:id="28" w:name="_Toc39039402"/>
      <w:r>
        <w:rPr>
          <w:rStyle w:val="CharPartNo"/>
        </w:rPr>
        <w:t>Part III</w:t>
      </w:r>
      <w:r>
        <w:rPr>
          <w:rStyle w:val="CharDivNo"/>
        </w:rPr>
        <w:t> </w:t>
      </w:r>
      <w:r>
        <w:t>—</w:t>
      </w:r>
      <w:r>
        <w:rPr>
          <w:rStyle w:val="CharDivText"/>
        </w:rPr>
        <w:t> </w:t>
      </w:r>
      <w:r>
        <w:rPr>
          <w:rStyle w:val="CharPartText"/>
        </w:rPr>
        <w:t>Determination of disputes</w:t>
      </w:r>
      <w:bookmarkEnd w:id="25"/>
      <w:bookmarkEnd w:id="26"/>
      <w:bookmarkEnd w:id="27"/>
      <w:bookmarkEnd w:id="28"/>
      <w:r>
        <w:rPr>
          <w:rStyle w:val="CharPartText"/>
        </w:rPr>
        <w:t xml:space="preserve"> </w:t>
      </w:r>
    </w:p>
    <w:p>
      <w:pPr>
        <w:pStyle w:val="Heading5"/>
      </w:pPr>
      <w:bookmarkStart w:id="29" w:name="_Toc39039403"/>
      <w:r>
        <w:rPr>
          <w:rStyle w:val="CharSectno"/>
        </w:rPr>
        <w:t>12</w:t>
      </w:r>
      <w:r>
        <w:t>.</w:t>
      </w:r>
      <w:r>
        <w:tab/>
        <w:t>Terms used</w:t>
      </w:r>
      <w:bookmarkEnd w:id="29"/>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30" w:name="_Toc39039404"/>
      <w:r>
        <w:rPr>
          <w:rStyle w:val="CharSectno"/>
        </w:rPr>
        <w:t>12A</w:t>
      </w:r>
      <w:r>
        <w:t>.</w:t>
      </w:r>
      <w:r>
        <w:tab/>
      </w:r>
      <w:r>
        <w:rPr>
          <w:snapToGrid w:val="0"/>
        </w:rPr>
        <w:t>Jurisdiction</w:t>
      </w:r>
      <w:r>
        <w:t xml:space="preserve"> over </w:t>
      </w:r>
      <w:r>
        <w:rPr>
          <w:snapToGrid w:val="0"/>
        </w:rPr>
        <w:t>prescribed</w:t>
      </w:r>
      <w:r>
        <w:t xml:space="preserve"> disputes</w:t>
      </w:r>
      <w:bookmarkEnd w:id="30"/>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31" w:name="_Toc39039405"/>
      <w:r>
        <w:rPr>
          <w:rStyle w:val="CharSectno"/>
        </w:rPr>
        <w:t>13</w:t>
      </w:r>
      <w:r>
        <w:t>.</w:t>
      </w:r>
      <w:r>
        <w:tab/>
        <w:t>Jurisdiction over other disputes</w:t>
      </w:r>
      <w:bookmarkEnd w:id="31"/>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32" w:name="_Toc39039406"/>
      <w:r>
        <w:rPr>
          <w:rStyle w:val="CharSectno"/>
        </w:rPr>
        <w:t>13A</w:t>
      </w:r>
      <w:r>
        <w:t>.</w:t>
      </w:r>
      <w:r>
        <w:tab/>
      </w:r>
      <w:r>
        <w:rPr>
          <w:snapToGrid w:val="0"/>
        </w:rPr>
        <w:t>Magistrates</w:t>
      </w:r>
      <w:r>
        <w:t xml:space="preserve"> Court’s jurisdiction</w:t>
      </w:r>
      <w:bookmarkEnd w:id="32"/>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33" w:name="_Toc39039407"/>
      <w:r>
        <w:rPr>
          <w:rStyle w:val="CharSectno"/>
        </w:rPr>
        <w:t>13B</w:t>
      </w:r>
      <w:r>
        <w:t>.</w:t>
      </w:r>
      <w:r>
        <w:tab/>
        <w:t>Appeals from decisions of registrar</w:t>
      </w:r>
      <w:bookmarkEnd w:id="33"/>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rPr>
          <w:snapToGrid w:val="0"/>
        </w:rPr>
      </w:pPr>
      <w:bookmarkStart w:id="34" w:name="_Toc39039408"/>
      <w:r>
        <w:rPr>
          <w:rStyle w:val="CharSectno"/>
        </w:rPr>
        <w:t>14</w:t>
      </w:r>
      <w:r>
        <w:rPr>
          <w:snapToGrid w:val="0"/>
        </w:rPr>
        <w:t>.</w:t>
      </w:r>
      <w:r>
        <w:rPr>
          <w:snapToGrid w:val="0"/>
        </w:rPr>
        <w:tab/>
        <w:t>Time for determination of proceedings</w:t>
      </w:r>
      <w:bookmarkEnd w:id="34"/>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35" w:name="_Toc39039409"/>
      <w:r>
        <w:rPr>
          <w:rStyle w:val="CharSectno"/>
        </w:rPr>
        <w:t>15</w:t>
      </w:r>
      <w:r>
        <w:rPr>
          <w:snapToGrid w:val="0"/>
        </w:rPr>
        <w:t>.</w:t>
      </w:r>
      <w:r>
        <w:rPr>
          <w:snapToGrid w:val="0"/>
        </w:rPr>
        <w:tab/>
        <w:t>Applications for relief and orders that may be made</w:t>
      </w:r>
      <w:bookmarkEnd w:id="35"/>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36" w:name="_Toc39039410"/>
      <w:r>
        <w:rPr>
          <w:rStyle w:val="CharSectno"/>
        </w:rPr>
        <w:t>16</w:t>
      </w:r>
      <w:r>
        <w:rPr>
          <w:snapToGrid w:val="0"/>
        </w:rPr>
        <w:t>.</w:t>
      </w:r>
      <w:r>
        <w:rPr>
          <w:snapToGrid w:val="0"/>
        </w:rPr>
        <w:tab/>
        <w:t>Enforcement</w:t>
      </w:r>
      <w:bookmarkEnd w:id="36"/>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37" w:name="_Toc39039411"/>
      <w:r>
        <w:rPr>
          <w:rStyle w:val="CharSectno"/>
        </w:rPr>
        <w:t>17A</w:t>
      </w:r>
      <w:r>
        <w:t>.</w:t>
      </w:r>
      <w:r>
        <w:tab/>
        <w:t>Disputes between tenants</w:t>
      </w:r>
      <w:bookmarkEnd w:id="37"/>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38" w:name="_Toc39039412"/>
      <w:r>
        <w:rPr>
          <w:rStyle w:val="CharSectno"/>
        </w:rPr>
        <w:t>17B</w:t>
      </w:r>
      <w:r>
        <w:t>.</w:t>
      </w:r>
      <w:r>
        <w:tab/>
        <w:t>Determination of rights and liabilities after termination of tenant’s interest on grounds of family violence</w:t>
      </w:r>
      <w:bookmarkEnd w:id="38"/>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39" w:name="_Toc39039413"/>
      <w:r>
        <w:rPr>
          <w:rStyle w:val="CharSectno"/>
        </w:rPr>
        <w:t>17</w:t>
      </w:r>
      <w:r>
        <w:rPr>
          <w:snapToGrid w:val="0"/>
        </w:rPr>
        <w:t>.</w:t>
      </w:r>
      <w:r>
        <w:rPr>
          <w:snapToGrid w:val="0"/>
        </w:rPr>
        <w:tab/>
        <w:t>Application to vary or set aside order</w:t>
      </w:r>
      <w:bookmarkEnd w:id="39"/>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40" w:name="_Toc39039414"/>
      <w:r>
        <w:rPr>
          <w:rStyle w:val="CharSectno"/>
        </w:rPr>
        <w:t>18</w:t>
      </w:r>
      <w:r>
        <w:rPr>
          <w:snapToGrid w:val="0"/>
        </w:rPr>
        <w:t>.</w:t>
      </w:r>
      <w:r>
        <w:rPr>
          <w:snapToGrid w:val="0"/>
        </w:rPr>
        <w:tab/>
        <w:t>Form of applications and notice of hearing</w:t>
      </w:r>
      <w:bookmarkEnd w:id="40"/>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41" w:name="_Toc39039415"/>
      <w:r>
        <w:rPr>
          <w:rStyle w:val="CharSectno"/>
        </w:rPr>
        <w:t>19</w:t>
      </w:r>
      <w:r>
        <w:rPr>
          <w:snapToGrid w:val="0"/>
        </w:rPr>
        <w:t>.</w:t>
      </w:r>
      <w:r>
        <w:rPr>
          <w:snapToGrid w:val="0"/>
        </w:rPr>
        <w:tab/>
        <w:t>Witnesses and inspection of documents</w:t>
      </w:r>
      <w:bookmarkEnd w:id="41"/>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42" w:name="_Toc39039416"/>
      <w:r>
        <w:rPr>
          <w:rStyle w:val="CharSectno"/>
        </w:rPr>
        <w:t>20</w:t>
      </w:r>
      <w:r>
        <w:rPr>
          <w:snapToGrid w:val="0"/>
        </w:rPr>
        <w:t>.</w:t>
      </w:r>
      <w:r>
        <w:rPr>
          <w:snapToGrid w:val="0"/>
        </w:rPr>
        <w:tab/>
        <w:t>General powers in proceedings</w:t>
      </w:r>
      <w:bookmarkEnd w:id="42"/>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43" w:name="_Toc39039417"/>
      <w:r>
        <w:rPr>
          <w:rStyle w:val="CharSectno"/>
        </w:rPr>
        <w:t>21</w:t>
      </w:r>
      <w:r>
        <w:t>.</w:t>
      </w:r>
      <w:r>
        <w:tab/>
        <w:t>Evidence</w:t>
      </w:r>
      <w:bookmarkEnd w:id="43"/>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44" w:name="_Toc39039418"/>
      <w:r>
        <w:rPr>
          <w:rStyle w:val="CharSectno"/>
        </w:rPr>
        <w:t>22</w:t>
      </w:r>
      <w:r>
        <w:rPr>
          <w:snapToGrid w:val="0"/>
        </w:rPr>
        <w:t>.</w:t>
      </w:r>
      <w:r>
        <w:rPr>
          <w:snapToGrid w:val="0"/>
        </w:rPr>
        <w:tab/>
        <w:t>Presentation of cases</w:t>
      </w:r>
      <w:bookmarkEnd w:id="44"/>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tab/>
        <w:t>(3C)</w:t>
      </w:r>
      <w:r>
        <w:tab/>
        <w:t xml:space="preserve">The court may order that a party to proceedings may be represented or assisted by an agent in the presentation of the 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No. 25 of 2019 s. 65.] </w:t>
      </w:r>
    </w:p>
    <w:p>
      <w:pPr>
        <w:pStyle w:val="Heading5"/>
        <w:rPr>
          <w:snapToGrid w:val="0"/>
        </w:rPr>
      </w:pPr>
      <w:bookmarkStart w:id="45" w:name="_Toc39039419"/>
      <w:r>
        <w:rPr>
          <w:rStyle w:val="CharSectno"/>
        </w:rPr>
        <w:t>23</w:t>
      </w:r>
      <w:r>
        <w:rPr>
          <w:snapToGrid w:val="0"/>
        </w:rPr>
        <w:t>.</w:t>
      </w:r>
      <w:r>
        <w:rPr>
          <w:snapToGrid w:val="0"/>
        </w:rPr>
        <w:tab/>
        <w:t>Settlement by conciliation</w:t>
      </w:r>
      <w:bookmarkEnd w:id="45"/>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46" w:name="_Toc39039420"/>
      <w:r>
        <w:rPr>
          <w:rStyle w:val="CharSectno"/>
        </w:rPr>
        <w:t>24</w:t>
      </w:r>
      <w:r>
        <w:rPr>
          <w:snapToGrid w:val="0"/>
        </w:rPr>
        <w:t>.</w:t>
      </w:r>
      <w:r>
        <w:rPr>
          <w:snapToGrid w:val="0"/>
        </w:rPr>
        <w:tab/>
        <w:t>Costs</w:t>
      </w:r>
      <w:bookmarkEnd w:id="46"/>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w:t>
      </w:r>
    </w:p>
    <w:p>
      <w:pPr>
        <w:pStyle w:val="Heading5"/>
        <w:rPr>
          <w:snapToGrid w:val="0"/>
        </w:rPr>
      </w:pPr>
      <w:bookmarkStart w:id="47" w:name="_Toc39039421"/>
      <w:r>
        <w:rPr>
          <w:rStyle w:val="CharSectno"/>
        </w:rPr>
        <w:t>25</w:t>
      </w:r>
      <w:r>
        <w:rPr>
          <w:snapToGrid w:val="0"/>
        </w:rPr>
        <w:t>.</w:t>
      </w:r>
      <w:r>
        <w:rPr>
          <w:snapToGrid w:val="0"/>
        </w:rPr>
        <w:tab/>
        <w:t>Reservation of question of law</w:t>
      </w:r>
      <w:bookmarkEnd w:id="4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48" w:name="_Toc39039422"/>
      <w:r>
        <w:rPr>
          <w:rStyle w:val="CharSectno"/>
        </w:rPr>
        <w:t>26</w:t>
      </w:r>
      <w:r>
        <w:rPr>
          <w:snapToGrid w:val="0"/>
        </w:rPr>
        <w:t>.</w:t>
      </w:r>
      <w:r>
        <w:rPr>
          <w:snapToGrid w:val="0"/>
        </w:rPr>
        <w:tab/>
        <w:t>Finality of proceedings</w:t>
      </w:r>
      <w:bookmarkEnd w:id="48"/>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2"/>
      </w:pPr>
      <w:bookmarkStart w:id="49" w:name="_Toc38006763"/>
      <w:bookmarkStart w:id="50" w:name="_Toc38006966"/>
      <w:bookmarkStart w:id="51" w:name="_Toc39039220"/>
      <w:bookmarkStart w:id="52" w:name="_Toc39039423"/>
      <w:r>
        <w:rPr>
          <w:rStyle w:val="CharPartNo"/>
        </w:rPr>
        <w:t>Part IV</w:t>
      </w:r>
      <w:r>
        <w:t> — </w:t>
      </w:r>
      <w:r>
        <w:rPr>
          <w:rStyle w:val="CharPartText"/>
        </w:rPr>
        <w:t>Residential tenancy agreements</w:t>
      </w:r>
      <w:bookmarkEnd w:id="49"/>
      <w:bookmarkEnd w:id="50"/>
      <w:bookmarkEnd w:id="51"/>
      <w:bookmarkEnd w:id="52"/>
    </w:p>
    <w:p>
      <w:pPr>
        <w:pStyle w:val="Footnoteheading"/>
      </w:pPr>
      <w:r>
        <w:tab/>
        <w:t>[Heading inserted: No. 60 of 2011 s. 21.]</w:t>
      </w:r>
    </w:p>
    <w:p>
      <w:pPr>
        <w:pStyle w:val="Heading3"/>
      </w:pPr>
      <w:bookmarkStart w:id="53" w:name="_Toc38006764"/>
      <w:bookmarkStart w:id="54" w:name="_Toc38006967"/>
      <w:bookmarkStart w:id="55" w:name="_Toc39039221"/>
      <w:bookmarkStart w:id="56" w:name="_Toc39039424"/>
      <w:r>
        <w:rPr>
          <w:rStyle w:val="CharDivNo"/>
        </w:rPr>
        <w:t>Division 1A</w:t>
      </w:r>
      <w:r>
        <w:t> — </w:t>
      </w:r>
      <w:r>
        <w:rPr>
          <w:rStyle w:val="CharDivText"/>
        </w:rPr>
        <w:t>Form of residential tenancy agreement and associated documents</w:t>
      </w:r>
      <w:bookmarkEnd w:id="53"/>
      <w:bookmarkEnd w:id="54"/>
      <w:bookmarkEnd w:id="55"/>
      <w:bookmarkEnd w:id="56"/>
    </w:p>
    <w:p>
      <w:pPr>
        <w:pStyle w:val="Footnoteheading"/>
      </w:pPr>
      <w:r>
        <w:tab/>
        <w:t>[Heading inserted: No. 60 of 2011 s. 22.]</w:t>
      </w:r>
    </w:p>
    <w:p>
      <w:pPr>
        <w:pStyle w:val="Heading5"/>
      </w:pPr>
      <w:bookmarkStart w:id="57" w:name="_Toc39039425"/>
      <w:r>
        <w:rPr>
          <w:rStyle w:val="CharSectno"/>
        </w:rPr>
        <w:t>27A</w:t>
      </w:r>
      <w:r>
        <w:t>.</w:t>
      </w:r>
      <w:r>
        <w:tab/>
        <w:t>Written residential tenancy agreement to be in prescribed form</w:t>
      </w:r>
      <w:bookmarkEnd w:id="57"/>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58" w:name="_Toc39039426"/>
      <w:r>
        <w:rPr>
          <w:rStyle w:val="CharSectno"/>
        </w:rPr>
        <w:t>27B</w:t>
      </w:r>
      <w:r>
        <w:t>.</w:t>
      </w:r>
      <w:r>
        <w:tab/>
        <w:t>Information to be given to tenant by lessor</w:t>
      </w:r>
      <w:bookmarkEnd w:id="58"/>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59" w:name="_Toc39039427"/>
      <w:r>
        <w:rPr>
          <w:rStyle w:val="CharSectno"/>
        </w:rPr>
        <w:t>27C</w:t>
      </w:r>
      <w:r>
        <w:t>.</w:t>
      </w:r>
      <w:r>
        <w:tab/>
      </w:r>
      <w:r>
        <w:rPr>
          <w:snapToGrid w:val="0"/>
        </w:rPr>
        <w:t>Property condition report at start and end of tenancy</w:t>
      </w:r>
      <w:bookmarkEnd w:id="59"/>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is taken to comply with subsection (4) if, before the termination of a tenant’s interest, the lessor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tab/>
        <w:t>(6)</w:t>
      </w:r>
      <w:r>
        <w:tab/>
        <w:t>The regulations may prescribe information that must be included in a property condition report.</w:t>
      </w:r>
    </w:p>
    <w:p>
      <w:pPr>
        <w:pStyle w:val="Footnotesection"/>
      </w:pPr>
      <w:r>
        <w:tab/>
        <w:t xml:space="preserve">[Section 27C inserted: No. 60 of 2011 s. 22; amended: No. 3 of 2019 s. 6 and 25.] </w:t>
      </w:r>
    </w:p>
    <w:p>
      <w:pPr>
        <w:pStyle w:val="Heading3"/>
        <w:rPr>
          <w:snapToGrid w:val="0"/>
        </w:rPr>
      </w:pPr>
      <w:bookmarkStart w:id="60" w:name="_Toc38006768"/>
      <w:bookmarkStart w:id="61" w:name="_Toc38006971"/>
      <w:bookmarkStart w:id="62" w:name="_Toc39039225"/>
      <w:bookmarkStart w:id="63" w:name="_Toc39039428"/>
      <w:r>
        <w:rPr>
          <w:rStyle w:val="CharDivNo"/>
        </w:rPr>
        <w:t>Division 1</w:t>
      </w:r>
      <w:r>
        <w:rPr>
          <w:snapToGrid w:val="0"/>
        </w:rPr>
        <w:t> — </w:t>
      </w:r>
      <w:r>
        <w:rPr>
          <w:rStyle w:val="CharDivText"/>
        </w:rPr>
        <w:t>Rent and security bonds</w:t>
      </w:r>
      <w:bookmarkEnd w:id="60"/>
      <w:bookmarkEnd w:id="61"/>
      <w:bookmarkEnd w:id="62"/>
      <w:bookmarkEnd w:id="63"/>
    </w:p>
    <w:p>
      <w:pPr>
        <w:pStyle w:val="Heading5"/>
        <w:spacing w:before="160"/>
        <w:rPr>
          <w:snapToGrid w:val="0"/>
        </w:rPr>
      </w:pPr>
      <w:bookmarkStart w:id="64" w:name="_Toc39039429"/>
      <w:r>
        <w:rPr>
          <w:rStyle w:val="CharSectno"/>
        </w:rPr>
        <w:t>27</w:t>
      </w:r>
      <w:r>
        <w:rPr>
          <w:snapToGrid w:val="0"/>
        </w:rPr>
        <w:t>.</w:t>
      </w:r>
      <w:r>
        <w:rPr>
          <w:snapToGrid w:val="0"/>
        </w:rPr>
        <w:tab/>
        <w:t>Restriction on consideration for tenancy agreement</w:t>
      </w:r>
      <w:bookmarkEnd w:id="64"/>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w:t>
      </w:r>
    </w:p>
    <w:p>
      <w:pPr>
        <w:pStyle w:val="Heading5"/>
        <w:rPr>
          <w:snapToGrid w:val="0"/>
        </w:rPr>
      </w:pPr>
      <w:bookmarkStart w:id="65" w:name="_Toc39039430"/>
      <w:r>
        <w:rPr>
          <w:rStyle w:val="CharSectno"/>
        </w:rPr>
        <w:t>28</w:t>
      </w:r>
      <w:r>
        <w:rPr>
          <w:snapToGrid w:val="0"/>
        </w:rPr>
        <w:t>.</w:t>
      </w:r>
      <w:r>
        <w:rPr>
          <w:snapToGrid w:val="0"/>
        </w:rPr>
        <w:tab/>
        <w:t>Rent in advance</w:t>
      </w:r>
      <w:bookmarkEnd w:id="65"/>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w:t>
      </w:r>
    </w:p>
    <w:p>
      <w:pPr>
        <w:pStyle w:val="Heading5"/>
        <w:rPr>
          <w:snapToGrid w:val="0"/>
        </w:rPr>
      </w:pPr>
      <w:bookmarkStart w:id="66" w:name="_Toc39039431"/>
      <w:r>
        <w:rPr>
          <w:rStyle w:val="CharSectno"/>
        </w:rPr>
        <w:t>29</w:t>
      </w:r>
      <w:r>
        <w:rPr>
          <w:snapToGrid w:val="0"/>
        </w:rPr>
        <w:t>.</w:t>
      </w:r>
      <w:r>
        <w:rPr>
          <w:snapToGrid w:val="0"/>
        </w:rPr>
        <w:tab/>
        <w:t>Security bonds</w:t>
      </w:r>
      <w:bookmarkEnd w:id="66"/>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w:t>
      </w:r>
    </w:p>
    <w:p>
      <w:pPr>
        <w:pStyle w:val="Ednotesection"/>
      </w:pPr>
      <w:r>
        <w:t>[</w:t>
      </w:r>
      <w:r>
        <w:rPr>
          <w:b/>
        </w:rPr>
        <w:t>29A.</w:t>
      </w:r>
      <w:r>
        <w:tab/>
        <w:t>Deleted: No. 60 of 2011 s. 26.]</w:t>
      </w:r>
    </w:p>
    <w:p>
      <w:pPr>
        <w:pStyle w:val="Heading5"/>
        <w:rPr>
          <w:snapToGrid w:val="0"/>
        </w:rPr>
      </w:pPr>
      <w:bookmarkStart w:id="67" w:name="_Toc39039432"/>
      <w:r>
        <w:rPr>
          <w:rStyle w:val="CharSectno"/>
        </w:rPr>
        <w:t>30</w:t>
      </w:r>
      <w:r>
        <w:rPr>
          <w:snapToGrid w:val="0"/>
        </w:rPr>
        <w:t>.</w:t>
      </w:r>
      <w:r>
        <w:rPr>
          <w:snapToGrid w:val="0"/>
        </w:rPr>
        <w:tab/>
        <w:t>Variation of rent (except where calculated by reference to tenant’s income)</w:t>
      </w:r>
      <w:bookmarkEnd w:id="67"/>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68" w:name="_Toc39039433"/>
      <w:r>
        <w:rPr>
          <w:rStyle w:val="CharSectno"/>
        </w:rPr>
        <w:t>31A</w:t>
      </w:r>
      <w:r>
        <w:t>.</w:t>
      </w:r>
      <w:r>
        <w:tab/>
        <w:t>Variation of rent where calculated by reference to tenant’s income</w:t>
      </w:r>
      <w:bookmarkEnd w:id="68"/>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69" w:name="_Toc39039434"/>
      <w:r>
        <w:rPr>
          <w:rStyle w:val="CharSectno"/>
        </w:rPr>
        <w:t>31B</w:t>
      </w:r>
      <w:r>
        <w:t>.</w:t>
      </w:r>
      <w:r>
        <w:tab/>
        <w:t>Increase in rent after renegotiating lease</w:t>
      </w:r>
      <w:bookmarkEnd w:id="69"/>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70" w:name="_Toc39039435"/>
      <w:r>
        <w:rPr>
          <w:rStyle w:val="CharSectno"/>
        </w:rPr>
        <w:t>31</w:t>
      </w:r>
      <w:r>
        <w:rPr>
          <w:snapToGrid w:val="0"/>
        </w:rPr>
        <w:t>.</w:t>
      </w:r>
      <w:r>
        <w:rPr>
          <w:snapToGrid w:val="0"/>
        </w:rPr>
        <w:tab/>
        <w:t>Increase in security bond</w:t>
      </w:r>
      <w:bookmarkEnd w:id="70"/>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71" w:name="_Toc39039436"/>
      <w:r>
        <w:rPr>
          <w:rStyle w:val="CharSectno"/>
        </w:rPr>
        <w:t>32</w:t>
      </w:r>
      <w:r>
        <w:rPr>
          <w:snapToGrid w:val="0"/>
        </w:rPr>
        <w:t>.</w:t>
      </w:r>
      <w:r>
        <w:rPr>
          <w:snapToGrid w:val="0"/>
        </w:rPr>
        <w:tab/>
        <w:t>Limitation of excessive rents in certain circumstances</w:t>
      </w:r>
      <w:bookmarkEnd w:id="71"/>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72" w:name="_Toc39039437"/>
      <w:r>
        <w:rPr>
          <w:rStyle w:val="CharSectno"/>
        </w:rPr>
        <w:t>33</w:t>
      </w:r>
      <w:r>
        <w:rPr>
          <w:snapToGrid w:val="0"/>
        </w:rPr>
        <w:t>.</w:t>
      </w:r>
      <w:r>
        <w:rPr>
          <w:snapToGrid w:val="0"/>
        </w:rPr>
        <w:tab/>
        <w:t>Duty to give receipt for rent</w:t>
      </w:r>
      <w:bookmarkEnd w:id="72"/>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73" w:name="_Toc39039438"/>
      <w:r>
        <w:rPr>
          <w:rStyle w:val="CharSectno"/>
        </w:rPr>
        <w:t>34A</w:t>
      </w:r>
      <w:r>
        <w:t>.</w:t>
      </w:r>
      <w:r>
        <w:tab/>
        <w:t>Manner of payment of rent</w:t>
      </w:r>
      <w:bookmarkEnd w:id="73"/>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74" w:name="_Toc39039439"/>
      <w:r>
        <w:rPr>
          <w:rStyle w:val="CharSectno"/>
        </w:rPr>
        <w:t>34</w:t>
      </w:r>
      <w:r>
        <w:rPr>
          <w:snapToGrid w:val="0"/>
        </w:rPr>
        <w:t>.</w:t>
      </w:r>
      <w:r>
        <w:rPr>
          <w:snapToGrid w:val="0"/>
        </w:rPr>
        <w:tab/>
        <w:t>Proper records of rent to be kept</w:t>
      </w:r>
      <w:bookmarkEnd w:id="74"/>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75" w:name="_Toc39039440"/>
      <w:r>
        <w:rPr>
          <w:rStyle w:val="CharSectno"/>
        </w:rPr>
        <w:t>35</w:t>
      </w:r>
      <w:r>
        <w:rPr>
          <w:snapToGrid w:val="0"/>
        </w:rPr>
        <w:t>.</w:t>
      </w:r>
      <w:r>
        <w:rPr>
          <w:snapToGrid w:val="0"/>
        </w:rPr>
        <w:tab/>
        <w:t>Payment of rent by post</w:t>
      </w:r>
      <w:r>
        <w:rPr>
          <w:snapToGrid w:val="0"/>
        </w:rPr>
        <w:noBreakHyphen/>
        <w:t>dated cheques etc. prohibited</w:t>
      </w:r>
      <w:bookmarkEnd w:id="75"/>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76" w:name="_Toc39039441"/>
      <w:r>
        <w:rPr>
          <w:rStyle w:val="CharSectno"/>
        </w:rPr>
        <w:t>36</w:t>
      </w:r>
      <w:r>
        <w:rPr>
          <w:snapToGrid w:val="0"/>
        </w:rPr>
        <w:t>.</w:t>
      </w:r>
      <w:r>
        <w:rPr>
          <w:snapToGrid w:val="0"/>
        </w:rPr>
        <w:tab/>
        <w:t>Apportionment of rent</w:t>
      </w:r>
      <w:bookmarkEnd w:id="76"/>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77" w:name="_Toc38006782"/>
      <w:bookmarkStart w:id="78" w:name="_Toc38006985"/>
      <w:bookmarkStart w:id="79" w:name="_Toc39039239"/>
      <w:bookmarkStart w:id="80" w:name="_Toc39039442"/>
      <w:r>
        <w:rPr>
          <w:rStyle w:val="CharDivNo"/>
        </w:rPr>
        <w:t>Division 2</w:t>
      </w:r>
      <w:r>
        <w:rPr>
          <w:snapToGrid w:val="0"/>
        </w:rPr>
        <w:t> — </w:t>
      </w:r>
      <w:r>
        <w:rPr>
          <w:rStyle w:val="CharDivText"/>
        </w:rPr>
        <w:t>Standard terms</w:t>
      </w:r>
      <w:bookmarkEnd w:id="77"/>
      <w:bookmarkEnd w:id="78"/>
      <w:bookmarkEnd w:id="79"/>
      <w:bookmarkEnd w:id="80"/>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81" w:name="_Toc39039443"/>
      <w:r>
        <w:rPr>
          <w:rStyle w:val="CharSectno"/>
        </w:rPr>
        <w:t>38</w:t>
      </w:r>
      <w:r>
        <w:rPr>
          <w:snapToGrid w:val="0"/>
        </w:rPr>
        <w:t>.</w:t>
      </w:r>
      <w:r>
        <w:rPr>
          <w:snapToGrid w:val="0"/>
        </w:rPr>
        <w:tab/>
        <w:t>Tenant’s responsibility for cleanliness and damage</w:t>
      </w:r>
      <w:bookmarkEnd w:id="81"/>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82" w:name="_Toc39039444"/>
      <w:r>
        <w:rPr>
          <w:rStyle w:val="CharSectno"/>
        </w:rPr>
        <w:t>39</w:t>
      </w:r>
      <w:r>
        <w:rPr>
          <w:snapToGrid w:val="0"/>
        </w:rPr>
        <w:t>.</w:t>
      </w:r>
      <w:r>
        <w:rPr>
          <w:snapToGrid w:val="0"/>
        </w:rPr>
        <w:tab/>
        <w:t>Tenant’s conduct on premises</w:t>
      </w:r>
      <w:bookmarkEnd w:id="82"/>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83" w:name="_Toc39039445"/>
      <w:r>
        <w:rPr>
          <w:rStyle w:val="CharSectno"/>
        </w:rPr>
        <w:t>40</w:t>
      </w:r>
      <w:r>
        <w:t>.</w:t>
      </w:r>
      <w:r>
        <w:tab/>
        <w:t>Vacant possession</w:t>
      </w:r>
      <w:bookmarkEnd w:id="83"/>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84" w:name="_Toc39039446"/>
      <w:r>
        <w:rPr>
          <w:rStyle w:val="CharSectno"/>
        </w:rPr>
        <w:t>41</w:t>
      </w:r>
      <w:r>
        <w:rPr>
          <w:snapToGrid w:val="0"/>
        </w:rPr>
        <w:t>.</w:t>
      </w:r>
      <w:r>
        <w:rPr>
          <w:snapToGrid w:val="0"/>
        </w:rPr>
        <w:tab/>
        <w:t>Legal impediments to occupation as residence</w:t>
      </w:r>
      <w:bookmarkEnd w:id="84"/>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85" w:name="_Toc39039447"/>
      <w:r>
        <w:rPr>
          <w:rStyle w:val="CharSectno"/>
        </w:rPr>
        <w:t>42</w:t>
      </w:r>
      <w:r>
        <w:t>.</w:t>
      </w:r>
      <w:r>
        <w:tab/>
        <w:t>Lessor’s responsibility for cleanliness and repairs</w:t>
      </w:r>
      <w:bookmarkEnd w:id="85"/>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86" w:name="_Toc39039448"/>
      <w:r>
        <w:rPr>
          <w:rStyle w:val="CharSectno"/>
        </w:rPr>
        <w:t>43</w:t>
      </w:r>
      <w:r>
        <w:t>.</w:t>
      </w:r>
      <w:r>
        <w:tab/>
        <w:t>Urgent repairs</w:t>
      </w:r>
      <w:bookmarkEnd w:id="86"/>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keepNext/>
        <w:keepLines/>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87" w:name="_Toc39039449"/>
      <w:r>
        <w:rPr>
          <w:rStyle w:val="CharSectno"/>
        </w:rPr>
        <w:t>44</w:t>
      </w:r>
      <w:r>
        <w:t>.</w:t>
      </w:r>
      <w:r>
        <w:tab/>
        <w:t>Quiet enjoyment</w:t>
      </w:r>
      <w:bookmarkEnd w:id="87"/>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88" w:name="_Toc39039450"/>
      <w:r>
        <w:rPr>
          <w:rStyle w:val="CharSectno"/>
        </w:rPr>
        <w:t>45</w:t>
      </w:r>
      <w:r>
        <w:t>.</w:t>
      </w:r>
      <w:r>
        <w:tab/>
        <w:t>Securing premises</w:t>
      </w:r>
      <w:bookmarkEnd w:id="88"/>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89" w:name="_Toc39039451"/>
      <w:r>
        <w:rPr>
          <w:rStyle w:val="CharSectno"/>
        </w:rPr>
        <w:t>46</w:t>
      </w:r>
      <w:r>
        <w:t>.</w:t>
      </w:r>
      <w:r>
        <w:tab/>
        <w:t>Lessor’s right of entry</w:t>
      </w:r>
      <w:bookmarkEnd w:id="89"/>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90" w:name="_Toc39039452"/>
      <w:r>
        <w:rPr>
          <w:rStyle w:val="CharSectno"/>
        </w:rPr>
        <w:t>47</w:t>
      </w:r>
      <w:r>
        <w:t>.</w:t>
      </w:r>
      <w:r>
        <w:tab/>
        <w:t>Right of tenant to affix and remove fixtures etc.</w:t>
      </w:r>
      <w:bookmarkEnd w:id="90"/>
    </w:p>
    <w:p>
      <w:pPr>
        <w:pStyle w:val="Subsection"/>
      </w:pPr>
      <w:r>
        <w:tab/>
        <w:t>(1A)</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rPr>
          <w:snapToGrid w:val="0"/>
        </w:rPr>
      </w:pPr>
      <w:r>
        <w:rPr>
          <w:snapToGrid w:val="0"/>
        </w:rPr>
        <w:tab/>
        <w:t>(1)</w:t>
      </w:r>
      <w:r>
        <w:rPr>
          <w:snapToGrid w:val="0"/>
        </w:rPr>
        <w:tab/>
      </w:r>
      <w:r>
        <w:t>Except as provided in subsections (2A) and (4),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(2A)</w:t>
      </w:r>
      <w:r>
        <w:tab/>
        <w:t>It is a term of every residential tenancy agreement that —</w:t>
      </w:r>
    </w:p>
    <w:p>
      <w:pPr>
        <w:pStyle w:val="Indenta"/>
      </w:pPr>
      <w:r>
        <w:tab/>
        <w:t>(a)</w:t>
      </w:r>
      <w:r>
        <w:tab/>
        <w:t>a tenant may affix either or both of the following items to a wall of premises the subject of the agreement for the purpose of ensuring the safety of a child or a person with a disability, but only with the lessor’s consent —</w:t>
      </w:r>
    </w:p>
    <w:p>
      <w:pPr>
        <w:pStyle w:val="Indenti"/>
      </w:pPr>
      <w:r>
        <w:tab/>
        <w:t>(i)</w:t>
      </w:r>
      <w:r>
        <w:tab/>
        <w:t xml:space="preserve">furniture; </w:t>
      </w:r>
    </w:p>
    <w:p>
      <w:pPr>
        <w:pStyle w:val="Indenti"/>
      </w:pPr>
      <w:r>
        <w:tab/>
        <w:t>(ii)</w:t>
      </w:r>
      <w:r>
        <w:tab/>
        <w:t>a thing to affix the furniture to the wall;</w:t>
      </w:r>
    </w:p>
    <w:p>
      <w:pPr>
        <w:pStyle w:val="Indenta"/>
      </w:pPr>
      <w:r>
        <w:tab/>
      </w:r>
      <w:r>
        <w:tab/>
        <w:t>and</w:t>
      </w:r>
    </w:p>
    <w:p>
      <w:pPr>
        <w:pStyle w:val="Indenta"/>
        <w:keepNext/>
      </w:pPr>
      <w:r>
        <w:tab/>
        <w:t>(b)</w:t>
      </w:r>
      <w:r>
        <w:tab/>
        <w:t xml:space="preserve">the lessor may only refuse consent — </w:t>
      </w:r>
    </w:p>
    <w:p>
      <w:pPr>
        <w:pStyle w:val="Indenti"/>
      </w:pPr>
      <w:r>
        <w:tab/>
        <w:t>(i)</w:t>
      </w:r>
      <w:r>
        <w:tab/>
        <w:t>if affixing the item to the wall would disturb material containing asbestos; or</w:t>
      </w:r>
    </w:p>
    <w:p>
      <w:pPr>
        <w:pStyle w:val="Indenti"/>
      </w:pPr>
      <w:r>
        <w:tab/>
        <w:t>(ii)</w:t>
      </w:r>
      <w:r>
        <w:tab/>
        <w:t xml:space="preserve">if the premises are entered in the Register of Heritage Places compiled under the </w:t>
      </w:r>
      <w:r>
        <w:rPr>
          <w:i/>
        </w:rPr>
        <w:t>Heritage of Western Australia Act 1990</w:t>
      </w:r>
      <w:r>
        <w:t xml:space="preserve"> section 46; or</w:t>
      </w:r>
    </w:p>
    <w:p>
      <w:pPr>
        <w:pStyle w:val="Indenti"/>
      </w:pPr>
      <w:r>
        <w:tab/>
        <w:t>(iii)</w:t>
      </w:r>
      <w:r>
        <w:tab/>
        <w:t xml:space="preserve">if the premises is a lot in a scheme under the </w:t>
      </w:r>
      <w:r>
        <w:rPr>
          <w:i/>
        </w:rPr>
        <w:t>Strata Titles Act 1985</w:t>
      </w:r>
      <w:r>
        <w:t>, the by</w:t>
      </w:r>
      <w:r>
        <w:noBreakHyphen/>
        <w:t>laws for the scheme prohibit affixing the item to the wall of the premises; or</w:t>
      </w:r>
    </w:p>
    <w:p>
      <w:pPr>
        <w:pStyle w:val="Indenti"/>
      </w:pPr>
      <w:r>
        <w:tab/>
        <w:t>(iv)</w:t>
      </w:r>
      <w:r>
        <w:tab/>
        <w:t>for a prescribed reason;</w:t>
      </w:r>
    </w:p>
    <w:p>
      <w:pPr>
        <w:pStyle w:val="Indenta"/>
      </w:pPr>
      <w:r>
        <w:tab/>
      </w:r>
      <w:r>
        <w:tab/>
        <w:t>and</w:t>
      </w:r>
    </w:p>
    <w:p>
      <w:pPr>
        <w:pStyle w:val="Indenta"/>
      </w:pPr>
      <w:r>
        <w:tab/>
        <w:t>(c)</w:t>
      </w:r>
      <w:r>
        <w:tab/>
        <w:t xml:space="preserve">unless the lessor agrees otherwise in writing, the tenant must remove the item from the wall when the tenant vacates the premises and either — </w:t>
      </w:r>
    </w:p>
    <w:p>
      <w:pPr>
        <w:pStyle w:val="Indenti"/>
      </w:pPr>
      <w:r>
        <w:tab/>
        <w:t>(i)</w:t>
      </w:r>
      <w:r>
        <w:tab/>
        <w:t>restore the wall to its original condition; or</w:t>
      </w:r>
    </w:p>
    <w:p>
      <w:pPr>
        <w:pStyle w:val="Indenti"/>
      </w:pPr>
      <w:r>
        <w:tab/>
        <w:t>(ii)</w:t>
      </w:r>
      <w:r>
        <w:tab/>
        <w:t>compensate the lessor for any reasonable expenses incurred by the lessor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premises when affixing or removing the item or restoring the wall to its original condition — </w:t>
      </w:r>
    </w:p>
    <w:p>
      <w:pPr>
        <w:pStyle w:val="Indenti"/>
      </w:pPr>
      <w:r>
        <w:tab/>
        <w:t>(i)</w:t>
      </w:r>
      <w:r>
        <w:tab/>
        <w:t>the tenant must notify the lessor in writing that damage has been caused to the premises; and</w:t>
      </w:r>
    </w:p>
    <w:p>
      <w:pPr>
        <w:pStyle w:val="Indenti"/>
      </w:pPr>
      <w:r>
        <w:tab/>
        <w:t>(ii)</w:t>
      </w:r>
      <w:r>
        <w:tab/>
        <w:t>the lessor may require the tenant to repair the damage and restore the premises to their original condition or compensate the lessor for the reasonable expenses incurred in doing the repair and restoration.</w:t>
      </w:r>
    </w:p>
    <w:p>
      <w:pPr>
        <w:pStyle w:val="Subsection"/>
      </w:pPr>
      <w:r>
        <w:tab/>
        <w:t>(2B)</w:t>
      </w:r>
      <w:r>
        <w:tab/>
        <w:t xml:space="preserve">The lessor is taken to have consented to affixing the furniture or thing to the wall of the premises under subsection (2A)(a) if, and only if — </w:t>
      </w:r>
    </w:p>
    <w:p>
      <w:pPr>
        <w:pStyle w:val="Indenta"/>
      </w:pPr>
      <w:r>
        <w:tab/>
        <w:t>(a)</w:t>
      </w:r>
      <w:r>
        <w:tab/>
        <w:t>the tenant has given the lessor a request, in a form approved by the Commissioner, seeking the lessor’s consent to affix the item to the wall; and</w:t>
      </w:r>
    </w:p>
    <w:p>
      <w:pPr>
        <w:pStyle w:val="Indenta"/>
      </w:pPr>
      <w:r>
        <w:tab/>
        <w:t>(b)</w:t>
      </w:r>
      <w:r>
        <w:tab/>
        <w:t>the lessor has not refused consent under subsection (2A)(b) within 14 days after the day on which the lessor receives the request.</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tab/>
        <w:t>(c)</w:t>
      </w:r>
      <w:r>
        <w:tab/>
        <w:t>work on the prescribed alterations must be undertaken by a qualified tradesperson, a copy of whose invoice the 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 xml:space="preserve">[Section 47 amended: No. 60 of 2011 s. 42, 88 and 89; No. 3 of 2019 s. 12; No. 25 of 2019 s. 67.] </w:t>
      </w:r>
    </w:p>
    <w:p>
      <w:pPr>
        <w:pStyle w:val="Heading5"/>
        <w:rPr>
          <w:snapToGrid w:val="0"/>
        </w:rPr>
      </w:pPr>
      <w:bookmarkStart w:id="91" w:name="_Toc39039453"/>
      <w:r>
        <w:rPr>
          <w:rStyle w:val="CharSectno"/>
        </w:rPr>
        <w:t>48</w:t>
      </w:r>
      <w:r>
        <w:rPr>
          <w:snapToGrid w:val="0"/>
        </w:rPr>
        <w:t>.</w:t>
      </w:r>
      <w:r>
        <w:rPr>
          <w:snapToGrid w:val="0"/>
        </w:rPr>
        <w:tab/>
        <w:t>Lessor to bear outgoings in respect of premises</w:t>
      </w:r>
      <w:bookmarkEnd w:id="91"/>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No. 73 of 1995 s. 188; No. 14 of 1996 s. 4; No. 45 of 2002 s. 21; No. 60 of 2011 s. 43 and 89.] </w:t>
      </w:r>
    </w:p>
    <w:p>
      <w:pPr>
        <w:pStyle w:val="Heading5"/>
      </w:pPr>
      <w:bookmarkStart w:id="92" w:name="_Toc39039454"/>
      <w:r>
        <w:rPr>
          <w:rStyle w:val="CharSectno"/>
        </w:rPr>
        <w:t>49A</w:t>
      </w:r>
      <w:r>
        <w:t>.</w:t>
      </w:r>
      <w:r>
        <w:tab/>
        <w:t>Lessor’s and tenant’s responsibilities in respect of public utility services</w:t>
      </w:r>
      <w:bookmarkEnd w:id="92"/>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Defstart"/>
      </w:pPr>
      <w:r>
        <w:tab/>
      </w:r>
      <w:r>
        <w:rPr>
          <w:rStyle w:val="CharDefText"/>
        </w:rPr>
        <w:t>strata company</w:t>
      </w:r>
      <w:r>
        <w:t xml:space="preserve"> has the meaning given in the </w:t>
      </w:r>
      <w:r>
        <w:rPr>
          <w:i/>
        </w:rPr>
        <w:t>Strata Titles Act 1985</w:t>
      </w:r>
      <w:r>
        <w:t xml:space="preserve"> section 3(1).</w:t>
      </w:r>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tab/>
        <w:t>(ii)</w:t>
      </w:r>
      <w:r>
        <w:tab/>
        <w:t>although consumption at the premises is not separately metered, the charge is calculated in accordance with a method previously agreed to in writing by the lessor and the tenant;</w:t>
      </w:r>
    </w:p>
    <w:p>
      <w:pPr>
        <w:pStyle w:val="Indenta"/>
      </w:pPr>
      <w:r>
        <w:tab/>
      </w:r>
      <w:r>
        <w:tab/>
        <w:t>and</w:t>
      </w:r>
    </w:p>
    <w:p>
      <w:pPr>
        <w:pStyle w:val="Indenta"/>
      </w:pPr>
      <w:r>
        <w:tab/>
        <w:t>(c)</w:t>
      </w:r>
      <w:r>
        <w:tab/>
        <w:t xml:space="preserve">the lessor gives the tenant a written notice under subsection (4) within 30 days after the lessor receives an invoice for the public utility service. </w:t>
      </w:r>
    </w:p>
    <w:p>
      <w:pPr>
        <w:pStyle w:val="Subsection"/>
      </w:pPr>
      <w:r>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pPr>
      <w:r>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tab/>
        <w:t xml:space="preserve">[Section 49A inserted: No. 60 of 2011 s. 44; amended: No. 25 of 2019 s. 68.] </w:t>
      </w:r>
    </w:p>
    <w:p>
      <w:pPr>
        <w:pStyle w:val="Heading5"/>
        <w:rPr>
          <w:snapToGrid w:val="0"/>
        </w:rPr>
      </w:pPr>
      <w:bookmarkStart w:id="93" w:name="_Toc39039455"/>
      <w:r>
        <w:rPr>
          <w:rStyle w:val="CharSectno"/>
        </w:rPr>
        <w:t>49</w:t>
      </w:r>
      <w:r>
        <w:rPr>
          <w:snapToGrid w:val="0"/>
        </w:rPr>
        <w:t>.</w:t>
      </w:r>
      <w:r>
        <w:rPr>
          <w:snapToGrid w:val="0"/>
        </w:rPr>
        <w:tab/>
        <w:t>Right of tenant to assign or sub</w:t>
      </w:r>
      <w:r>
        <w:rPr>
          <w:snapToGrid w:val="0"/>
        </w:rPr>
        <w:noBreakHyphen/>
        <w:t>let</w:t>
      </w:r>
      <w:bookmarkEnd w:id="93"/>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94" w:name="_Toc39039456"/>
      <w:r>
        <w:rPr>
          <w:rStyle w:val="CharSectno"/>
        </w:rPr>
        <w:t>50</w:t>
      </w:r>
      <w:r>
        <w:rPr>
          <w:snapToGrid w:val="0"/>
        </w:rPr>
        <w:t>.</w:t>
      </w:r>
      <w:r>
        <w:rPr>
          <w:snapToGrid w:val="0"/>
        </w:rPr>
        <w:tab/>
        <w:t>Vicarious responsibility of tenant for breach by other person lawfully on premises</w:t>
      </w:r>
      <w:bookmarkEnd w:id="94"/>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95" w:name="_Toc38006797"/>
      <w:bookmarkStart w:id="96" w:name="_Toc38007000"/>
      <w:bookmarkStart w:id="97" w:name="_Toc39039254"/>
      <w:bookmarkStart w:id="98" w:name="_Toc39039457"/>
      <w:r>
        <w:rPr>
          <w:rStyle w:val="CharDivNo"/>
        </w:rPr>
        <w:t>Division 3</w:t>
      </w:r>
      <w:r>
        <w:t> — </w:t>
      </w:r>
      <w:r>
        <w:rPr>
          <w:rStyle w:val="CharDivText"/>
        </w:rPr>
        <w:t>General</w:t>
      </w:r>
      <w:bookmarkEnd w:id="95"/>
      <w:bookmarkEnd w:id="96"/>
      <w:bookmarkEnd w:id="97"/>
      <w:bookmarkEnd w:id="98"/>
    </w:p>
    <w:p>
      <w:pPr>
        <w:pStyle w:val="Footnoteheading"/>
      </w:pPr>
      <w:r>
        <w:tab/>
        <w:t xml:space="preserve">[Heading inserted: No. 60 of 2011 s. 47.] </w:t>
      </w:r>
    </w:p>
    <w:p>
      <w:pPr>
        <w:pStyle w:val="Heading5"/>
      </w:pPr>
      <w:bookmarkStart w:id="99" w:name="_Toc39039458"/>
      <w:r>
        <w:rPr>
          <w:rStyle w:val="CharSectno"/>
        </w:rPr>
        <w:t>51</w:t>
      </w:r>
      <w:r>
        <w:t>.</w:t>
      </w:r>
      <w:r>
        <w:tab/>
        <w:t>Tenant to be notified of lessor’s name and address</w:t>
      </w:r>
      <w:bookmarkEnd w:id="99"/>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100" w:name="_Toc39039459"/>
      <w:r>
        <w:rPr>
          <w:rStyle w:val="CharSectno"/>
        </w:rPr>
        <w:t>52</w:t>
      </w:r>
      <w:r>
        <w:rPr>
          <w:snapToGrid w:val="0"/>
        </w:rPr>
        <w:t>.</w:t>
      </w:r>
      <w:r>
        <w:rPr>
          <w:snapToGrid w:val="0"/>
        </w:rPr>
        <w:tab/>
        <w:t>Failure to pay rent with intention it be recovered from security bond</w:t>
      </w:r>
      <w:bookmarkEnd w:id="100"/>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101" w:name="_Toc39039460"/>
      <w:r>
        <w:rPr>
          <w:rStyle w:val="CharSectno"/>
        </w:rPr>
        <w:t>53</w:t>
      </w:r>
      <w:r>
        <w:t>.</w:t>
      </w:r>
      <w:r>
        <w:tab/>
        <w:t>Tenant’s name, place of employment and forwarding address</w:t>
      </w:r>
      <w:bookmarkEnd w:id="101"/>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102" w:name="_Toc39039461"/>
      <w:r>
        <w:rPr>
          <w:rStyle w:val="CharSectno"/>
        </w:rPr>
        <w:t>54</w:t>
      </w:r>
      <w:r>
        <w:rPr>
          <w:snapToGrid w:val="0"/>
        </w:rPr>
        <w:t>.</w:t>
      </w:r>
      <w:r>
        <w:rPr>
          <w:snapToGrid w:val="0"/>
        </w:rPr>
        <w:tab/>
        <w:t>Lessor to deliver copy of agreement to tenant</w:t>
      </w:r>
      <w:bookmarkEnd w:id="102"/>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103" w:name="_Toc39039462"/>
      <w:r>
        <w:rPr>
          <w:rStyle w:val="CharSectno"/>
        </w:rPr>
        <w:t>55</w:t>
      </w:r>
      <w:r>
        <w:t>.</w:t>
      </w:r>
      <w:r>
        <w:tab/>
        <w:t>Cost of written agreement to be borne by lessor</w:t>
      </w:r>
      <w:bookmarkEnd w:id="103"/>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104" w:name="_Toc39039463"/>
      <w:r>
        <w:rPr>
          <w:rStyle w:val="CharSectno"/>
        </w:rPr>
        <w:t>56</w:t>
      </w:r>
      <w:r>
        <w:rPr>
          <w:snapToGrid w:val="0"/>
        </w:rPr>
        <w:t>.</w:t>
      </w:r>
      <w:r>
        <w:rPr>
          <w:snapToGrid w:val="0"/>
        </w:rPr>
        <w:tab/>
        <w:t>Discrimination against tenants with children</w:t>
      </w:r>
      <w:bookmarkEnd w:id="104"/>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105" w:name="_Toc39039464"/>
      <w:r>
        <w:rPr>
          <w:rStyle w:val="CharSectno"/>
        </w:rPr>
        <w:t>56A</w:t>
      </w:r>
      <w:r>
        <w:t>.</w:t>
      </w:r>
      <w:r>
        <w:tab/>
        <w:t>Discrimination against tenants subjected or exposed to family violence</w:t>
      </w:r>
      <w:bookmarkEnd w:id="105"/>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106" w:name="_Toc39039465"/>
      <w:r>
        <w:rPr>
          <w:rStyle w:val="CharSectno"/>
        </w:rPr>
        <w:t>57</w:t>
      </w:r>
      <w:r>
        <w:rPr>
          <w:snapToGrid w:val="0"/>
        </w:rPr>
        <w:t>.</w:t>
      </w:r>
      <w:r>
        <w:rPr>
          <w:snapToGrid w:val="0"/>
        </w:rPr>
        <w:tab/>
        <w:t>Accelerated rent and liquidated damages prohibited</w:t>
      </w:r>
      <w:bookmarkEnd w:id="106"/>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107" w:name="_Toc39039466"/>
      <w:r>
        <w:rPr>
          <w:rStyle w:val="CharSectno"/>
        </w:rPr>
        <w:t>58</w:t>
      </w:r>
      <w:r>
        <w:rPr>
          <w:snapToGrid w:val="0"/>
        </w:rPr>
        <w:t>.</w:t>
      </w:r>
      <w:r>
        <w:rPr>
          <w:snapToGrid w:val="0"/>
        </w:rPr>
        <w:tab/>
        <w:t>Duty of mitigation</w:t>
      </w:r>
      <w:bookmarkEnd w:id="107"/>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108" w:name="_Toc39039467"/>
      <w:r>
        <w:rPr>
          <w:rStyle w:val="CharSectno"/>
        </w:rPr>
        <w:t>59A</w:t>
      </w:r>
      <w:r>
        <w:t>.</w:t>
      </w:r>
      <w:r>
        <w:tab/>
        <w:t>Minors</w:t>
      </w:r>
      <w:bookmarkEnd w:id="108"/>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109" w:name="_Toc39039468"/>
      <w:r>
        <w:rPr>
          <w:rStyle w:val="CharSectno"/>
        </w:rPr>
        <w:t>59B</w:t>
      </w:r>
      <w:r>
        <w:t>.</w:t>
      </w:r>
      <w:r>
        <w:tab/>
        <w:t>Death of one of 2 or more tenants</w:t>
      </w:r>
      <w:bookmarkEnd w:id="109"/>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110" w:name="_Toc39039469"/>
      <w:r>
        <w:rPr>
          <w:rStyle w:val="CharSectno"/>
        </w:rPr>
        <w:t>59C</w:t>
      </w:r>
      <w:r>
        <w:t>.</w:t>
      </w:r>
      <w:r>
        <w:tab/>
        <w:t>Recognition of certain persons as tenants</w:t>
      </w:r>
      <w:bookmarkEnd w:id="110"/>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111" w:name="_Toc39039470"/>
      <w:r>
        <w:rPr>
          <w:rStyle w:val="CharSectno"/>
        </w:rPr>
        <w:t>59D</w:t>
      </w:r>
      <w:r>
        <w:t>.</w:t>
      </w:r>
      <w:r>
        <w:tab/>
        <w:t>Tenant compensation bonds</w:t>
      </w:r>
      <w:bookmarkEnd w:id="111"/>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112" w:name="_Toc39039471"/>
      <w:r>
        <w:rPr>
          <w:rStyle w:val="CharSectno"/>
        </w:rPr>
        <w:t>59E</w:t>
      </w:r>
      <w:r>
        <w:t>.</w:t>
      </w:r>
      <w:r>
        <w:tab/>
      </w:r>
      <w:r>
        <w:rPr>
          <w:snapToGrid w:val="0"/>
        </w:rPr>
        <w:t>Interference with quiet enjoyment</w:t>
      </w:r>
      <w:bookmarkEnd w:id="112"/>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113" w:name="_Toc39039472"/>
      <w:r>
        <w:rPr>
          <w:rStyle w:val="CharSectno"/>
        </w:rPr>
        <w:t>59F</w:t>
      </w:r>
      <w:r>
        <w:t>.</w:t>
      </w:r>
      <w:r>
        <w:tab/>
      </w:r>
      <w:r>
        <w:rPr>
          <w:snapToGrid w:val="0"/>
        </w:rPr>
        <w:t>Offences relating to security of residential premises</w:t>
      </w:r>
      <w:bookmarkEnd w:id="113"/>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114" w:name="_Toc38006813"/>
      <w:bookmarkStart w:id="115" w:name="_Toc38007016"/>
      <w:bookmarkStart w:id="116" w:name="_Toc39039270"/>
      <w:bookmarkStart w:id="117" w:name="_Toc39039473"/>
      <w:r>
        <w:rPr>
          <w:rStyle w:val="CharPartNo"/>
        </w:rPr>
        <w:t>Part V</w:t>
      </w:r>
      <w:r>
        <w:t> — </w:t>
      </w:r>
      <w:r>
        <w:rPr>
          <w:rStyle w:val="CharPartText"/>
        </w:rPr>
        <w:t>Termination of residential tenancy agreements</w:t>
      </w:r>
      <w:bookmarkEnd w:id="114"/>
      <w:bookmarkEnd w:id="115"/>
      <w:bookmarkEnd w:id="116"/>
      <w:bookmarkEnd w:id="117"/>
    </w:p>
    <w:p>
      <w:pPr>
        <w:pStyle w:val="Heading3"/>
      </w:pPr>
      <w:bookmarkStart w:id="118" w:name="_Toc38006814"/>
      <w:bookmarkStart w:id="119" w:name="_Toc38007017"/>
      <w:bookmarkStart w:id="120" w:name="_Toc39039271"/>
      <w:bookmarkStart w:id="121" w:name="_Toc39039474"/>
      <w:r>
        <w:rPr>
          <w:rStyle w:val="CharDivNo"/>
        </w:rPr>
        <w:t>Division 1</w:t>
      </w:r>
      <w:r>
        <w:t> — </w:t>
      </w:r>
      <w:r>
        <w:rPr>
          <w:rStyle w:val="CharDivText"/>
        </w:rPr>
        <w:t>How residential tenancy agreements are terminated</w:t>
      </w:r>
      <w:bookmarkEnd w:id="118"/>
      <w:bookmarkEnd w:id="119"/>
      <w:bookmarkEnd w:id="120"/>
      <w:bookmarkEnd w:id="121"/>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122" w:name="_Toc39039475"/>
      <w:r>
        <w:rPr>
          <w:rStyle w:val="CharSectno"/>
        </w:rPr>
        <w:t>60</w:t>
      </w:r>
      <w:r>
        <w:rPr>
          <w:snapToGrid w:val="0"/>
        </w:rPr>
        <w:t>.</w:t>
      </w:r>
      <w:r>
        <w:rPr>
          <w:snapToGrid w:val="0"/>
        </w:rPr>
        <w:tab/>
        <w:t>How residential tenancy agreements and tenant’s interests in agreements are terminated</w:t>
      </w:r>
      <w:bookmarkEnd w:id="122"/>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123" w:name="_Toc38006816"/>
      <w:bookmarkStart w:id="124" w:name="_Toc38007019"/>
      <w:bookmarkStart w:id="125" w:name="_Toc39039273"/>
      <w:bookmarkStart w:id="126" w:name="_Toc39039476"/>
      <w:r>
        <w:rPr>
          <w:rStyle w:val="CharDivNo"/>
        </w:rPr>
        <w:t>Division 2</w:t>
      </w:r>
      <w:r>
        <w:t> — </w:t>
      </w:r>
      <w:r>
        <w:rPr>
          <w:rStyle w:val="CharDivText"/>
        </w:rPr>
        <w:t>Notices of termination</w:t>
      </w:r>
      <w:bookmarkEnd w:id="123"/>
      <w:bookmarkEnd w:id="124"/>
      <w:bookmarkEnd w:id="125"/>
      <w:bookmarkEnd w:id="126"/>
    </w:p>
    <w:p>
      <w:pPr>
        <w:pStyle w:val="Footnoteheading"/>
      </w:pPr>
      <w:r>
        <w:tab/>
        <w:t>[Heading inserted: No. 60 of 2011 s. 60.]</w:t>
      </w:r>
    </w:p>
    <w:p>
      <w:pPr>
        <w:pStyle w:val="Heading5"/>
      </w:pPr>
      <w:bookmarkStart w:id="127" w:name="_Toc39039477"/>
      <w:r>
        <w:rPr>
          <w:rStyle w:val="CharSectno"/>
        </w:rPr>
        <w:t>61</w:t>
      </w:r>
      <w:r>
        <w:t>.</w:t>
      </w:r>
      <w:r>
        <w:tab/>
        <w:t>Form of notice of termination by lessor</w:t>
      </w:r>
      <w:bookmarkEnd w:id="127"/>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128" w:name="_Toc39039478"/>
      <w:r>
        <w:rPr>
          <w:rStyle w:val="CharSectno"/>
        </w:rPr>
        <w:t>62</w:t>
      </w:r>
      <w:r>
        <w:rPr>
          <w:snapToGrid w:val="0"/>
        </w:rPr>
        <w:t>.</w:t>
      </w:r>
      <w:r>
        <w:rPr>
          <w:snapToGrid w:val="0"/>
        </w:rPr>
        <w:tab/>
        <w:t>Notice of termination by lessor upon ground of breach of term of agreement</w:t>
      </w:r>
      <w:bookmarkEnd w:id="128"/>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129" w:name="_Toc39039479"/>
      <w:r>
        <w:rPr>
          <w:rStyle w:val="CharSectno"/>
        </w:rPr>
        <w:t>63</w:t>
      </w:r>
      <w:r>
        <w:t>.</w:t>
      </w:r>
      <w:r>
        <w:tab/>
        <w:t>Notice of termination by lessor who has entered into contract of sale</w:t>
      </w:r>
      <w:bookmarkEnd w:id="129"/>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130" w:name="_Toc39039480"/>
      <w:r>
        <w:rPr>
          <w:rStyle w:val="CharSectno"/>
        </w:rPr>
        <w:t>64</w:t>
      </w:r>
      <w:r>
        <w:t>.</w:t>
      </w:r>
      <w:r>
        <w:tab/>
        <w:t>Notice of termination by lessor without any ground</w:t>
      </w:r>
      <w:bookmarkEnd w:id="130"/>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131" w:name="_Toc39039481"/>
      <w:r>
        <w:rPr>
          <w:rStyle w:val="CharSectno"/>
        </w:rPr>
        <w:t>65</w:t>
      </w:r>
      <w:r>
        <w:rPr>
          <w:snapToGrid w:val="0"/>
        </w:rPr>
        <w:t>.</w:t>
      </w:r>
      <w:r>
        <w:rPr>
          <w:snapToGrid w:val="0"/>
        </w:rPr>
        <w:tab/>
        <w:t>Termination by lessor where s. 32 invoked</w:t>
      </w:r>
      <w:bookmarkEnd w:id="131"/>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132" w:name="_Toc39039482"/>
      <w:r>
        <w:rPr>
          <w:rStyle w:val="CharSectno"/>
        </w:rPr>
        <w:t>66</w:t>
      </w:r>
      <w:r>
        <w:rPr>
          <w:snapToGrid w:val="0"/>
        </w:rPr>
        <w:t>.</w:t>
      </w:r>
      <w:r>
        <w:rPr>
          <w:snapToGrid w:val="0"/>
        </w:rPr>
        <w:tab/>
        <w:t>Notice by lessor not waived by acceptance of rent</w:t>
      </w:r>
      <w:bookmarkEnd w:id="132"/>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133" w:name="_Toc39039483"/>
      <w:r>
        <w:rPr>
          <w:rStyle w:val="CharSectno"/>
        </w:rPr>
        <w:t>67</w:t>
      </w:r>
      <w:r>
        <w:rPr>
          <w:snapToGrid w:val="0"/>
        </w:rPr>
        <w:t>.</w:t>
      </w:r>
      <w:r>
        <w:rPr>
          <w:snapToGrid w:val="0"/>
        </w:rPr>
        <w:tab/>
        <w:t>Form of notice of termination by tenant</w:t>
      </w:r>
      <w:bookmarkEnd w:id="133"/>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134" w:name="_Toc39039484"/>
      <w:r>
        <w:rPr>
          <w:rStyle w:val="CharSectno"/>
        </w:rPr>
        <w:t>68</w:t>
      </w:r>
      <w:r>
        <w:rPr>
          <w:snapToGrid w:val="0"/>
        </w:rPr>
        <w:t>.</w:t>
      </w:r>
      <w:r>
        <w:rPr>
          <w:snapToGrid w:val="0"/>
        </w:rPr>
        <w:tab/>
        <w:t>Notice of termination by tenant</w:t>
      </w:r>
      <w:bookmarkEnd w:id="134"/>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135" w:name="_Toc39039485"/>
      <w:r>
        <w:rPr>
          <w:rStyle w:val="CharSectno"/>
        </w:rPr>
        <w:t>69</w:t>
      </w:r>
      <w:r>
        <w:rPr>
          <w:snapToGrid w:val="0"/>
        </w:rPr>
        <w:t>.</w:t>
      </w:r>
      <w:r>
        <w:rPr>
          <w:snapToGrid w:val="0"/>
        </w:rPr>
        <w:tab/>
        <w:t>Notice of termination by lessor or tenant where agreement frustrated</w:t>
      </w:r>
      <w:bookmarkEnd w:id="135"/>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136" w:name="_Toc39039486"/>
      <w:r>
        <w:rPr>
          <w:rStyle w:val="CharSectno"/>
        </w:rPr>
        <w:t>70A</w:t>
      </w:r>
      <w:r>
        <w:t>.</w:t>
      </w:r>
      <w:r>
        <w:tab/>
        <w:t>Notice of termination by lessor or tenant at end of fixed term tenancy</w:t>
      </w:r>
      <w:bookmarkEnd w:id="136"/>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137" w:name="_Toc39039487"/>
      <w:r>
        <w:rPr>
          <w:rStyle w:val="CharSectno"/>
        </w:rPr>
        <w:t>70</w:t>
      </w:r>
      <w:r>
        <w:rPr>
          <w:snapToGrid w:val="0"/>
        </w:rPr>
        <w:t>.</w:t>
      </w:r>
      <w:r>
        <w:rPr>
          <w:snapToGrid w:val="0"/>
        </w:rPr>
        <w:tab/>
        <w:t>Effect of notice of termination of periodic tenancy</w:t>
      </w:r>
      <w:bookmarkEnd w:id="137"/>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138" w:name="_Toc38006828"/>
      <w:bookmarkStart w:id="139" w:name="_Toc38007031"/>
      <w:bookmarkStart w:id="140" w:name="_Toc39039285"/>
      <w:bookmarkStart w:id="141" w:name="_Toc39039488"/>
      <w:r>
        <w:rPr>
          <w:rStyle w:val="CharDivNo"/>
        </w:rPr>
        <w:t>Division 2A</w:t>
      </w:r>
      <w:r>
        <w:t> — </w:t>
      </w:r>
      <w:r>
        <w:rPr>
          <w:rStyle w:val="CharDivText"/>
        </w:rPr>
        <w:t>Special provisions about terminating tenant’s interest on grounds of family violence</w:t>
      </w:r>
      <w:bookmarkEnd w:id="138"/>
      <w:bookmarkEnd w:id="139"/>
      <w:bookmarkEnd w:id="140"/>
      <w:bookmarkEnd w:id="141"/>
    </w:p>
    <w:p>
      <w:pPr>
        <w:pStyle w:val="Footnoteheading"/>
      </w:pPr>
      <w:r>
        <w:tab/>
        <w:t xml:space="preserve">[Heading inserted: No. 3 of 2019 s. 18.] </w:t>
      </w:r>
    </w:p>
    <w:p>
      <w:pPr>
        <w:pStyle w:val="Heading5"/>
      </w:pPr>
      <w:bookmarkStart w:id="142" w:name="_Toc39039489"/>
      <w:r>
        <w:rPr>
          <w:rStyle w:val="CharSectno"/>
        </w:rPr>
        <w:t>71AA</w:t>
      </w:r>
      <w:r>
        <w:t>.</w:t>
      </w:r>
      <w:r>
        <w:tab/>
        <w:t>Terms used</w:t>
      </w:r>
      <w:bookmarkEnd w:id="142"/>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143" w:name="_Toc39039490"/>
      <w:r>
        <w:rPr>
          <w:rStyle w:val="CharSectno"/>
        </w:rPr>
        <w:t>71AB</w:t>
      </w:r>
      <w:r>
        <w:t>.</w:t>
      </w:r>
      <w:r>
        <w:tab/>
        <w:t>Notice of termination of tenant’s interest on ground that tenant subject to family violence</w:t>
      </w:r>
      <w:bookmarkEnd w:id="143"/>
    </w:p>
    <w:p>
      <w:pPr>
        <w:pStyle w:val="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144" w:name="_Toc39039491"/>
      <w:r>
        <w:rPr>
          <w:rStyle w:val="CharSectno"/>
        </w:rPr>
        <w:t>71AC</w:t>
      </w:r>
      <w:r>
        <w:t>.</w:t>
      </w:r>
      <w:r>
        <w:tab/>
        <w:t>Review of notice of termination under s. 71AB</w:t>
      </w:r>
      <w:bookmarkEnd w:id="144"/>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145" w:name="_Toc39039492"/>
      <w:r>
        <w:rPr>
          <w:rStyle w:val="CharSectno"/>
        </w:rPr>
        <w:t>71AD</w:t>
      </w:r>
      <w:r>
        <w:t>.</w:t>
      </w:r>
      <w:r>
        <w:tab/>
        <w:t>Rights of co</w:t>
      </w:r>
      <w:r>
        <w:noBreakHyphen/>
        <w:t>tenants after notice under s. 71AB</w:t>
      </w:r>
      <w:bookmarkEnd w:id="145"/>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146" w:name="_Toc39039493"/>
      <w:r>
        <w:rPr>
          <w:rStyle w:val="CharSectno"/>
        </w:rPr>
        <w:t>71AE</w:t>
      </w:r>
      <w:r>
        <w:t>.</w:t>
      </w:r>
      <w:r>
        <w:tab/>
        <w:t>Termination of tenant’s interest by court on grounds of family violence</w:t>
      </w:r>
      <w:bookmarkEnd w:id="146"/>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ageBreakBefore/>
        <w:spacing w:before="0"/>
      </w:pPr>
      <w:bookmarkStart w:id="147" w:name="_Toc39039494"/>
      <w:r>
        <w:rPr>
          <w:rStyle w:val="CharSectno"/>
        </w:rPr>
        <w:t>71AF</w:t>
      </w:r>
      <w:r>
        <w:t>.</w:t>
      </w:r>
      <w:r>
        <w:tab/>
        <w:t>Review of Division</w:t>
      </w:r>
      <w:bookmarkEnd w:id="147"/>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148" w:name="_Toc38006835"/>
      <w:bookmarkStart w:id="149" w:name="_Toc38007038"/>
      <w:bookmarkStart w:id="150" w:name="_Toc39039292"/>
      <w:bookmarkStart w:id="151" w:name="_Toc39039495"/>
      <w:r>
        <w:rPr>
          <w:rStyle w:val="CharDivNo"/>
        </w:rPr>
        <w:t>Division 3</w:t>
      </w:r>
      <w:r>
        <w:t> — </w:t>
      </w:r>
      <w:r>
        <w:rPr>
          <w:rStyle w:val="CharDivText"/>
        </w:rPr>
        <w:t>Special provisions about terminating social housing tenancy agreements</w:t>
      </w:r>
      <w:bookmarkEnd w:id="148"/>
      <w:bookmarkEnd w:id="149"/>
      <w:bookmarkEnd w:id="150"/>
      <w:bookmarkEnd w:id="151"/>
    </w:p>
    <w:p>
      <w:pPr>
        <w:pStyle w:val="Footnoteheading"/>
      </w:pPr>
      <w:r>
        <w:tab/>
        <w:t>[Heading inserted: No. 60 of 2011 s. 92.]</w:t>
      </w:r>
    </w:p>
    <w:p>
      <w:pPr>
        <w:pStyle w:val="Heading4"/>
      </w:pPr>
      <w:bookmarkStart w:id="152" w:name="_Toc38006836"/>
      <w:bookmarkStart w:id="153" w:name="_Toc38007039"/>
      <w:bookmarkStart w:id="154" w:name="_Toc39039293"/>
      <w:bookmarkStart w:id="155" w:name="_Toc39039496"/>
      <w:r>
        <w:t>Subdivision 1 — Preliminary</w:t>
      </w:r>
      <w:bookmarkEnd w:id="152"/>
      <w:bookmarkEnd w:id="153"/>
      <w:bookmarkEnd w:id="154"/>
      <w:bookmarkEnd w:id="155"/>
    </w:p>
    <w:p>
      <w:pPr>
        <w:pStyle w:val="Footnoteheading"/>
      </w:pPr>
      <w:r>
        <w:tab/>
        <w:t>[Heading inserted: No. 60 of 2011 s. 92.]</w:t>
      </w:r>
    </w:p>
    <w:p>
      <w:pPr>
        <w:pStyle w:val="Heading5"/>
      </w:pPr>
      <w:bookmarkStart w:id="156" w:name="_Toc39039497"/>
      <w:r>
        <w:rPr>
          <w:rStyle w:val="CharSectno"/>
        </w:rPr>
        <w:t>71A</w:t>
      </w:r>
      <w:r>
        <w:t>.</w:t>
      </w:r>
      <w:r>
        <w:tab/>
        <w:t>Terms used</w:t>
      </w:r>
      <w:bookmarkEnd w:id="156"/>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157" w:name="_Toc39039498"/>
      <w:r>
        <w:rPr>
          <w:rStyle w:val="CharSectno"/>
        </w:rPr>
        <w:t>71B</w:t>
      </w:r>
      <w:r>
        <w:t>.</w:t>
      </w:r>
      <w:r>
        <w:tab/>
        <w:t>Application of Division</w:t>
      </w:r>
      <w:bookmarkEnd w:id="157"/>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158" w:name="_Toc38006839"/>
      <w:bookmarkStart w:id="159" w:name="_Toc38007042"/>
      <w:bookmarkStart w:id="160" w:name="_Toc39039296"/>
      <w:bookmarkStart w:id="161" w:name="_Toc39039499"/>
      <w:r>
        <w:t>Subdivision 2 — Notice of termination where tenant not eligible for social housing premises</w:t>
      </w:r>
      <w:bookmarkEnd w:id="158"/>
      <w:bookmarkEnd w:id="159"/>
      <w:bookmarkEnd w:id="160"/>
      <w:bookmarkEnd w:id="161"/>
    </w:p>
    <w:p>
      <w:pPr>
        <w:pStyle w:val="Footnoteheading"/>
      </w:pPr>
      <w:r>
        <w:tab/>
        <w:t>[Heading inserted: No. 60 of 2011 s. 92.]</w:t>
      </w:r>
    </w:p>
    <w:p>
      <w:pPr>
        <w:pStyle w:val="Heading5"/>
        <w:rPr>
          <w:snapToGrid w:val="0"/>
        </w:rPr>
      </w:pPr>
      <w:bookmarkStart w:id="162" w:name="_Toc39039500"/>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162"/>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163" w:name="_Toc39039501"/>
      <w:r>
        <w:rPr>
          <w:rStyle w:val="CharSectno"/>
        </w:rPr>
        <w:t>71D</w:t>
      </w:r>
      <w:r>
        <w:t>.</w:t>
      </w:r>
      <w:r>
        <w:tab/>
        <w:t>Assessment of tenants eligibility for social housing premises</w:t>
      </w:r>
      <w:bookmarkEnd w:id="163"/>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164" w:name="_Toc39039502"/>
      <w:r>
        <w:rPr>
          <w:rStyle w:val="CharSectno"/>
        </w:rPr>
        <w:t>71E</w:t>
      </w:r>
      <w:r>
        <w:t>.</w:t>
      </w:r>
      <w:r>
        <w:tab/>
        <w:t>Criteria for assessing eligibility of tenants for social housing premises under s. 71D</w:t>
      </w:r>
      <w:bookmarkEnd w:id="164"/>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165" w:name="_Toc39039503"/>
      <w:r>
        <w:rPr>
          <w:rStyle w:val="CharSectno"/>
        </w:rPr>
        <w:t>71F</w:t>
      </w:r>
      <w:r>
        <w:t>.</w:t>
      </w:r>
      <w:r>
        <w:tab/>
        <w:t>Review of decision to give notice on ground that tenant not eligible for social housing premises</w:t>
      </w:r>
      <w:bookmarkEnd w:id="165"/>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166" w:name="_Toc39039504"/>
      <w:r>
        <w:rPr>
          <w:rStyle w:val="CharSectno"/>
        </w:rPr>
        <w:t>71G</w:t>
      </w:r>
      <w:r>
        <w:t>.</w:t>
      </w:r>
      <w:r>
        <w:tab/>
        <w:t xml:space="preserve">Time </w:t>
      </w:r>
      <w:r>
        <w:rPr>
          <w:snapToGrid w:val="0"/>
        </w:rPr>
        <w:t>periods to be observed where notice of termination given under this Subdivision</w:t>
      </w:r>
      <w:bookmarkEnd w:id="166"/>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167" w:name="_Toc38006845"/>
      <w:bookmarkStart w:id="168" w:name="_Toc38007048"/>
      <w:bookmarkStart w:id="169" w:name="_Toc39039302"/>
      <w:bookmarkStart w:id="170" w:name="_Toc39039505"/>
      <w:r>
        <w:t>Subdivision 3 — Notice of termination where tenant offered alternative social housing premises</w:t>
      </w:r>
      <w:bookmarkEnd w:id="167"/>
      <w:bookmarkEnd w:id="168"/>
      <w:bookmarkEnd w:id="169"/>
      <w:bookmarkEnd w:id="170"/>
    </w:p>
    <w:p>
      <w:pPr>
        <w:pStyle w:val="Footnoteheading"/>
        <w:spacing w:before="100"/>
      </w:pPr>
      <w:r>
        <w:tab/>
        <w:t>[Heading inserted: No. 60 of 2011 s. 92.]</w:t>
      </w:r>
    </w:p>
    <w:p>
      <w:pPr>
        <w:pStyle w:val="Heading5"/>
        <w:rPr>
          <w:snapToGrid w:val="0"/>
        </w:rPr>
      </w:pPr>
      <w:bookmarkStart w:id="171" w:name="_Toc39039506"/>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171"/>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172" w:name="_Toc39039507"/>
      <w:r>
        <w:rPr>
          <w:rStyle w:val="CharSectno"/>
        </w:rPr>
        <w:t>71I</w:t>
      </w:r>
      <w:r>
        <w:t>.</w:t>
      </w:r>
      <w:r>
        <w:tab/>
        <w:t>Review of decision to give notice on ground that tenant offered alternative social housing premises</w:t>
      </w:r>
      <w:bookmarkEnd w:id="172"/>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173" w:name="_Toc39039508"/>
      <w:r>
        <w:rPr>
          <w:rStyle w:val="CharSectno"/>
        </w:rPr>
        <w:t>71J</w:t>
      </w:r>
      <w:r>
        <w:t>.</w:t>
      </w:r>
      <w:r>
        <w:tab/>
        <w:t xml:space="preserve">Time periods to be observed </w:t>
      </w:r>
      <w:r>
        <w:rPr>
          <w:snapToGrid w:val="0"/>
        </w:rPr>
        <w:t xml:space="preserve">where notice of termination given </w:t>
      </w:r>
      <w:r>
        <w:t>under this Subdivision</w:t>
      </w:r>
      <w:bookmarkEnd w:id="173"/>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ageBreakBefore/>
        <w:spacing w:before="0"/>
      </w:pPr>
      <w:bookmarkStart w:id="174" w:name="_Toc38006849"/>
      <w:bookmarkStart w:id="175" w:name="_Toc38007052"/>
      <w:bookmarkStart w:id="176" w:name="_Toc39039306"/>
      <w:bookmarkStart w:id="177" w:name="_Toc39039509"/>
      <w:r>
        <w:rPr>
          <w:rStyle w:val="CharDivNo"/>
        </w:rPr>
        <w:t>Division 4</w:t>
      </w:r>
      <w:r>
        <w:t> — </w:t>
      </w:r>
      <w:r>
        <w:rPr>
          <w:rStyle w:val="CharDivText"/>
        </w:rPr>
        <w:t>Orders for termination of residential tenancy agreement</w:t>
      </w:r>
      <w:bookmarkEnd w:id="174"/>
      <w:bookmarkEnd w:id="175"/>
      <w:bookmarkEnd w:id="176"/>
      <w:bookmarkEnd w:id="177"/>
    </w:p>
    <w:p>
      <w:pPr>
        <w:pStyle w:val="Footnoteheading"/>
      </w:pPr>
      <w:r>
        <w:tab/>
        <w:t>[Heading inserted: No. 60 of 2011 s. 69.]</w:t>
      </w:r>
    </w:p>
    <w:p>
      <w:pPr>
        <w:pStyle w:val="Heading5"/>
        <w:rPr>
          <w:snapToGrid w:val="0"/>
        </w:rPr>
      </w:pPr>
      <w:bookmarkStart w:id="178" w:name="_Toc39039510"/>
      <w:r>
        <w:rPr>
          <w:rStyle w:val="CharSectno"/>
        </w:rPr>
        <w:t>71</w:t>
      </w:r>
      <w:r>
        <w:rPr>
          <w:snapToGrid w:val="0"/>
        </w:rPr>
        <w:t>.</w:t>
      </w:r>
      <w:r>
        <w:rPr>
          <w:snapToGrid w:val="0"/>
        </w:rPr>
        <w:tab/>
        <w:t>Application by lessor for termination and order for possession</w:t>
      </w:r>
      <w:bookmarkEnd w:id="178"/>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179" w:name="_Toc39039511"/>
      <w:r>
        <w:rPr>
          <w:rStyle w:val="CharSectno"/>
        </w:rPr>
        <w:t>72</w:t>
      </w:r>
      <w:r>
        <w:rPr>
          <w:snapToGrid w:val="0"/>
        </w:rPr>
        <w:t>.</w:t>
      </w:r>
      <w:r>
        <w:rPr>
          <w:snapToGrid w:val="0"/>
        </w:rPr>
        <w:tab/>
        <w:t>Application for termination and order for possession in relation to fixed term agreements</w:t>
      </w:r>
      <w:bookmarkEnd w:id="179"/>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180" w:name="_Toc39039512"/>
      <w:r>
        <w:rPr>
          <w:rStyle w:val="CharSectno"/>
        </w:rPr>
        <w:t>73A</w:t>
      </w:r>
      <w:r>
        <w:t>.</w:t>
      </w:r>
      <w:r>
        <w:tab/>
        <w:t>Notice of termination not required in certain cases</w:t>
      </w:r>
      <w:bookmarkEnd w:id="180"/>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181" w:name="_Toc39039513"/>
      <w:r>
        <w:rPr>
          <w:rStyle w:val="CharSectno"/>
        </w:rPr>
        <w:t>73</w:t>
      </w:r>
      <w:r>
        <w:rPr>
          <w:snapToGrid w:val="0"/>
        </w:rPr>
        <w:t>.</w:t>
      </w:r>
      <w:r>
        <w:rPr>
          <w:snapToGrid w:val="0"/>
        </w:rPr>
        <w:tab/>
        <w:t>Termination of agreement where tenant causing serious damage or injury</w:t>
      </w:r>
      <w:bookmarkEnd w:id="18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182" w:name="_Toc39039514"/>
      <w:r>
        <w:rPr>
          <w:rStyle w:val="CharSectno"/>
        </w:rPr>
        <w:t>74</w:t>
      </w:r>
      <w:r>
        <w:rPr>
          <w:snapToGrid w:val="0"/>
        </w:rPr>
        <w:t>.</w:t>
      </w:r>
      <w:r>
        <w:rPr>
          <w:snapToGrid w:val="0"/>
        </w:rPr>
        <w:tab/>
        <w:t>Termination of agreement where lessor or tenant would otherwise suffer undue hardship</w:t>
      </w:r>
      <w:bookmarkEnd w:id="182"/>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183" w:name="_Toc39039515"/>
      <w:r>
        <w:rPr>
          <w:rStyle w:val="CharSectno"/>
        </w:rPr>
        <w:t>75A</w:t>
      </w:r>
      <w:r>
        <w:t>.</w:t>
      </w:r>
      <w:r>
        <w:tab/>
        <w:t>Termination of social housing tenancy agreement due to objectionable behaviour</w:t>
      </w:r>
      <w:bookmarkEnd w:id="183"/>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184" w:name="_Toc39039516"/>
      <w:r>
        <w:rPr>
          <w:rStyle w:val="CharSectno"/>
        </w:rPr>
        <w:t>75</w:t>
      </w:r>
      <w:r>
        <w:rPr>
          <w:snapToGrid w:val="0"/>
        </w:rPr>
        <w:t>.</w:t>
      </w:r>
      <w:r>
        <w:rPr>
          <w:snapToGrid w:val="0"/>
        </w:rPr>
        <w:tab/>
        <w:t>Termination of agreement for breach by lessor</w:t>
      </w:r>
      <w:bookmarkEnd w:id="184"/>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185" w:name="_Toc39039517"/>
      <w:r>
        <w:rPr>
          <w:rStyle w:val="CharSectno"/>
        </w:rPr>
        <w:t>76A</w:t>
      </w:r>
      <w:r>
        <w:t>.</w:t>
      </w:r>
      <w:r>
        <w:tab/>
        <w:t>Termination of agreement by lessor if premises abandoned</w:t>
      </w:r>
      <w:bookmarkEnd w:id="185"/>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186" w:name="_Toc39039518"/>
      <w:r>
        <w:rPr>
          <w:rStyle w:val="CharSectno"/>
        </w:rPr>
        <w:t>76B</w:t>
      </w:r>
      <w:r>
        <w:t>.</w:t>
      </w:r>
      <w:r>
        <w:tab/>
        <w:t>Dispute about s. 76A notice</w:t>
      </w:r>
      <w:bookmarkEnd w:id="186"/>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187" w:name="_Toc38006859"/>
      <w:bookmarkStart w:id="188" w:name="_Toc38007062"/>
      <w:bookmarkStart w:id="189" w:name="_Toc39039316"/>
      <w:bookmarkStart w:id="190" w:name="_Toc39039519"/>
      <w:r>
        <w:rPr>
          <w:rStyle w:val="CharDivNo"/>
        </w:rPr>
        <w:t>Division 5</w:t>
      </w:r>
      <w:r>
        <w:t> — </w:t>
      </w:r>
      <w:r>
        <w:rPr>
          <w:rStyle w:val="CharDivText"/>
        </w:rPr>
        <w:t>General</w:t>
      </w:r>
      <w:bookmarkEnd w:id="187"/>
      <w:bookmarkEnd w:id="188"/>
      <w:bookmarkEnd w:id="189"/>
      <w:bookmarkEnd w:id="190"/>
    </w:p>
    <w:p>
      <w:pPr>
        <w:pStyle w:val="Footnoteheading"/>
        <w:spacing w:before="80"/>
      </w:pPr>
      <w:r>
        <w:tab/>
        <w:t>[Heading inserted: No. 60 of 2011 s. 74.]</w:t>
      </w:r>
    </w:p>
    <w:p>
      <w:pPr>
        <w:pStyle w:val="Heading5"/>
      </w:pPr>
      <w:bookmarkStart w:id="191" w:name="_Toc39039520"/>
      <w:r>
        <w:rPr>
          <w:rStyle w:val="CharSectno"/>
        </w:rPr>
        <w:t>76C</w:t>
      </w:r>
      <w:r>
        <w:t>.</w:t>
      </w:r>
      <w:r>
        <w:tab/>
        <w:t>Fixed term tenancies continued as periodic tenancies</w:t>
      </w:r>
      <w:bookmarkEnd w:id="191"/>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192" w:name="_Toc39039521"/>
      <w:r>
        <w:rPr>
          <w:rStyle w:val="CharSectno"/>
        </w:rPr>
        <w:t>76</w:t>
      </w:r>
      <w:r>
        <w:rPr>
          <w:snapToGrid w:val="0"/>
        </w:rPr>
        <w:t>.</w:t>
      </w:r>
      <w:r>
        <w:rPr>
          <w:snapToGrid w:val="0"/>
        </w:rPr>
        <w:tab/>
        <w:t>Compensation to lessor for holding over</w:t>
      </w:r>
      <w:bookmarkEnd w:id="192"/>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193" w:name="_Toc39039522"/>
      <w:r>
        <w:rPr>
          <w:rStyle w:val="CharSectno"/>
        </w:rPr>
        <w:t>77</w:t>
      </w:r>
      <w:r>
        <w:t>.</w:t>
      </w:r>
      <w:r>
        <w:tab/>
        <w:t>Abandonment of premises</w:t>
      </w:r>
      <w:bookmarkEnd w:id="193"/>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194" w:name="_Toc39039523"/>
      <w:r>
        <w:rPr>
          <w:rStyle w:val="CharSectno"/>
        </w:rPr>
        <w:t>78A</w:t>
      </w:r>
      <w:r>
        <w:t>.</w:t>
      </w:r>
      <w:r>
        <w:tab/>
        <w:t>Order about abandonment</w:t>
      </w:r>
      <w:bookmarkEnd w:id="194"/>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195" w:name="_Toc39039524"/>
      <w:r>
        <w:rPr>
          <w:rStyle w:val="CharSectno"/>
        </w:rPr>
        <w:t>78B</w:t>
      </w:r>
      <w:r>
        <w:t>.</w:t>
      </w:r>
      <w:r>
        <w:tab/>
        <w:t>Review of abandonment order</w:t>
      </w:r>
      <w:bookmarkEnd w:id="195"/>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196" w:name="_Toc39039525"/>
      <w:r>
        <w:rPr>
          <w:rStyle w:val="CharSectno"/>
        </w:rPr>
        <w:t>78</w:t>
      </w:r>
      <w:r>
        <w:rPr>
          <w:snapToGrid w:val="0"/>
        </w:rPr>
        <w:t>.</w:t>
      </w:r>
      <w:r>
        <w:rPr>
          <w:snapToGrid w:val="0"/>
        </w:rPr>
        <w:tab/>
      </w:r>
      <w:r>
        <w:rPr>
          <w:bCs/>
        </w:rPr>
        <w:t>Right of lessor to compensation where tenant abandons premises</w:t>
      </w:r>
      <w:bookmarkEnd w:id="196"/>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197" w:name="_Toc39039526"/>
      <w:r>
        <w:rPr>
          <w:rStyle w:val="CharSectno"/>
        </w:rPr>
        <w:t>79</w:t>
      </w:r>
      <w:r>
        <w:rPr>
          <w:snapToGrid w:val="0"/>
        </w:rPr>
        <w:t>.</w:t>
      </w:r>
      <w:r>
        <w:rPr>
          <w:snapToGrid w:val="0"/>
        </w:rPr>
        <w:tab/>
        <w:t>Abandoned goods</w:t>
      </w:r>
      <w:bookmarkEnd w:id="197"/>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198" w:name="_Toc39039527"/>
      <w:r>
        <w:rPr>
          <w:rStyle w:val="CharSectno"/>
        </w:rPr>
        <w:t>80A</w:t>
      </w:r>
      <w:r>
        <w:t>.</w:t>
      </w:r>
      <w:r>
        <w:tab/>
        <w:t>Abandoned documents</w:t>
      </w:r>
      <w:bookmarkEnd w:id="198"/>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199" w:name="_Toc39039528"/>
      <w:r>
        <w:rPr>
          <w:rStyle w:val="CharSectno"/>
        </w:rPr>
        <w:t>80</w:t>
      </w:r>
      <w:r>
        <w:rPr>
          <w:snapToGrid w:val="0"/>
        </w:rPr>
        <w:t>.</w:t>
      </w:r>
      <w:r>
        <w:rPr>
          <w:snapToGrid w:val="0"/>
        </w:rPr>
        <w:tab/>
        <w:t>Recovery of possession of premises prohibited except by court order</w:t>
      </w:r>
      <w:bookmarkEnd w:id="199"/>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200" w:name="_Toc39039529"/>
      <w:r>
        <w:rPr>
          <w:rStyle w:val="CharSectno"/>
        </w:rPr>
        <w:t>81A</w:t>
      </w:r>
      <w:r>
        <w:t>.</w:t>
      </w:r>
      <w:r>
        <w:tab/>
        <w:t>Mortgagee repossessions of rented properties</w:t>
      </w:r>
      <w:bookmarkEnd w:id="200"/>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201" w:name="_Toc39039530"/>
      <w:r>
        <w:rPr>
          <w:rStyle w:val="CharSectno"/>
        </w:rPr>
        <w:t>81B</w:t>
      </w:r>
      <w:r>
        <w:t>.</w:t>
      </w:r>
      <w:r>
        <w:tab/>
        <w:t>Notice of proposed recovery of premises by person with superior title</w:t>
      </w:r>
      <w:bookmarkEnd w:id="201"/>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202" w:name="_Toc39039531"/>
      <w:r>
        <w:rPr>
          <w:rStyle w:val="CharSectno"/>
        </w:rPr>
        <w:t>81</w:t>
      </w:r>
      <w:r>
        <w:t>.</w:t>
      </w:r>
      <w:r>
        <w:tab/>
        <w:t>Order for tenancy against person with superior title</w:t>
      </w:r>
      <w:bookmarkEnd w:id="202"/>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203" w:name="_Toc38006872"/>
      <w:bookmarkStart w:id="204" w:name="_Toc38007075"/>
      <w:bookmarkStart w:id="205" w:name="_Toc39039329"/>
      <w:bookmarkStart w:id="206" w:name="_Toc39039532"/>
      <w:r>
        <w:rPr>
          <w:rStyle w:val="CharPartNo"/>
        </w:rPr>
        <w:t>Part VIA</w:t>
      </w:r>
      <w:r>
        <w:t> — </w:t>
      </w:r>
      <w:r>
        <w:rPr>
          <w:rStyle w:val="CharPartText"/>
        </w:rPr>
        <w:t>Residential tenancy databases</w:t>
      </w:r>
      <w:bookmarkEnd w:id="203"/>
      <w:bookmarkEnd w:id="204"/>
      <w:bookmarkEnd w:id="205"/>
      <w:bookmarkEnd w:id="206"/>
    </w:p>
    <w:p>
      <w:pPr>
        <w:pStyle w:val="Footnoteheading"/>
      </w:pPr>
      <w:r>
        <w:tab/>
        <w:t xml:space="preserve">[Heading inserted: No. 60 of 2011 s. 96.] </w:t>
      </w:r>
    </w:p>
    <w:p>
      <w:pPr>
        <w:pStyle w:val="Heading3"/>
      </w:pPr>
      <w:bookmarkStart w:id="207" w:name="_Toc38006873"/>
      <w:bookmarkStart w:id="208" w:name="_Toc38007076"/>
      <w:bookmarkStart w:id="209" w:name="_Toc39039330"/>
      <w:bookmarkStart w:id="210" w:name="_Toc39039533"/>
      <w:r>
        <w:rPr>
          <w:rStyle w:val="CharDivNo"/>
        </w:rPr>
        <w:t>Division 1</w:t>
      </w:r>
      <w:r>
        <w:t> — </w:t>
      </w:r>
      <w:r>
        <w:rPr>
          <w:rStyle w:val="CharDivText"/>
        </w:rPr>
        <w:t>Preliminary</w:t>
      </w:r>
      <w:bookmarkEnd w:id="207"/>
      <w:bookmarkEnd w:id="208"/>
      <w:bookmarkEnd w:id="209"/>
      <w:bookmarkEnd w:id="210"/>
    </w:p>
    <w:p>
      <w:pPr>
        <w:pStyle w:val="Footnoteheading"/>
      </w:pPr>
      <w:r>
        <w:tab/>
        <w:t xml:space="preserve">[Heading inserted: No. 60 of 2011 s. 96.] </w:t>
      </w:r>
    </w:p>
    <w:p>
      <w:pPr>
        <w:pStyle w:val="Heading5"/>
      </w:pPr>
      <w:bookmarkStart w:id="211" w:name="_Toc39039534"/>
      <w:r>
        <w:rPr>
          <w:rStyle w:val="CharSectno"/>
        </w:rPr>
        <w:t>82A</w:t>
      </w:r>
      <w:r>
        <w:t>.</w:t>
      </w:r>
      <w:r>
        <w:tab/>
        <w:t>Terms used</w:t>
      </w:r>
      <w:bookmarkEnd w:id="211"/>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212" w:name="_Toc39039535"/>
      <w:r>
        <w:rPr>
          <w:rStyle w:val="CharSectno"/>
        </w:rPr>
        <w:t>82B</w:t>
      </w:r>
      <w:r>
        <w:t>.</w:t>
      </w:r>
      <w:r>
        <w:tab/>
        <w:t>Application of Part</w:t>
      </w:r>
      <w:bookmarkEnd w:id="212"/>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213" w:name="_Toc38006876"/>
      <w:bookmarkStart w:id="214" w:name="_Toc38007079"/>
      <w:bookmarkStart w:id="215" w:name="_Toc39039333"/>
      <w:bookmarkStart w:id="216" w:name="_Toc39039536"/>
      <w:r>
        <w:rPr>
          <w:rStyle w:val="CharDivNo"/>
        </w:rPr>
        <w:t>Division 2</w:t>
      </w:r>
      <w:r>
        <w:t> — </w:t>
      </w:r>
      <w:r>
        <w:rPr>
          <w:rStyle w:val="CharDivText"/>
        </w:rPr>
        <w:t>Tenancy database information</w:t>
      </w:r>
      <w:bookmarkEnd w:id="213"/>
      <w:bookmarkEnd w:id="214"/>
      <w:bookmarkEnd w:id="215"/>
      <w:bookmarkEnd w:id="216"/>
    </w:p>
    <w:p>
      <w:pPr>
        <w:pStyle w:val="Footnoteheading"/>
        <w:spacing w:before="100"/>
      </w:pPr>
      <w:r>
        <w:tab/>
        <w:t xml:space="preserve">[Heading inserted: No. 60 of 2011 s. 96.] </w:t>
      </w:r>
    </w:p>
    <w:p>
      <w:pPr>
        <w:pStyle w:val="Heading5"/>
      </w:pPr>
      <w:bookmarkStart w:id="217" w:name="_Toc39039537"/>
      <w:r>
        <w:rPr>
          <w:rStyle w:val="CharSectno"/>
        </w:rPr>
        <w:t>82C</w:t>
      </w:r>
      <w:r>
        <w:t>.</w:t>
      </w:r>
      <w:r>
        <w:tab/>
        <w:t>Notice of usual use of database</w:t>
      </w:r>
      <w:bookmarkEnd w:id="217"/>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keepNext/>
        <w:keepLines/>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218" w:name="_Toc39039538"/>
      <w:r>
        <w:rPr>
          <w:rStyle w:val="CharSectno"/>
        </w:rPr>
        <w:t>82D</w:t>
      </w:r>
      <w:r>
        <w:t>.</w:t>
      </w:r>
      <w:r>
        <w:tab/>
        <w:t>Notice of listing if database used</w:t>
      </w:r>
      <w:bookmarkEnd w:id="218"/>
    </w:p>
    <w:p>
      <w:pPr>
        <w:pStyle w:val="Subsection"/>
        <w:keepNext/>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219" w:name="_Toc39039539"/>
      <w:r>
        <w:rPr>
          <w:rStyle w:val="CharSectno"/>
        </w:rPr>
        <w:t>82E</w:t>
      </w:r>
      <w:r>
        <w:t>.</w:t>
      </w:r>
      <w:r>
        <w:tab/>
        <w:t>Listing can be made only for particular breaches by particular persons</w:t>
      </w:r>
      <w:bookmarkEnd w:id="219"/>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(ba)</w:t>
      </w:r>
      <w:r>
        <w:tab/>
        <w:t xml:space="preserve">the breach does not consist of, or relate to — </w:t>
      </w:r>
    </w:p>
    <w:p>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Indenti"/>
      </w:pPr>
      <w:r>
        <w:tab/>
        <w:t>(ii)</w:t>
      </w:r>
      <w:r>
        <w:tab/>
        <w:t>any other matter relating to the effects of the COVID</w:t>
      </w:r>
      <w:r>
        <w:noBreakHyphen/>
        <w:t>19 pandemic prescribed by regulations;</w:t>
      </w:r>
    </w:p>
    <w:p>
      <w:pPr>
        <w:pStyle w:val="Indenta"/>
      </w:pPr>
      <w:r>
        <w:tab/>
      </w:r>
      <w:r>
        <w:tab/>
        <w:t>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18 of 2020 s. 78.] </w:t>
      </w:r>
    </w:p>
    <w:p>
      <w:pPr>
        <w:pStyle w:val="Heading5"/>
      </w:pPr>
      <w:bookmarkStart w:id="220" w:name="_Toc39039540"/>
      <w:r>
        <w:rPr>
          <w:rStyle w:val="CharSectno"/>
        </w:rPr>
        <w:t>82F</w:t>
      </w:r>
      <w:r>
        <w:t>.</w:t>
      </w:r>
      <w:r>
        <w:tab/>
        <w:t>Further restriction on listing</w:t>
      </w:r>
      <w:bookmarkEnd w:id="220"/>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221" w:name="_Toc39039541"/>
      <w:r>
        <w:rPr>
          <w:rStyle w:val="CharSectno"/>
        </w:rPr>
        <w:t>82G</w:t>
      </w:r>
      <w:r>
        <w:t>.</w:t>
      </w:r>
      <w:r>
        <w:tab/>
        <w:t>Ensuring quality of listing — lessor’s or agent’s obligation</w:t>
      </w:r>
      <w:bookmarkEnd w:id="221"/>
    </w:p>
    <w:p>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222" w:name="_Toc39039542"/>
      <w:r>
        <w:rPr>
          <w:rStyle w:val="CharSectno"/>
        </w:rPr>
        <w:t>82H</w:t>
      </w:r>
      <w:r>
        <w:t>.</w:t>
      </w:r>
      <w:r>
        <w:tab/>
        <w:t>Ensuring quality of listing — database operator’s obligation</w:t>
      </w:r>
      <w:bookmarkEnd w:id="222"/>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223" w:name="_Toc39039543"/>
      <w:r>
        <w:rPr>
          <w:rStyle w:val="CharSectno"/>
        </w:rPr>
        <w:t>82I</w:t>
      </w:r>
      <w:r>
        <w:t>.</w:t>
      </w:r>
      <w:r>
        <w:tab/>
        <w:t>Providing copy of personal information listed</w:t>
      </w:r>
      <w:bookmarkEnd w:id="223"/>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224" w:name="_Toc39039544"/>
      <w:r>
        <w:rPr>
          <w:rStyle w:val="CharSectno"/>
        </w:rPr>
        <w:t>82J</w:t>
      </w:r>
      <w:r>
        <w:t>.</w:t>
      </w:r>
      <w:r>
        <w:tab/>
        <w:t>Disputes about listings</w:t>
      </w:r>
      <w:bookmarkEnd w:id="224"/>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keepNext/>
        <w:keepLines/>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225" w:name="_Toc39039545"/>
      <w:r>
        <w:rPr>
          <w:rStyle w:val="CharSectno"/>
        </w:rPr>
        <w:t>82K</w:t>
      </w:r>
      <w:r>
        <w:t>.</w:t>
      </w:r>
      <w:r>
        <w:tab/>
        <w:t>Keeping personal information listed</w:t>
      </w:r>
      <w:bookmarkEnd w:id="225"/>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keepNext/>
        <w:keepLines/>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226" w:name="_Toc38006886"/>
      <w:bookmarkStart w:id="227" w:name="_Toc38007089"/>
      <w:bookmarkStart w:id="228" w:name="_Toc39039343"/>
      <w:bookmarkStart w:id="229" w:name="_Toc39039546"/>
      <w:r>
        <w:rPr>
          <w:rStyle w:val="CharPartNo"/>
        </w:rPr>
        <w:t>Part VI</w:t>
      </w:r>
      <w:r>
        <w:rPr>
          <w:rStyle w:val="CharDivNo"/>
        </w:rPr>
        <w:t> </w:t>
      </w:r>
      <w:r>
        <w:t>—</w:t>
      </w:r>
      <w:r>
        <w:rPr>
          <w:rStyle w:val="CharDivText"/>
        </w:rPr>
        <w:t> </w:t>
      </w:r>
      <w:r>
        <w:rPr>
          <w:rStyle w:val="CharPartText"/>
        </w:rPr>
        <w:t>Miscellaneous</w:t>
      </w:r>
      <w:bookmarkEnd w:id="226"/>
      <w:bookmarkEnd w:id="227"/>
      <w:bookmarkEnd w:id="228"/>
      <w:bookmarkEnd w:id="229"/>
    </w:p>
    <w:p>
      <w:pPr>
        <w:pStyle w:val="Heading5"/>
        <w:spacing w:before="200"/>
        <w:rPr>
          <w:snapToGrid w:val="0"/>
        </w:rPr>
      </w:pPr>
      <w:bookmarkStart w:id="230" w:name="_Toc39039547"/>
      <w:r>
        <w:rPr>
          <w:rStyle w:val="CharSectno"/>
        </w:rPr>
        <w:t>82</w:t>
      </w:r>
      <w:r>
        <w:rPr>
          <w:snapToGrid w:val="0"/>
        </w:rPr>
        <w:t>.</w:t>
      </w:r>
      <w:r>
        <w:rPr>
          <w:snapToGrid w:val="0"/>
        </w:rPr>
        <w:tab/>
        <w:t>Contracting out</w:t>
      </w:r>
      <w:bookmarkEnd w:id="230"/>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231" w:name="_Toc39039548"/>
      <w:r>
        <w:rPr>
          <w:rStyle w:val="CharSectno"/>
        </w:rPr>
        <w:t>83</w:t>
      </w:r>
      <w:r>
        <w:rPr>
          <w:snapToGrid w:val="0"/>
        </w:rPr>
        <w:t>.</w:t>
      </w:r>
      <w:r>
        <w:rPr>
          <w:snapToGrid w:val="0"/>
        </w:rPr>
        <w:tab/>
        <w:t>Recovery of amounts paid under mistake of law or fact</w:t>
      </w:r>
      <w:bookmarkEnd w:id="231"/>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232" w:name="_Toc39039549"/>
      <w:r>
        <w:rPr>
          <w:rStyle w:val="CharSectno"/>
        </w:rPr>
        <w:t>84</w:t>
      </w:r>
      <w:r>
        <w:rPr>
          <w:snapToGrid w:val="0"/>
        </w:rPr>
        <w:t>.</w:t>
      </w:r>
      <w:r>
        <w:rPr>
          <w:snapToGrid w:val="0"/>
        </w:rPr>
        <w:tab/>
        <w:t>Exemption of tenancy agreement or premises from provision of Act</w:t>
      </w:r>
      <w:bookmarkEnd w:id="232"/>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233" w:name="_Toc39039550"/>
      <w:r>
        <w:rPr>
          <w:rStyle w:val="CharSectno"/>
        </w:rPr>
        <w:t>85</w:t>
      </w:r>
      <w:r>
        <w:rPr>
          <w:snapToGrid w:val="0"/>
        </w:rPr>
        <w:t>.</w:t>
      </w:r>
      <w:r>
        <w:rPr>
          <w:snapToGrid w:val="0"/>
        </w:rPr>
        <w:tab/>
        <w:t>Service</w:t>
      </w:r>
      <w:bookmarkEnd w:id="233"/>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234" w:name="_Toc39039551"/>
      <w:r>
        <w:rPr>
          <w:rStyle w:val="CharSectno"/>
        </w:rPr>
        <w:t>86</w:t>
      </w:r>
      <w:r>
        <w:t>.</w:t>
      </w:r>
      <w:r>
        <w:tab/>
        <w:t>Court may refer matter to Commissioner for investigation</w:t>
      </w:r>
      <w:bookmarkEnd w:id="234"/>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235" w:name="_Toc39039552"/>
      <w:r>
        <w:rPr>
          <w:rStyle w:val="CharSectno"/>
        </w:rPr>
        <w:t>87A</w:t>
      </w:r>
      <w:r>
        <w:t>.</w:t>
      </w:r>
      <w:r>
        <w:tab/>
        <w:t>Defence where lessor and property manager are both charged with the same offence</w:t>
      </w:r>
      <w:bookmarkEnd w:id="235"/>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236" w:name="_Toc39039553"/>
      <w:r>
        <w:rPr>
          <w:rStyle w:val="CharSectno"/>
        </w:rPr>
        <w:t>87</w:t>
      </w:r>
      <w:r>
        <w:rPr>
          <w:snapToGrid w:val="0"/>
        </w:rPr>
        <w:t>.</w:t>
      </w:r>
      <w:r>
        <w:rPr>
          <w:snapToGrid w:val="0"/>
        </w:rPr>
        <w:tab/>
        <w:t>Time for bringing proceedings</w:t>
      </w:r>
      <w:bookmarkEnd w:id="236"/>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237" w:name="_Toc39039554"/>
      <w:r>
        <w:rPr>
          <w:rStyle w:val="CharSectno"/>
        </w:rPr>
        <w:t>88A</w:t>
      </w:r>
      <w:r>
        <w:t>.</w:t>
      </w:r>
      <w:r>
        <w:tab/>
        <w:t>Infringement notices</w:t>
      </w:r>
      <w:bookmarkEnd w:id="237"/>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keepNext/>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238" w:name="_Toc39039555"/>
      <w:r>
        <w:rPr>
          <w:rStyle w:val="CharSectno"/>
        </w:rPr>
        <w:t>88B</w:t>
      </w:r>
      <w:r>
        <w:t>.</w:t>
      </w:r>
      <w:r>
        <w:tab/>
        <w:t>Cross</w:t>
      </w:r>
      <w:r>
        <w:noBreakHyphen/>
        <w:t>examination of persons in proceedings involving family violence</w:t>
      </w:r>
      <w:bookmarkEnd w:id="238"/>
    </w:p>
    <w:p>
      <w:pPr>
        <w:pStyle w:val="Subsection"/>
        <w:keepNext/>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keepNext/>
      </w:pPr>
      <w:r>
        <w:tab/>
        <w:t xml:space="preserve">[Section 88B inserted: No. 3 of 2019 s. 22.] </w:t>
      </w:r>
    </w:p>
    <w:p>
      <w:pPr>
        <w:pStyle w:val="Heading5"/>
        <w:rPr>
          <w:snapToGrid w:val="0"/>
        </w:rPr>
      </w:pPr>
      <w:bookmarkStart w:id="239" w:name="_Toc39039556"/>
      <w:r>
        <w:rPr>
          <w:rStyle w:val="CharSectno"/>
        </w:rPr>
        <w:t>88</w:t>
      </w:r>
      <w:r>
        <w:rPr>
          <w:snapToGrid w:val="0"/>
        </w:rPr>
        <w:t>.</w:t>
      </w:r>
      <w:r>
        <w:rPr>
          <w:snapToGrid w:val="0"/>
        </w:rPr>
        <w:tab/>
        <w:t>Regulations</w:t>
      </w:r>
      <w:bookmarkEnd w:id="239"/>
      <w:r>
        <w:rPr>
          <w:snapToGrid w:val="0"/>
        </w:rPr>
        <w:t xml:space="preserve"> </w:t>
      </w:r>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Footnotesection"/>
      </w:pPr>
      <w:r>
        <w:tab/>
        <w:t xml:space="preserve">[Section 88 amended: No. 60 of 2011 s. 84; No. 3 of 2019 s. 23.] </w:t>
      </w:r>
    </w:p>
    <w:p>
      <w:pPr>
        <w:pStyle w:val="Ednotesection"/>
      </w:pPr>
      <w:r>
        <w:t>[</w:t>
      </w:r>
      <w:r>
        <w:rPr>
          <w:b/>
        </w:rPr>
        <w:t>89.</w:t>
      </w:r>
      <w:r>
        <w:tab/>
        <w:t>Omitted under the Reprints Act 1984 s. 7(4)(e).]</w:t>
      </w:r>
    </w:p>
    <w:p>
      <w:pPr>
        <w:pStyle w:val="Heading5"/>
        <w:rPr>
          <w:snapToGrid w:val="0"/>
        </w:rPr>
      </w:pPr>
      <w:bookmarkStart w:id="240" w:name="_Toc39039557"/>
      <w:r>
        <w:rPr>
          <w:rStyle w:val="CharSectno"/>
        </w:rPr>
        <w:t>90</w:t>
      </w:r>
      <w:r>
        <w:rPr>
          <w:snapToGrid w:val="0"/>
        </w:rPr>
        <w:t>.</w:t>
      </w:r>
      <w:r>
        <w:rPr>
          <w:snapToGrid w:val="0"/>
        </w:rPr>
        <w:tab/>
        <w:t>Review of Act</w:t>
      </w:r>
      <w:bookmarkEnd w:id="240"/>
      <w:r>
        <w:rPr>
          <w:snapToGrid w:val="0"/>
        </w:rPr>
        <w:t xml:space="preserve"> </w:t>
      </w:r>
    </w:p>
    <w:p>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241" w:name="_Toc38006898"/>
      <w:bookmarkStart w:id="242" w:name="_Toc38007101"/>
      <w:bookmarkStart w:id="243" w:name="_Toc39039355"/>
      <w:bookmarkStart w:id="244" w:name="_Toc39039558"/>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241"/>
      <w:bookmarkEnd w:id="242"/>
      <w:bookmarkEnd w:id="243"/>
      <w:bookmarkEnd w:id="244"/>
    </w:p>
    <w:p>
      <w:pPr>
        <w:pStyle w:val="Footnoteheading"/>
      </w:pPr>
      <w:r>
        <w:tab/>
        <w:t xml:space="preserve">[Heading inserted: No. 60 of 2011 s. 86.] </w:t>
      </w:r>
    </w:p>
    <w:p>
      <w:pPr>
        <w:pStyle w:val="Heading3"/>
      </w:pPr>
      <w:bookmarkStart w:id="245" w:name="_Toc38006899"/>
      <w:bookmarkStart w:id="246" w:name="_Toc38007102"/>
      <w:bookmarkStart w:id="247" w:name="_Toc39039356"/>
      <w:bookmarkStart w:id="248" w:name="_Toc39039559"/>
      <w:r>
        <w:rPr>
          <w:rStyle w:val="CharDivNo"/>
        </w:rPr>
        <w:t>Division 1</w:t>
      </w:r>
      <w:r>
        <w:t> — </w:t>
      </w:r>
      <w:r>
        <w:rPr>
          <w:rStyle w:val="CharDivText"/>
        </w:rPr>
        <w:t>Contracting out</w:t>
      </w:r>
      <w:bookmarkEnd w:id="245"/>
      <w:bookmarkEnd w:id="246"/>
      <w:bookmarkEnd w:id="247"/>
      <w:bookmarkEnd w:id="248"/>
    </w:p>
    <w:p>
      <w:pPr>
        <w:pStyle w:val="Footnoteheading"/>
      </w:pPr>
      <w:r>
        <w:tab/>
        <w:t xml:space="preserve">[Heading inserted: No. 60 of 2011 s. 86.] </w:t>
      </w:r>
    </w:p>
    <w:p>
      <w:pPr>
        <w:pStyle w:val="Heading5"/>
      </w:pPr>
      <w:bookmarkStart w:id="249" w:name="_Toc39039560"/>
      <w:r>
        <w:rPr>
          <w:rStyle w:val="CharSectno"/>
        </w:rPr>
        <w:t>91</w:t>
      </w:r>
      <w:r>
        <w:t>.</w:t>
      </w:r>
      <w:r>
        <w:tab/>
        <w:t>Savings in relation to contracting out of standard terms</w:t>
      </w:r>
      <w:bookmarkEnd w:id="24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250" w:name="_Toc38006901"/>
      <w:bookmarkStart w:id="251" w:name="_Toc38007104"/>
      <w:bookmarkStart w:id="252" w:name="_Toc39039358"/>
      <w:bookmarkStart w:id="253" w:name="_Toc39039561"/>
      <w:r>
        <w:rPr>
          <w:rStyle w:val="CharDivNo"/>
        </w:rPr>
        <w:t>Division 2</w:t>
      </w:r>
      <w:r>
        <w:t> — </w:t>
      </w:r>
      <w:r>
        <w:rPr>
          <w:rStyle w:val="CharDivText"/>
        </w:rPr>
        <w:t>Security bonds held in AFI</w:t>
      </w:r>
      <w:bookmarkEnd w:id="250"/>
      <w:bookmarkEnd w:id="251"/>
      <w:bookmarkEnd w:id="252"/>
      <w:bookmarkEnd w:id="253"/>
    </w:p>
    <w:p>
      <w:pPr>
        <w:pStyle w:val="Footnoteheading"/>
      </w:pPr>
      <w:r>
        <w:tab/>
        <w:t xml:space="preserve">[Heading inserted: No. 60 of 2011 s. 86.] </w:t>
      </w:r>
    </w:p>
    <w:p>
      <w:pPr>
        <w:pStyle w:val="Heading5"/>
      </w:pPr>
      <w:bookmarkStart w:id="254" w:name="_Toc39039562"/>
      <w:r>
        <w:rPr>
          <w:rStyle w:val="CharSectno"/>
        </w:rPr>
        <w:t>92</w:t>
      </w:r>
      <w:r>
        <w:t>.</w:t>
      </w:r>
      <w:r>
        <w:tab/>
        <w:t>Terms used</w:t>
      </w:r>
      <w:bookmarkEnd w:id="254"/>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255" w:name="_Toc39039563"/>
      <w:r>
        <w:rPr>
          <w:rStyle w:val="CharSectno"/>
        </w:rPr>
        <w:t>93</w:t>
      </w:r>
      <w:r>
        <w:t>.</w:t>
      </w:r>
      <w:r>
        <w:tab/>
        <w:t>All security bonds to be transferred to bond administrator after renewal of agreement or within 18 months</w:t>
      </w:r>
      <w:bookmarkEnd w:id="255"/>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256" w:name="_Toc39039564"/>
      <w:r>
        <w:rPr>
          <w:rStyle w:val="CharSectno"/>
        </w:rPr>
        <w:t>94</w:t>
      </w:r>
      <w:r>
        <w:t>.</w:t>
      </w:r>
      <w:r>
        <w:tab/>
        <w:t>Requirements for AFI holding security bonds</w:t>
      </w:r>
      <w:bookmarkEnd w:id="256"/>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257" w:name="_Toc39039565"/>
      <w:r>
        <w:rPr>
          <w:rStyle w:val="CharSectno"/>
        </w:rPr>
        <w:t>95</w:t>
      </w:r>
      <w:r>
        <w:t>.</w:t>
      </w:r>
      <w:r>
        <w:tab/>
        <w:t>Power of Commissioner to obtain information relating to AFI security bond accounts</w:t>
      </w:r>
      <w:bookmarkEnd w:id="257"/>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258" w:name="_Toc39039566"/>
      <w:r>
        <w:rPr>
          <w:rStyle w:val="CharSectno"/>
        </w:rPr>
        <w:t>96</w:t>
      </w:r>
      <w:r>
        <w:t>.</w:t>
      </w:r>
      <w:r>
        <w:tab/>
        <w:t>Disposal of security bond held in AFIs</w:t>
      </w:r>
      <w:bookmarkEnd w:id="258"/>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Heading3"/>
      </w:pPr>
      <w:bookmarkStart w:id="259" w:name="_Toc38006907"/>
      <w:bookmarkStart w:id="260" w:name="_Toc38007110"/>
      <w:bookmarkStart w:id="261" w:name="_Toc39039364"/>
      <w:bookmarkStart w:id="262" w:name="_Toc39039567"/>
      <w:r>
        <w:rPr>
          <w:rStyle w:val="CharDivNo"/>
        </w:rPr>
        <w:t>Division 3</w:t>
      </w:r>
      <w:r>
        <w:t> — </w:t>
      </w:r>
      <w:r>
        <w:rPr>
          <w:rStyle w:val="CharDivText"/>
        </w:rPr>
        <w:t>Residential tenancy databases</w:t>
      </w:r>
      <w:bookmarkEnd w:id="259"/>
      <w:bookmarkEnd w:id="260"/>
      <w:bookmarkEnd w:id="261"/>
      <w:bookmarkEnd w:id="262"/>
    </w:p>
    <w:p>
      <w:pPr>
        <w:pStyle w:val="Footnoteheading"/>
        <w:keepNext/>
      </w:pPr>
      <w:r>
        <w:tab/>
        <w:t xml:space="preserve">[Heading inserted: No. 60 of 2011 s. 86.] </w:t>
      </w:r>
    </w:p>
    <w:p>
      <w:pPr>
        <w:pStyle w:val="Heading5"/>
      </w:pPr>
      <w:bookmarkStart w:id="263" w:name="_Toc39039568"/>
      <w:r>
        <w:rPr>
          <w:rStyle w:val="CharSectno"/>
        </w:rPr>
        <w:t>97</w:t>
      </w:r>
      <w:r>
        <w:t>.</w:t>
      </w:r>
      <w:r>
        <w:tab/>
        <w:t>Application of Part VIA to listings existing before commencement day</w:t>
      </w:r>
      <w:bookmarkEnd w:id="263"/>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Heading2"/>
      </w:pPr>
      <w:bookmarkStart w:id="264" w:name="_Toc38006909"/>
      <w:bookmarkStart w:id="265" w:name="_Toc38007112"/>
      <w:bookmarkStart w:id="266" w:name="_Toc39039366"/>
      <w:bookmarkStart w:id="267" w:name="_Toc39039569"/>
      <w:r>
        <w:rPr>
          <w:rStyle w:val="CharPartNo"/>
        </w:rPr>
        <w:t>Part 8</w:t>
      </w:r>
      <w:r>
        <w:rPr>
          <w:rStyle w:val="CharDivNo"/>
        </w:rPr>
        <w:t> </w:t>
      </w:r>
      <w:r>
        <w:t>—</w:t>
      </w:r>
      <w:r>
        <w:rPr>
          <w:rStyle w:val="CharDivText"/>
        </w:rPr>
        <w:t> </w:t>
      </w:r>
      <w:r>
        <w:rPr>
          <w:rStyle w:val="CharPartText"/>
        </w:rPr>
        <w:t xml:space="preserve">Transitional provision relating to the </w:t>
      </w:r>
      <w:r>
        <w:rPr>
          <w:rStyle w:val="CharPartText"/>
          <w:i/>
        </w:rPr>
        <w:t>Consumer Protection Legislation Amendment Act 2019</w:t>
      </w:r>
      <w:bookmarkEnd w:id="264"/>
      <w:bookmarkEnd w:id="265"/>
      <w:bookmarkEnd w:id="266"/>
      <w:bookmarkEnd w:id="267"/>
    </w:p>
    <w:p>
      <w:pPr>
        <w:pStyle w:val="Footnoteheading"/>
      </w:pPr>
      <w:r>
        <w:tab/>
        <w:t>[Heading inserted: No. 25 of 2019 s. 71.]</w:t>
      </w:r>
    </w:p>
    <w:p>
      <w:pPr>
        <w:pStyle w:val="Heading5"/>
      </w:pPr>
      <w:bookmarkStart w:id="268" w:name="_Toc39039570"/>
      <w:r>
        <w:rPr>
          <w:rStyle w:val="CharSectno"/>
        </w:rPr>
        <w:t>98</w:t>
      </w:r>
      <w:r>
        <w:t>.</w:t>
      </w:r>
      <w:r>
        <w:tab/>
        <w:t>Application of s. 49A to residential tenancy agreements and utility charges</w:t>
      </w:r>
      <w:bookmarkEnd w:id="26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pPr>
      <w:r>
        <w:tab/>
        <w:t>[Section 98 inserted: No. 25 of 2019 s. 71.]</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269" w:name="_Toc38006911"/>
      <w:bookmarkStart w:id="270" w:name="_Toc38007114"/>
      <w:bookmarkStart w:id="271" w:name="_Toc39039368"/>
      <w:bookmarkStart w:id="272" w:name="_Toc39039571"/>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269"/>
      <w:bookmarkEnd w:id="270"/>
      <w:bookmarkEnd w:id="271"/>
      <w:bookmarkEnd w:id="272"/>
    </w:p>
    <w:p>
      <w:pPr>
        <w:pStyle w:val="yShoulderClause"/>
      </w:pPr>
      <w:r>
        <w:t>[s. 3, 7(3), 12, 29(4), (7), (8), 59D(6), 79(5), (6), (11) and 80A(8)]</w:t>
      </w:r>
    </w:p>
    <w:p>
      <w:pPr>
        <w:pStyle w:val="yFootnoteheading"/>
      </w:pPr>
      <w:r>
        <w:tab/>
        <w:t xml:space="preserve">[Heading inserted: No. 60 of 2011 s. 87(1).] </w:t>
      </w:r>
    </w:p>
    <w:p>
      <w:pPr>
        <w:pStyle w:val="yHeading3"/>
      </w:pPr>
      <w:bookmarkStart w:id="273" w:name="_Toc38006912"/>
      <w:bookmarkStart w:id="274" w:name="_Toc38007115"/>
      <w:bookmarkStart w:id="275" w:name="_Toc39039369"/>
      <w:bookmarkStart w:id="276" w:name="_Toc39039572"/>
      <w:r>
        <w:rPr>
          <w:rStyle w:val="CharSDivNo"/>
        </w:rPr>
        <w:t>Division 1</w:t>
      </w:r>
      <w:r>
        <w:t> — </w:t>
      </w:r>
      <w:r>
        <w:rPr>
          <w:rStyle w:val="CharSDivText"/>
        </w:rPr>
        <w:t>General</w:t>
      </w:r>
      <w:bookmarkEnd w:id="273"/>
      <w:bookmarkEnd w:id="274"/>
      <w:bookmarkEnd w:id="275"/>
      <w:bookmarkEnd w:id="276"/>
    </w:p>
    <w:p>
      <w:pPr>
        <w:pStyle w:val="yFootnoteheading"/>
      </w:pPr>
      <w:r>
        <w:tab/>
        <w:t>[Heading inserted: No. 60 of 2011 s. 87(2).]</w:t>
      </w:r>
    </w:p>
    <w:p>
      <w:pPr>
        <w:pStyle w:val="yHeading5"/>
        <w:rPr>
          <w:snapToGrid w:val="0"/>
        </w:rPr>
      </w:pPr>
      <w:bookmarkStart w:id="277" w:name="_Toc39039573"/>
      <w:r>
        <w:rPr>
          <w:rStyle w:val="CharSClsNo"/>
        </w:rPr>
        <w:t>1</w:t>
      </w:r>
      <w:r>
        <w:rPr>
          <w:snapToGrid w:val="0"/>
        </w:rPr>
        <w:t>.</w:t>
      </w:r>
      <w:r>
        <w:rPr>
          <w:snapToGrid w:val="0"/>
        </w:rPr>
        <w:tab/>
      </w:r>
      <w:r>
        <w:t>Term</w:t>
      </w:r>
      <w:r>
        <w:rPr>
          <w:snapToGrid w:val="0"/>
        </w:rPr>
        <w:t xml:space="preserve"> used: authorised agent</w:t>
      </w:r>
      <w:bookmarkEnd w:id="277"/>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278" w:name="_Toc39039574"/>
      <w:r>
        <w:rPr>
          <w:rStyle w:val="CharSClsNo"/>
        </w:rPr>
        <w:t>3</w:t>
      </w:r>
      <w:r>
        <w:rPr>
          <w:snapToGrid w:val="0"/>
        </w:rPr>
        <w:t>.</w:t>
      </w:r>
      <w:r>
        <w:rPr>
          <w:snapToGrid w:val="0"/>
        </w:rPr>
        <w:tab/>
        <w:t>Rental Accommodation Account</w:t>
      </w:r>
      <w:bookmarkEnd w:id="278"/>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279" w:name="_Toc39039575"/>
      <w:r>
        <w:rPr>
          <w:rStyle w:val="CharSClsNo"/>
        </w:rPr>
        <w:t>4</w:t>
      </w:r>
      <w:r>
        <w:rPr>
          <w:snapToGrid w:val="0"/>
        </w:rPr>
        <w:t>.</w:t>
      </w:r>
      <w:r>
        <w:rPr>
          <w:snapToGrid w:val="0"/>
        </w:rPr>
        <w:tab/>
        <w:t>Duties of bond administrator</w:t>
      </w:r>
      <w:bookmarkEnd w:id="279"/>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280" w:name="_Toc38006916"/>
      <w:bookmarkStart w:id="281" w:name="_Toc38007119"/>
      <w:bookmarkStart w:id="282" w:name="_Toc39039373"/>
      <w:bookmarkStart w:id="283" w:name="_Toc39039576"/>
      <w:r>
        <w:rPr>
          <w:rStyle w:val="CharSDivNo"/>
        </w:rPr>
        <w:t>Division 2</w:t>
      </w:r>
      <w:r>
        <w:t> — </w:t>
      </w:r>
      <w:r>
        <w:rPr>
          <w:rStyle w:val="CharSDivText"/>
        </w:rPr>
        <w:t>Security bonds</w:t>
      </w:r>
      <w:bookmarkEnd w:id="280"/>
      <w:bookmarkEnd w:id="281"/>
      <w:bookmarkEnd w:id="282"/>
      <w:bookmarkEnd w:id="283"/>
    </w:p>
    <w:p>
      <w:pPr>
        <w:pStyle w:val="yFootnoteheading"/>
      </w:pPr>
      <w:r>
        <w:tab/>
        <w:t>[Heading inserted: No. 60 of 2011 s. 87(11).]</w:t>
      </w:r>
    </w:p>
    <w:p>
      <w:pPr>
        <w:pStyle w:val="yHeading5"/>
      </w:pPr>
      <w:bookmarkStart w:id="284" w:name="_Toc39039577"/>
      <w:r>
        <w:rPr>
          <w:rStyle w:val="CharSClsNo"/>
        </w:rPr>
        <w:t>5A</w:t>
      </w:r>
      <w:r>
        <w:t>.</w:t>
      </w:r>
      <w:r>
        <w:tab/>
        <w:t>Security bond moneys to be paid to bond administrator</w:t>
      </w:r>
      <w:bookmarkEnd w:id="284"/>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285" w:name="_Toc39039578"/>
      <w:r>
        <w:rPr>
          <w:rStyle w:val="CharSClsNo"/>
        </w:rPr>
        <w:t>5</w:t>
      </w:r>
      <w:r>
        <w:rPr>
          <w:snapToGrid w:val="0"/>
        </w:rPr>
        <w:t>.</w:t>
      </w:r>
      <w:r>
        <w:rPr>
          <w:snapToGrid w:val="0"/>
        </w:rPr>
        <w:tab/>
        <w:t xml:space="preserve">Disposal of </w:t>
      </w:r>
      <w:r>
        <w:t>security</w:t>
      </w:r>
      <w:r>
        <w:rPr>
          <w:snapToGrid w:val="0"/>
        </w:rPr>
        <w:t xml:space="preserve"> bond by bond administrator</w:t>
      </w:r>
      <w:bookmarkEnd w:id="285"/>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286" w:name="_Toc39039579"/>
      <w:r>
        <w:rPr>
          <w:rStyle w:val="CharSClsNo"/>
        </w:rPr>
        <w:t>8</w:t>
      </w:r>
      <w:r>
        <w:rPr>
          <w:snapToGrid w:val="0"/>
        </w:rPr>
        <w:t>.</w:t>
      </w:r>
      <w:r>
        <w:rPr>
          <w:snapToGrid w:val="0"/>
        </w:rPr>
        <w:tab/>
      </w:r>
      <w:r>
        <w:t>Court</w:t>
      </w:r>
      <w:r>
        <w:rPr>
          <w:snapToGrid w:val="0"/>
        </w:rPr>
        <w:t xml:space="preserve"> may determine disposal of security bond</w:t>
      </w:r>
      <w:bookmarkEnd w:id="286"/>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287" w:name="_Toc38006920"/>
      <w:bookmarkStart w:id="288" w:name="_Toc38007123"/>
      <w:bookmarkStart w:id="289" w:name="_Toc39039377"/>
      <w:bookmarkStart w:id="290" w:name="_Toc39039580"/>
      <w:r>
        <w:rPr>
          <w:rStyle w:val="CharSDivNo"/>
        </w:rPr>
        <w:t>Division 3</w:t>
      </w:r>
      <w:r>
        <w:t> — </w:t>
      </w:r>
      <w:r>
        <w:rPr>
          <w:rStyle w:val="CharSDivText"/>
        </w:rPr>
        <w:t>Tenant compensation bonds</w:t>
      </w:r>
      <w:bookmarkEnd w:id="287"/>
      <w:bookmarkEnd w:id="288"/>
      <w:bookmarkEnd w:id="289"/>
      <w:bookmarkEnd w:id="290"/>
    </w:p>
    <w:p>
      <w:pPr>
        <w:pStyle w:val="yFootnoteheading"/>
      </w:pPr>
      <w:r>
        <w:tab/>
        <w:t>[Heading inserted: No. 60 of 2011 s. 87(23).]</w:t>
      </w:r>
    </w:p>
    <w:p>
      <w:pPr>
        <w:pStyle w:val="yHeading5"/>
      </w:pPr>
      <w:bookmarkStart w:id="291" w:name="_Toc39039581"/>
      <w:r>
        <w:rPr>
          <w:rStyle w:val="CharSClsNo"/>
        </w:rPr>
        <w:t>9</w:t>
      </w:r>
      <w:r>
        <w:t>.</w:t>
      </w:r>
      <w:r>
        <w:tab/>
        <w:t>Application of Division</w:t>
      </w:r>
      <w:bookmarkEnd w:id="291"/>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292" w:name="_Toc39039582"/>
      <w:r>
        <w:rPr>
          <w:rStyle w:val="CharSClsNo"/>
        </w:rPr>
        <w:t>10</w:t>
      </w:r>
      <w:r>
        <w:t>.</w:t>
      </w:r>
      <w:r>
        <w:tab/>
        <w:t>Disposal of tenant compensation bond to tenant by bond administrator</w:t>
      </w:r>
      <w:bookmarkEnd w:id="292"/>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293" w:name="_Toc39039583"/>
      <w:r>
        <w:rPr>
          <w:rStyle w:val="CharSClsNo"/>
        </w:rPr>
        <w:t>11</w:t>
      </w:r>
      <w:r>
        <w:t>.</w:t>
      </w:r>
      <w:r>
        <w:tab/>
        <w:t>Disposal of tenant compensation bond to lessor by bond administrator</w:t>
      </w:r>
      <w:bookmarkEnd w:id="293"/>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95" w:name="_Toc38006924"/>
      <w:bookmarkStart w:id="296" w:name="_Toc38007127"/>
      <w:bookmarkStart w:id="297" w:name="_Toc39039381"/>
      <w:bookmarkStart w:id="298" w:name="_Toc39039584"/>
      <w:r>
        <w:t>Notes</w:t>
      </w:r>
      <w:bookmarkEnd w:id="295"/>
      <w:bookmarkEnd w:id="296"/>
      <w:bookmarkEnd w:id="297"/>
      <w:bookmarkEnd w:id="298"/>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99" w:name="_Toc39039585"/>
      <w:r>
        <w:t>Compilation table</w:t>
      </w:r>
      <w:bookmarkEnd w:id="299"/>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2"/>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2"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2"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2"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2" w:type="dxa"/>
          </w:tcPr>
          <w:p>
            <w:pPr>
              <w:pStyle w:val="nTable"/>
              <w:spacing w:after="40"/>
            </w:pPr>
            <w:r>
              <w:t>1 Jul 1993 (see s. 2)</w:t>
            </w:r>
          </w:p>
        </w:tc>
      </w:tr>
      <w:tr>
        <w:trPr>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2"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2"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2" w:type="dxa"/>
          </w:tcPr>
          <w:p>
            <w:pPr>
              <w:pStyle w:val="nTable"/>
              <w:keepNext/>
              <w:keepLines/>
              <w:spacing w:after="40"/>
            </w:pPr>
            <w:r>
              <w:t xml:space="preserve">1 Jan 1996 (see s. 2(2) and </w:t>
            </w:r>
            <w:r>
              <w:rPr>
                <w:i/>
              </w:rPr>
              <w:t>Gazette</w:t>
            </w:r>
            <w:r>
              <w:t xml:space="preserve"> 29 Dec 1995 p. 6291)</w:t>
            </w:r>
          </w:p>
        </w:tc>
      </w:tr>
      <w:tr>
        <w:trPr>
          <w:cantSplit/>
        </w:trPr>
        <w:tc>
          <w:tcPr>
            <w:tcW w:w="7089"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2"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2" w:type="dxa"/>
          </w:tcPr>
          <w:p>
            <w:pPr>
              <w:pStyle w:val="nTable"/>
              <w:spacing w:after="40"/>
            </w:pPr>
            <w:r>
              <w:t>15 Dec 1997 (see s. 2(1))</w:t>
            </w:r>
          </w:p>
        </w:tc>
      </w:tr>
      <w:tr>
        <w:trPr>
          <w:cantSplit/>
        </w:trPr>
        <w:tc>
          <w:tcPr>
            <w:tcW w:w="7089"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2"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89"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2"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2"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2"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2"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89"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2"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2"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2"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89"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1" w:type="dxa"/>
            <w:gridSpan w:val="2"/>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Strata Titles Amendment Act 2018</w:t>
            </w:r>
            <w:r>
              <w:t xml:space="preserve"> Pt. 3 Div. 18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81" w:type="dxa"/>
            <w:gridSpan w:val="2"/>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1" w:type="dxa"/>
            <w:gridSpan w:val="2"/>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pPr>
              <w:pStyle w:val="nTable"/>
              <w:keepNext/>
              <w:spacing w:after="40"/>
            </w:pPr>
            <w:r>
              <w:t>25 of 2019</w:t>
            </w:r>
          </w:p>
        </w:tc>
        <w:tc>
          <w:tcPr>
            <w:tcW w:w="1134" w:type="dxa"/>
            <w:gridSpan w:val="2"/>
            <w:tcBorders>
              <w:top w:val="nil"/>
              <w:bottom w:val="nil"/>
            </w:tcBorders>
          </w:tcPr>
          <w:p>
            <w:pPr>
              <w:pStyle w:val="nTable"/>
              <w:keepNext/>
              <w:spacing w:after="40"/>
            </w:pPr>
            <w:r>
              <w:t>24 Oct 2019</w:t>
            </w:r>
          </w:p>
        </w:tc>
        <w:tc>
          <w:tcPr>
            <w:tcW w:w="2581" w:type="dxa"/>
            <w:gridSpan w:val="2"/>
            <w:tcBorders>
              <w:top w:val="nil"/>
              <w:bottom w:val="nil"/>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tblPrEx>
          <w:tblBorders>
            <w:top w:val="single" w:sz="8" w:space="0" w:color="auto"/>
            <w:bottom w:val="single" w:sz="8" w:space="0" w:color="auto"/>
            <w:insideH w:val="single" w:sz="8" w:space="0" w:color="auto"/>
          </w:tblBorders>
        </w:tblPrEx>
        <w:tc>
          <w:tcPr>
            <w:tcW w:w="2240" w:type="dxa"/>
            <w:tcBorders>
              <w:top w:val="nil"/>
              <w:bottom w:val="single" w:sz="4" w:space="0" w:color="auto"/>
            </w:tcBorders>
          </w:tcPr>
          <w:p>
            <w:pPr>
              <w:pStyle w:val="nTable"/>
              <w:keepLines/>
              <w:spacing w:after="40"/>
            </w:pPr>
            <w:r>
              <w:rPr>
                <w:i/>
                <w:noProof/>
              </w:rPr>
              <w:t>Residential Tenancies (COVID-19 Response) Act 2020</w:t>
            </w:r>
            <w:r>
              <w:rPr>
                <w:noProof/>
              </w:rPr>
              <w:t xml:space="preserve"> Pt. 8</w:t>
            </w:r>
          </w:p>
        </w:tc>
        <w:tc>
          <w:tcPr>
            <w:tcW w:w="1134" w:type="dxa"/>
            <w:gridSpan w:val="2"/>
            <w:tcBorders>
              <w:top w:val="nil"/>
              <w:bottom w:val="single" w:sz="4" w:space="0" w:color="auto"/>
            </w:tcBorders>
          </w:tcPr>
          <w:p>
            <w:pPr>
              <w:pStyle w:val="nTable"/>
              <w:keepLines/>
              <w:spacing w:after="40"/>
            </w:pPr>
            <w:r>
              <w:t>18 of 2020</w:t>
            </w:r>
          </w:p>
        </w:tc>
        <w:tc>
          <w:tcPr>
            <w:tcW w:w="1134" w:type="dxa"/>
            <w:gridSpan w:val="2"/>
            <w:tcBorders>
              <w:top w:val="nil"/>
              <w:bottom w:val="single" w:sz="4" w:space="0" w:color="auto"/>
            </w:tcBorders>
          </w:tcPr>
          <w:p>
            <w:pPr>
              <w:pStyle w:val="nTable"/>
              <w:keepLines/>
              <w:spacing w:after="40"/>
            </w:pPr>
            <w:r>
              <w:t>23 Apr 2020</w:t>
            </w:r>
          </w:p>
        </w:tc>
        <w:tc>
          <w:tcPr>
            <w:tcW w:w="2581" w:type="dxa"/>
            <w:gridSpan w:val="2"/>
            <w:tcBorders>
              <w:top w:val="nil"/>
              <w:bottom w:val="single" w:sz="4" w:space="0" w:color="auto"/>
            </w:tcBorders>
          </w:tcPr>
          <w:p>
            <w:pPr>
              <w:pStyle w:val="nTable"/>
              <w:keepNext/>
              <w:keepLines/>
              <w:spacing w:after="40"/>
              <w:rPr>
                <w:snapToGrid w:val="0"/>
              </w:rPr>
            </w:pPr>
            <w:r>
              <w:t>30 Mar 2020 (see s. 2(d))</w:t>
            </w:r>
          </w:p>
        </w:tc>
      </w:tr>
    </w:tbl>
    <w:p>
      <w:pPr>
        <w:pStyle w:val="nHeading3"/>
      </w:pPr>
      <w:bookmarkStart w:id="300" w:name="_Toc39039586"/>
      <w:r>
        <w:t>Uncommenced provisions table</w:t>
      </w:r>
      <w:bookmarkEnd w:id="30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6"/>
        <w:gridCol w:w="18"/>
        <w:gridCol w:w="1120"/>
        <w:gridCol w:w="14"/>
        <w:gridCol w:w="2524"/>
        <w:gridCol w:w="30"/>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9"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8"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3"/>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30" w:type="dxa"/>
        </w:trPr>
        <w:tc>
          <w:tcPr>
            <w:tcW w:w="2296" w:type="dxa"/>
            <w:gridSpan w:val="2"/>
            <w:tcBorders>
              <w:top w:val="nil"/>
              <w:bottom w:val="single" w:sz="4" w:space="0" w:color="auto"/>
            </w:tcBorders>
          </w:tcPr>
          <w:p>
            <w:pPr>
              <w:pStyle w:val="nTable"/>
              <w:spacing w:after="40"/>
            </w:pPr>
            <w:r>
              <w:rPr>
                <w:i/>
              </w:rPr>
              <w:t>Community Titles Act 2018</w:t>
            </w:r>
            <w:r>
              <w:t xml:space="preserve"> Pt. 14 Div. 18</w:t>
            </w:r>
          </w:p>
        </w:tc>
        <w:tc>
          <w:tcPr>
            <w:tcW w:w="1134" w:type="dxa"/>
            <w:gridSpan w:val="2"/>
            <w:tcBorders>
              <w:top w:val="nil"/>
              <w:bottom w:val="single" w:sz="4" w:space="0" w:color="auto"/>
            </w:tcBorders>
          </w:tcPr>
          <w:p>
            <w:pPr>
              <w:pStyle w:val="nTable"/>
              <w:spacing w:after="40"/>
            </w:pPr>
            <w:r>
              <w:t>32 of 2018</w:t>
            </w:r>
          </w:p>
        </w:tc>
        <w:tc>
          <w:tcPr>
            <w:tcW w:w="1134" w:type="dxa"/>
            <w:gridSpan w:val="2"/>
            <w:tcBorders>
              <w:top w:val="nil"/>
              <w:bottom w:val="single" w:sz="4" w:space="0" w:color="auto"/>
            </w:tcBorders>
          </w:tcPr>
          <w:p>
            <w:pPr>
              <w:pStyle w:val="nTable"/>
              <w:spacing w:after="40"/>
            </w:pPr>
            <w:r>
              <w:t>19 Nov 2018</w:t>
            </w:r>
          </w:p>
        </w:tc>
        <w:tc>
          <w:tcPr>
            <w:tcW w:w="2524" w:type="dxa"/>
            <w:tcBorders>
              <w:top w:val="nil"/>
              <w:bottom w:val="single" w:sz="4" w:space="0" w:color="auto"/>
            </w:tcBorders>
          </w:tcPr>
          <w:p>
            <w:pPr>
              <w:pStyle w:val="nTable"/>
              <w:spacing w:after="40"/>
            </w:pPr>
            <w:r>
              <w:t>To be proclaimed (see s. 2(b))</w:t>
            </w:r>
          </w:p>
        </w:tc>
      </w:tr>
    </w:tbl>
    <w:p>
      <w:pPr>
        <w:pStyle w:val="nHeading3"/>
      </w:pPr>
      <w:bookmarkStart w:id="301" w:name="_Toc39039587"/>
      <w:r>
        <w:t>Other notes</w:t>
      </w:r>
      <w:bookmarkEnd w:id="301"/>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303" w:name="_Toc38006928"/>
      <w:bookmarkStart w:id="304" w:name="_Toc38007131"/>
      <w:bookmarkStart w:id="305" w:name="_Toc39039385"/>
      <w:bookmarkStart w:id="306" w:name="_Toc39039588"/>
      <w:r>
        <w:rPr>
          <w:sz w:val="28"/>
        </w:rPr>
        <w:t>Defined terms</w:t>
      </w:r>
      <w:bookmarkEnd w:id="303"/>
      <w:bookmarkEnd w:id="304"/>
      <w:bookmarkEnd w:id="305"/>
      <w:bookmarkEnd w:id="3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AFI</w:t>
      </w:r>
      <w:r>
        <w:tab/>
        <w:t>92</w:t>
      </w:r>
    </w:p>
    <w:p>
      <w:pPr>
        <w:pStyle w:val="DefinedTerms"/>
      </w:pPr>
      <w:r>
        <w:t>agent</w:t>
      </w:r>
      <w:r>
        <w:tab/>
        <w:t>22(6), 82A</w:t>
      </w:r>
    </w:p>
    <w:p>
      <w:pPr>
        <w:pStyle w:val="DefinedTerms"/>
      </w:pPr>
      <w:r>
        <w:t>agreement</w:t>
      </w:r>
      <w:r>
        <w:tab/>
        <w:t>70A(1), 71D(1), 72(1A)</w:t>
      </w:r>
    </w:p>
    <w:p>
      <w:pPr>
        <w:pStyle w:val="DefinedTerms"/>
      </w:pPr>
      <w:r>
        <w:t>applicant</w:t>
      </w:r>
      <w:r>
        <w:tab/>
        <w:t>82C(1), 82D(1)</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bond</w:t>
      </w:r>
      <w:r>
        <w:tab/>
        <w:t>3</w:t>
      </w:r>
    </w:p>
    <w:p>
      <w:pPr>
        <w:pStyle w:val="DefinedTerms"/>
      </w:pPr>
      <w:r>
        <w:t>bond administrator</w:t>
      </w:r>
      <w:r>
        <w:tab/>
        <w:t>3</w:t>
      </w:r>
    </w:p>
    <w:p>
      <w:pPr>
        <w:pStyle w:val="DefinedTerms"/>
      </w:pPr>
      <w:r>
        <w:t>commencement day</w:t>
      </w:r>
      <w:r>
        <w:tab/>
        <w:t>91(1), 92, 97(1), 98(1)</w:t>
      </w:r>
    </w:p>
    <w:p>
      <w:pPr>
        <w:pStyle w:val="DefinedTerms"/>
      </w:pPr>
      <w:r>
        <w:t>Commissioner</w:t>
      </w:r>
      <w:r>
        <w:tab/>
        <w:t>3</w:t>
      </w:r>
    </w:p>
    <w:p>
      <w:pPr>
        <w:pStyle w:val="DefinedTerms"/>
      </w:pPr>
      <w:r>
        <w:t>common area</w:t>
      </w:r>
      <w:r>
        <w:tab/>
        <w:t>3</w:t>
      </w:r>
    </w:p>
    <w:p>
      <w:pPr>
        <w:pStyle w:val="DefinedTerms"/>
      </w:pPr>
      <w:r>
        <w:t>competent court</w:t>
      </w:r>
      <w:r>
        <w:tab/>
        <w:t>3</w:t>
      </w:r>
    </w:p>
    <w:p>
      <w:pPr>
        <w:pStyle w:val="DefinedTerms"/>
      </w:pPr>
      <w:r>
        <w:t>consumption</w:t>
      </w:r>
      <w:r>
        <w:tab/>
        <w:t>49A(1)</w:t>
      </w:r>
    </w:p>
    <w:p>
      <w:pPr>
        <w:pStyle w:val="DefinedTerms"/>
      </w:pPr>
      <w:r>
        <w:t>co</w:t>
      </w:r>
      <w:r>
        <w:noBreakHyphen/>
        <w:t>tenant</w:t>
      </w:r>
      <w:r>
        <w:tab/>
        <w:t>71AD(1)</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disability</w:t>
      </w:r>
      <w:r>
        <w:tab/>
        <w:t>47(1A)</w:t>
      </w:r>
    </w:p>
    <w:p>
      <w:pPr>
        <w:pStyle w:val="DefinedTerms"/>
      </w:pPr>
      <w:r>
        <w:t>DVO</w:t>
      </w:r>
      <w:r>
        <w:tab/>
        <w:t>71AA</w:t>
      </w:r>
    </w:p>
    <w:p>
      <w:pPr>
        <w:pStyle w:val="DefinedTerms"/>
      </w:pPr>
      <w:r>
        <w:t>excluded tenant</w:t>
      </w:r>
      <w:r>
        <w:tab/>
        <w:t>71AE(1)</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Family Court injunction</w:t>
      </w:r>
      <w:r>
        <w:tab/>
        <w:t>71AA</w:t>
      </w:r>
    </w:p>
    <w:p>
      <w:pPr>
        <w:pStyle w:val="DefinedTerms"/>
      </w:pPr>
      <w:r>
        <w:t>family violence</w:t>
      </w:r>
      <w:r>
        <w:tab/>
        <w:t>3</w:t>
      </w:r>
    </w:p>
    <w:p>
      <w:pPr>
        <w:pStyle w:val="DefinedTerms"/>
      </w:pPr>
      <w:r>
        <w:t>family violence order</w:t>
      </w:r>
      <w:r>
        <w:tab/>
        <w:t>71AE(1)</w:t>
      </w:r>
    </w:p>
    <w:p>
      <w:pPr>
        <w:pStyle w:val="DefinedTerms"/>
      </w:pPr>
      <w:r>
        <w:t>first tenant</w:t>
      </w:r>
      <w:r>
        <w:tab/>
        <w:t>17A(1)</w:t>
      </w:r>
    </w:p>
    <w:p>
      <w:pPr>
        <w:pStyle w:val="DefinedTerms"/>
      </w:pPr>
      <w:r>
        <w:t>former agreement</w:t>
      </w:r>
      <w:r>
        <w:tab/>
        <w:t>31B(1)</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t>minor</w:t>
      </w:r>
      <w:r>
        <w:tab/>
        <w:t>59A(1)</w:t>
      </w:r>
    </w:p>
    <w:p>
      <w:pPr>
        <w:pStyle w:val="DefinedTerms"/>
      </w:pPr>
      <w:r>
        <w:t>national privacy principles</w:t>
      </w:r>
      <w:r>
        <w:tab/>
        <w:t>82K(1)</w:t>
      </w:r>
    </w:p>
    <w:p>
      <w:pPr>
        <w:pStyle w:val="DefinedTerms"/>
      </w:pPr>
      <w:r>
        <w:t>new agreement</w:t>
      </w:r>
      <w:r>
        <w:tab/>
        <w:t>31B(1)</w:t>
      </w:r>
    </w:p>
    <w:p>
      <w:pPr>
        <w:pStyle w:val="DefinedTerms"/>
      </w:pPr>
      <w:r>
        <w:t>notice</w:t>
      </w:r>
      <w:r>
        <w:tab/>
        <w:t>46(1), 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 71AA</w:t>
      </w:r>
    </w:p>
    <w:p>
      <w:pPr>
        <w:pStyle w:val="DefinedTerms"/>
      </w:pPr>
      <w:r>
        <w:t>prescribed</w:t>
      </w:r>
      <w:r>
        <w:tab/>
        <w:t>3</w:t>
      </w:r>
    </w:p>
    <w:p>
      <w:pPr>
        <w:pStyle w:val="DefinedTerms"/>
      </w:pPr>
      <w:r>
        <w:t>prescribed alterations</w:t>
      </w:r>
      <w:r>
        <w:tab/>
        <w:t>47(4)</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protected tenant</w:t>
      </w:r>
      <w:r>
        <w:tab/>
        <w:t>71AE(1)</w:t>
      </w:r>
    </w:p>
    <w:p>
      <w:pPr>
        <w:pStyle w:val="DefinedTerms"/>
      </w:pPr>
      <w:r>
        <w:t>public utility services</w:t>
      </w:r>
      <w:r>
        <w:tab/>
        <w:t>49A(1), 98(1)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strata company</w:t>
      </w:r>
      <w:r>
        <w:tab/>
        <w:t>49A(1)</w:t>
      </w:r>
    </w:p>
    <w:p>
      <w:pPr>
        <w:pStyle w:val="DefinedTerms"/>
      </w:pPr>
      <w:r>
        <w:t>suitable repairer</w:t>
      </w:r>
      <w:r>
        <w:tab/>
        <w:t>43(1)</w:t>
      </w:r>
    </w:p>
    <w:p>
      <w:pPr>
        <w:pStyle w:val="DefinedTerms"/>
      </w:pPr>
      <w:r>
        <w:t>tenancy</w:t>
      </w:r>
      <w:r>
        <w:tab/>
        <w:t>3</w:t>
      </w:r>
    </w:p>
    <w:p>
      <w:pPr>
        <w:pStyle w:val="DefinedTerms"/>
      </w:pPr>
      <w:r>
        <w:t>tenancy period</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terminating tenant</w:t>
      </w:r>
      <w:r>
        <w:tab/>
        <w:t>71AC(1)</w:t>
      </w:r>
    </w:p>
    <w:p>
      <w:pPr>
        <w:pStyle w:val="DefinedTerms"/>
      </w:pPr>
      <w:r>
        <w:t>urgent repairs</w:t>
      </w:r>
      <w:r>
        <w:tab/>
        <w:t>43(1)</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rPr>
          <w:rFonts w:ascii="Arial" w:hAnsi="Arial" w:cs="Arial"/>
          <w:szCs w:val="24"/>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4" w:name="Schedule"/>
    <w:bookmarkEnd w:id="2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2" w:name="Compilation"/>
    <w:bookmarkEnd w:id="30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7" w:name="DefinedTerms"/>
    <w:bookmarkEnd w:id="30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8" w:name="Coversheet"/>
    <w:bookmarkEnd w:id="3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85503"/>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916219-E43F-4121-809E-6E9451DC6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166</Pages>
  <Words>42915</Words>
  <Characters>202131</Characters>
  <Application>Microsoft Office Word</Application>
  <DocSecurity>0</DocSecurity>
  <Lines>5319</Lines>
  <Paragraphs>2917</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242129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1987 - 06-k0-00</dc:title>
  <dc:subject/>
  <dc:creator/>
  <cp:keywords/>
  <dc:description/>
  <cp:lastModifiedBy>svcMRProcess</cp:lastModifiedBy>
  <cp:revision>4</cp:revision>
  <cp:lastPrinted>2019-04-15T08:42:00Z</cp:lastPrinted>
  <dcterms:created xsi:type="dcterms:W3CDTF">2020-04-30T04:40:00Z</dcterms:created>
  <dcterms:modified xsi:type="dcterms:W3CDTF">2020-04-30T04:40:00Z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AsAtDate">
    <vt:lpwstr>01 May 2020</vt:lpwstr>
  </property>
  <property fmtid="{D5CDD505-2E9C-101B-9397-08002B2CF9AE}" pid="8" name="Suffix">
    <vt:lpwstr>06-k0-00</vt:lpwstr>
  </property>
  <property fmtid="{D5CDD505-2E9C-101B-9397-08002B2CF9AE}" pid="9" name="CommencementDate">
    <vt:lpwstr>20200501</vt:lpwstr>
  </property>
</Properties>
</file>