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(Bungardi Restricted Area)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_Toc41047063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_Toc41047064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w:t>
      </w:r>
      <w:r>
        <w:t>: Bungardi Aboriginal Community</w:t>
      </w:r>
      <w:r>
        <w:tab/>
      </w:r>
      <w:r>
        <w:fldChar w:fldCharType="begin"/>
      </w:r>
      <w:r>
        <w:instrText xml:space="preserve"> PAGEREF _Toc41047065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_Toc41047066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_Toc41047067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Bungardi Aboriginal Community</w:t>
      </w:r>
      <w:r>
        <w:tab/>
      </w:r>
      <w:r>
        <w:fldChar w:fldCharType="begin"/>
      </w:r>
      <w:r>
        <w:instrText xml:space="preserve"> PAGEREF _Toc41047068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_Toc41047069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_Toc41047070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_Toc41047072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_Toc41047073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Control (Bungardi Restricted Area) Regulations 2017</w:t>
      </w:r>
    </w:p>
    <w:p>
      <w:pPr>
        <w:pStyle w:val="Heading5"/>
      </w:pPr>
      <w:bookmarkStart w:id="3" w:name="_Toc4104706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5" w:name="_Toc4104706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6" w:name="_Toc41047065"/>
      <w:r>
        <w:rPr>
          <w:rStyle w:val="CharSectno"/>
        </w:rPr>
        <w:t>3</w:t>
      </w:r>
      <w:r>
        <w:rPr>
          <w:snapToGrid w:val="0"/>
        </w:rPr>
        <w:t>.</w:t>
      </w:r>
      <w:r>
        <w:rPr>
          <w:snapToGrid w:val="0"/>
        </w:rPr>
        <w:tab/>
        <w:t>Term used</w:t>
      </w:r>
      <w:r>
        <w:t>: Bungardi Aboriginal Community</w:t>
      </w:r>
      <w:bookmarkEnd w:id="6"/>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pPr>
      <w:r>
        <w:tab/>
        <w:t>(b)</w:t>
      </w:r>
      <w:r>
        <w:tab/>
        <w:t>being part of Lot 289 Crown Reserve 45608, part of Lot 277 Crown Reserve 45046 and part of Lot 290 Crown Reserve 45609.</w:t>
      </w:r>
    </w:p>
    <w:p>
      <w:pPr>
        <w:pStyle w:val="Ednotesection"/>
      </w:pPr>
      <w:r>
        <w:t>[</w:t>
      </w:r>
      <w:r>
        <w:rPr>
          <w:b/>
        </w:rPr>
        <w:t>4.</w:t>
      </w:r>
      <w:r>
        <w:tab/>
        <w:t>Deleted: SL 2020/62 r. 4.]</w:t>
      </w:r>
    </w:p>
    <w:p>
      <w:pPr>
        <w:pStyle w:val="Heading5"/>
      </w:pPr>
      <w:bookmarkStart w:id="7" w:name="_Toc41047066"/>
      <w:r>
        <w:rPr>
          <w:rStyle w:val="CharSectno"/>
        </w:rPr>
        <w:t>5</w:t>
      </w:r>
      <w:r>
        <w:t>.</w:t>
      </w:r>
      <w:r>
        <w:tab/>
        <w:t>Declaration of restricted area</w:t>
      </w:r>
      <w:bookmarkEnd w:id="7"/>
    </w:p>
    <w:p>
      <w:pPr>
        <w:pStyle w:val="Subsection"/>
      </w:pPr>
      <w:r>
        <w:tab/>
      </w:r>
      <w:r>
        <w:tab/>
        <w:t>The Bungardi Aboriginal Community is declared to be a restricted area for the purposes of section 175(1a) of the Act.</w:t>
      </w:r>
    </w:p>
    <w:p>
      <w:pPr>
        <w:pStyle w:val="Heading5"/>
      </w:pPr>
      <w:bookmarkStart w:id="8" w:name="_Toc41047067"/>
      <w:r>
        <w:rPr>
          <w:rStyle w:val="CharSectno"/>
        </w:rPr>
        <w:t>6</w:t>
      </w:r>
      <w:r>
        <w:t>.</w:t>
      </w:r>
      <w:r>
        <w:tab/>
        <w:t>Notice of restricted area</w:t>
      </w:r>
      <w:bookmarkEnd w:id="8"/>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41047068"/>
      <w:r>
        <w:rPr>
          <w:rStyle w:val="CharSectno"/>
        </w:rPr>
        <w:t>7</w:t>
      </w:r>
      <w:r>
        <w:t>.</w:t>
      </w:r>
      <w:r>
        <w:tab/>
        <w:t>Prohibitions as to liquor in the Bungardi Aboriginal Community</w:t>
      </w:r>
      <w:bookmarkEnd w:id="9"/>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41047069"/>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41047070"/>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19 August 2023.</w:t>
      </w:r>
    </w:p>
    <w:p>
      <w:pPr>
        <w:pStyle w:val="Footnotesection"/>
      </w:pPr>
      <w:r>
        <w:tab/>
        <w:t>[Regulation 9 inserted: SL 2020/62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3"/>
          <w:headerReference w:type="defaul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41036649"/>
      <w:bookmarkStart w:id="13" w:name="_Toc41046068"/>
      <w:bookmarkStart w:id="14" w:name="_Toc41047071"/>
      <w:bookmarkStart w:id="15" w:name="_Toc41035031"/>
      <w:r>
        <w:t>Notes</w:t>
      </w:r>
      <w:bookmarkEnd w:id="12"/>
      <w:bookmarkEnd w:id="13"/>
      <w:bookmarkEnd w:id="14"/>
    </w:p>
    <w:p>
      <w:pPr>
        <w:pStyle w:val="nStatement"/>
      </w:pPr>
      <w:r>
        <w:t xml:space="preserve">This is a compilation of the </w:t>
      </w:r>
      <w:r>
        <w:rPr>
          <w:i/>
          <w:noProof/>
        </w:rPr>
        <w:t>Liquor Control (Bungardi Restricted Area) Regulations 2017</w:t>
      </w:r>
      <w:r>
        <w:t xml:space="preserve"> and includes amendments made by other written laws</w:t>
      </w:r>
      <w:r>
        <w:rPr>
          <w:vertAlign w:val="superscript"/>
        </w:rPr>
        <w:t> 1</w:t>
      </w:r>
      <w:r>
        <w:t>. For provisions that have come into operation see the compilation table.</w:t>
      </w:r>
    </w:p>
    <w:p>
      <w:pPr>
        <w:pStyle w:val="nHeading3"/>
      </w:pPr>
      <w:bookmarkStart w:id="16" w:name="_Toc41047072"/>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single" w:sz="4" w:space="0" w:color="auto"/>
            </w:tcBorders>
          </w:tcPr>
          <w:p>
            <w:pPr>
              <w:pStyle w:val="nTable"/>
              <w:spacing w:after="40"/>
            </w:pPr>
            <w:r>
              <w:rPr>
                <w:i/>
              </w:rPr>
              <w:t>Racing and Gaming Regulations Amendment (Liquor Control) Regulations 2020</w:t>
            </w:r>
            <w:r>
              <w:t xml:space="preserve"> Pt. 2</w:t>
            </w:r>
          </w:p>
        </w:tc>
        <w:tc>
          <w:tcPr>
            <w:tcW w:w="1276" w:type="dxa"/>
            <w:tcBorders>
              <w:top w:val="nil"/>
              <w:bottom w:val="single" w:sz="4" w:space="0" w:color="auto"/>
            </w:tcBorders>
          </w:tcPr>
          <w:p>
            <w:pPr>
              <w:pStyle w:val="nTable"/>
              <w:spacing w:after="40"/>
            </w:pPr>
            <w:r>
              <w:t>SL 2020/62 22 May 2020</w:t>
            </w:r>
          </w:p>
        </w:tc>
        <w:tc>
          <w:tcPr>
            <w:tcW w:w="2693" w:type="dxa"/>
            <w:tcBorders>
              <w:top w:val="nil"/>
              <w:bottom w:val="single" w:sz="4" w:space="0" w:color="auto"/>
            </w:tcBorders>
          </w:tcPr>
          <w:p>
            <w:pPr>
              <w:pStyle w:val="nTable"/>
              <w:spacing w:after="40"/>
            </w:pPr>
            <w:r>
              <w:t>23 May 2020 (see r. 2(b))</w:t>
            </w:r>
          </w:p>
        </w:tc>
      </w:tr>
    </w:tbl>
    <w:p>
      <w:pPr>
        <w:pStyle w:val="nHeading3"/>
      </w:pPr>
      <w:bookmarkStart w:id="17" w:name="_Toc41047073"/>
      <w:r>
        <w:t>Other notes</w:t>
      </w:r>
      <w:bookmarkEnd w:id="17"/>
    </w:p>
    <w:p>
      <w:pPr>
        <w:pStyle w:val="nSubsection"/>
      </w:pPr>
      <w:r>
        <w:rPr>
          <w:vertAlign w:val="superscript"/>
        </w:rPr>
        <w:t>1</w:t>
      </w:r>
      <w:r>
        <w:tab/>
        <w:t>These regulations expire at the close of 19 August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9" w:name="_Toc41046071"/>
      <w:bookmarkStart w:id="20" w:name="_Toc41047074"/>
      <w:bookmarkEnd w:id="15"/>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Bungardi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 w:name="DefinedTerms"/>
    <w:bookmarkEnd w:id="2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012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C26C0-F296-41B3-B10B-C6662814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803</Words>
  <Characters>4026</Characters>
  <Application>Microsoft Office Word</Application>
  <DocSecurity>0</DocSecurity>
  <Lines>149</Lines>
  <Paragraphs>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2017 - 00-b0-01</dc:title>
  <dc:subject/>
  <dc:creator/>
  <cp:keywords/>
  <dc:description/>
  <cp:lastModifiedBy>svcMRProcess</cp:lastModifiedBy>
  <cp:revision>4</cp:revision>
  <cp:lastPrinted>2017-08-17T07:26:00Z</cp:lastPrinted>
  <dcterms:created xsi:type="dcterms:W3CDTF">2020-05-22T07:45:00Z</dcterms:created>
  <dcterms:modified xsi:type="dcterms:W3CDTF">2020-05-22T07:45:00Z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AsAtDate">
    <vt:lpwstr>23 May 2020</vt:lpwstr>
  </property>
  <property fmtid="{D5CDD505-2E9C-101B-9397-08002B2CF9AE}" pid="8" name="Suffix">
    <vt:lpwstr>00-b0-01</vt:lpwstr>
  </property>
  <property fmtid="{D5CDD505-2E9C-101B-9397-08002B2CF9AE}" pid="9" name="CommencementDate">
    <vt:lpwstr>20200523</vt:lpwstr>
  </property>
</Properties>
</file>