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_Toc41319759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_Toc41319760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_Toc41319761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notice prescribed</w:t>
      </w:r>
      <w:r>
        <w:tab/>
      </w:r>
      <w:r>
        <w:fldChar w:fldCharType="begin"/>
      </w:r>
      <w:r>
        <w:instrText xml:space="preserve"> PAGEREF _Toc41319762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payment for cabinetry work (section 10(1)(a)(ii))</w:t>
      </w:r>
      <w:r>
        <w:tab/>
      </w:r>
      <w:r>
        <w:fldChar w:fldCharType="begin"/>
      </w:r>
      <w:r>
        <w:instrText xml:space="preserve"> PAGEREF _Toc41319763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_Toc41319764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_Toc41319765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_Toc41319766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_Toc41319767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_Toc41319768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_Toc41319769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_Toc41319773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3" w:name="_Toc41319700"/>
      <w:bookmarkStart w:id="4" w:name="_Toc4131975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5" w:name="_Toc41319701"/>
      <w:bookmarkStart w:id="6" w:name="_Toc4131976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7" w:name="_Toc41319702"/>
      <w:bookmarkStart w:id="8" w:name="_Toc41319761"/>
      <w:r>
        <w:rPr>
          <w:rStyle w:val="CharSectno"/>
        </w:rPr>
        <w:t>2A</w:t>
      </w:r>
      <w:r>
        <w:t>.</w:t>
      </w:r>
      <w:r>
        <w:tab/>
        <w:t>Prescribed amounts for the purposes of “home building work contract” (section 3(1))</w:t>
      </w:r>
      <w:bookmarkEnd w:id="7"/>
      <w:bookmarkEnd w:id="8"/>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9" w:name="_Toc41319703"/>
      <w:bookmarkStart w:id="10" w:name="_Toc41319762"/>
      <w:r>
        <w:rPr>
          <w:rStyle w:val="CharSectno"/>
        </w:rPr>
        <w:t>3</w:t>
      </w:r>
      <w:r>
        <w:rPr>
          <w:snapToGrid w:val="0"/>
        </w:rPr>
        <w:t>.</w:t>
      </w:r>
      <w:r>
        <w:rPr>
          <w:snapToGrid w:val="0"/>
        </w:rPr>
        <w:tab/>
        <w:t>Form of notice prescribed</w:t>
      </w:r>
      <w:bookmarkEnd w:id="9"/>
      <w:bookmarkEnd w:id="10"/>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11" w:name="_Toc41319704"/>
      <w:bookmarkStart w:id="12" w:name="_Toc41319763"/>
      <w:r>
        <w:rPr>
          <w:rStyle w:val="CharSectno"/>
        </w:rPr>
        <w:t>3A</w:t>
      </w:r>
      <w:r>
        <w:t>.</w:t>
      </w:r>
      <w:r>
        <w:tab/>
        <w:t>Prescribed payment for cabinetry work (section 10(1)(a)(ii))</w:t>
      </w:r>
      <w:bookmarkEnd w:id="11"/>
      <w:bookmarkEnd w:id="12"/>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13" w:name="_Toc41319705"/>
      <w:bookmarkStart w:id="14" w:name="_Toc41319764"/>
      <w:r>
        <w:rPr>
          <w:rStyle w:val="CharSectno"/>
        </w:rPr>
        <w:t>5</w:t>
      </w:r>
      <w:r>
        <w:rPr>
          <w:snapToGrid w:val="0"/>
        </w:rPr>
        <w:t>.</w:t>
      </w:r>
      <w:r>
        <w:rPr>
          <w:snapToGrid w:val="0"/>
        </w:rPr>
        <w:tab/>
        <w:t>Home indemnity insurance maximum excess</w:t>
      </w:r>
      <w:bookmarkEnd w:id="13"/>
      <w:bookmarkEnd w:id="14"/>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15" w:name="_Toc41319706"/>
      <w:bookmarkStart w:id="16" w:name="_Toc41319765"/>
      <w:r>
        <w:rPr>
          <w:rStyle w:val="CharSectno"/>
        </w:rPr>
        <w:t>6A</w:t>
      </w:r>
      <w:r>
        <w:t>.</w:t>
      </w:r>
      <w:r>
        <w:tab/>
        <w:t>Prescribed building service contractors: section 25A</w:t>
      </w:r>
      <w:bookmarkEnd w:id="15"/>
      <w:bookmarkEnd w:id="16"/>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7" w:name="_Toc41319707"/>
      <w:bookmarkStart w:id="18" w:name="_Toc41319766"/>
      <w:r>
        <w:t>7.</w:t>
      </w:r>
      <w:r>
        <w:tab/>
      </w:r>
      <w:r>
        <w:rPr>
          <w:spacing w:val="-4"/>
        </w:rPr>
        <w:t>Prescribed minimum amount for the purposes of section 25A</w:t>
      </w:r>
      <w:bookmarkEnd w:id="17"/>
      <w:bookmarkEnd w:id="18"/>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pPr>
      <w:r>
        <w:t>[</w:t>
      </w:r>
      <w:r>
        <w:rPr>
          <w:b/>
        </w:rPr>
        <w:t>7A.</w:t>
      </w:r>
      <w:r>
        <w:tab/>
        <w:t>Deleted: Gazette 24 Dec 2019 p. 4417.]</w:t>
      </w:r>
    </w:p>
    <w:p>
      <w:pPr>
        <w:pStyle w:val="Heading5"/>
        <w:keepLines w:val="0"/>
        <w:spacing w:before="180"/>
      </w:pPr>
      <w:bookmarkStart w:id="19" w:name="_Toc41319708"/>
      <w:bookmarkStart w:id="20" w:name="_Toc41319767"/>
      <w:r>
        <w:rPr>
          <w:rStyle w:val="CharSectno"/>
        </w:rPr>
        <w:t>8</w:t>
      </w:r>
      <w:r>
        <w:t>.</w:t>
      </w:r>
      <w:r>
        <w:tab/>
        <w:t>Prescribed offences and modified penalties (section 31B(2) and (4))</w:t>
      </w:r>
      <w:bookmarkEnd w:id="19"/>
      <w:bookmarkEnd w:id="20"/>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1" w:name="_Toc41319709"/>
      <w:bookmarkStart w:id="22" w:name="_Toc41319768"/>
      <w:r>
        <w:rPr>
          <w:rStyle w:val="CharSectno"/>
        </w:rPr>
        <w:t>9</w:t>
      </w:r>
      <w:r>
        <w:t>.</w:t>
      </w:r>
      <w:r>
        <w:tab/>
        <w:t>Prescribed form of infringement notice (section 31B(3))</w:t>
      </w:r>
      <w:bookmarkEnd w:id="21"/>
      <w:bookmarkEnd w:id="22"/>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23" w:name="_Toc41319710"/>
      <w:bookmarkStart w:id="24" w:name="_Toc41319769"/>
      <w:r>
        <w:rPr>
          <w:rStyle w:val="CharSectno"/>
        </w:rPr>
        <w:t>10</w:t>
      </w:r>
      <w:r>
        <w:t>.</w:t>
      </w:r>
      <w:r>
        <w:tab/>
        <w:t>Prescribed form of notice withdrawing infringement notice (section 31B(7))</w:t>
      </w:r>
      <w:bookmarkEnd w:id="23"/>
      <w:bookmarkEnd w:id="24"/>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5" w:name="_Toc32312566"/>
      <w:bookmarkStart w:id="26" w:name="_Toc41311552"/>
      <w:bookmarkStart w:id="27" w:name="_Toc41311566"/>
      <w:bookmarkStart w:id="28" w:name="_Toc41312764"/>
      <w:bookmarkStart w:id="29" w:name="_Toc41319386"/>
      <w:bookmarkStart w:id="30" w:name="_Toc41319684"/>
      <w:bookmarkStart w:id="31" w:name="_Toc41319711"/>
      <w:bookmarkStart w:id="32" w:name="_Toc41319770"/>
      <w:r>
        <w:rPr>
          <w:rStyle w:val="CharSchNo"/>
        </w:rPr>
        <w:t>Schedule 1</w:t>
      </w:r>
      <w:bookmarkEnd w:id="25"/>
      <w:bookmarkEnd w:id="26"/>
      <w:bookmarkEnd w:id="27"/>
      <w:bookmarkEnd w:id="28"/>
      <w:bookmarkEnd w:id="29"/>
      <w:bookmarkEnd w:id="30"/>
      <w:bookmarkEnd w:id="31"/>
      <w:bookmarkEnd w:id="32"/>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5.]</w:t>
      </w:r>
    </w:p>
    <w:p>
      <w:pPr>
        <w:pStyle w:val="yEdnoteschedule"/>
        <w:rPr>
          <w:snapToGrid/>
        </w:rPr>
      </w:pPr>
      <w:r>
        <w:rPr>
          <w:snapToGrid/>
        </w:rPr>
        <w:t>[Schedules 2</w:t>
      </w:r>
      <w:r>
        <w:rPr>
          <w:snapToGrid/>
        </w:rPr>
        <w:noBreakHyphen/>
        <w:t>8 deleted: Gazette 2 Sep 2003 p. 3930.]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3" w:name="_Toc32312567"/>
      <w:bookmarkStart w:id="34" w:name="_Toc41311553"/>
      <w:bookmarkStart w:id="35" w:name="_Toc41311567"/>
      <w:bookmarkStart w:id="36" w:name="_Toc41312765"/>
      <w:bookmarkStart w:id="37" w:name="_Toc41319387"/>
      <w:bookmarkStart w:id="38" w:name="_Toc41319685"/>
      <w:bookmarkStart w:id="39" w:name="_Toc41319712"/>
      <w:bookmarkStart w:id="40" w:name="_Toc41319771"/>
      <w:r>
        <w:rPr>
          <w:rStyle w:val="CharSchNo"/>
        </w:rPr>
        <w:t>Schedule 9</w:t>
      </w:r>
      <w:r>
        <w:t> — </w:t>
      </w:r>
      <w:r>
        <w:rPr>
          <w:rStyle w:val="CharSchText"/>
        </w:rPr>
        <w:t>Prescribed forms</w:t>
      </w:r>
      <w:bookmarkEnd w:id="33"/>
      <w:bookmarkEnd w:id="34"/>
      <w:bookmarkEnd w:id="35"/>
      <w:bookmarkEnd w:id="36"/>
      <w:bookmarkEnd w:id="37"/>
      <w:bookmarkEnd w:id="38"/>
      <w:bookmarkEnd w:id="39"/>
      <w:bookmarkEnd w:id="40"/>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42" w:name="_Toc32312568"/>
      <w:bookmarkStart w:id="43" w:name="_Toc41311554"/>
      <w:bookmarkStart w:id="44" w:name="_Toc41311568"/>
      <w:bookmarkStart w:id="45" w:name="_Toc41312766"/>
      <w:bookmarkStart w:id="46" w:name="_Toc41319388"/>
      <w:bookmarkStart w:id="47" w:name="_Toc41319686"/>
      <w:bookmarkStart w:id="48" w:name="_Toc41319713"/>
      <w:bookmarkStart w:id="49" w:name="_Toc41319772"/>
      <w:r>
        <w:t>Notes</w:t>
      </w:r>
      <w:bookmarkEnd w:id="42"/>
      <w:bookmarkEnd w:id="43"/>
      <w:bookmarkEnd w:id="44"/>
      <w:bookmarkEnd w:id="45"/>
      <w:bookmarkEnd w:id="46"/>
      <w:bookmarkEnd w:id="47"/>
      <w:bookmarkEnd w:id="48"/>
      <w:bookmarkEnd w:id="49"/>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p>
    <w:p>
      <w:pPr>
        <w:pStyle w:val="nHeading3"/>
      </w:pPr>
      <w:bookmarkStart w:id="50" w:name="_Toc41319714"/>
      <w:bookmarkStart w:id="51" w:name="_Toc41319773"/>
      <w:r>
        <w:t>Compilation table</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2020</w:t>
            </w:r>
          </w:p>
        </w:tc>
        <w:tc>
          <w:tcPr>
            <w:tcW w:w="1277" w:type="dxa"/>
            <w:tcBorders>
              <w:top w:val="nil"/>
              <w:bottom w:val="single" w:sz="4" w:space="0" w:color="auto"/>
            </w:tcBorders>
          </w:tcPr>
          <w:p>
            <w:pPr>
              <w:pStyle w:val="nTable"/>
            </w:pPr>
            <w:r>
              <w:t>SL 2020/66 26 May 2020</w:t>
            </w:r>
          </w:p>
        </w:tc>
        <w:tc>
          <w:tcPr>
            <w:tcW w:w="2693" w:type="dxa"/>
            <w:tcBorders>
              <w:top w:val="nil"/>
              <w:bottom w:val="single" w:sz="4" w:space="0" w:color="auto"/>
            </w:tcBorders>
          </w:tcPr>
          <w:p>
            <w:pPr>
              <w:pStyle w:val="nTable"/>
              <w:rPr>
                <w:bCs/>
                <w:snapToGrid w:val="0"/>
                <w:spacing w:val="-2"/>
              </w:rPr>
            </w:pPr>
            <w:r>
              <w:t>r. 1 and 2: 26 May 2020 (see r. 2(a));</w:t>
            </w:r>
            <w:r>
              <w:br/>
              <w:t>Regulations other than r. 1 and 2: 27 May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3" w:name="_Toc41319390"/>
      <w:bookmarkStart w:id="54" w:name="_Toc41319688"/>
      <w:bookmarkStart w:id="55" w:name="_Toc41319715"/>
      <w:bookmarkStart w:id="56" w:name="_Toc41319774"/>
      <w:r>
        <w:rPr>
          <w:sz w:val="28"/>
        </w:rPr>
        <w:t>Defined terms</w:t>
      </w:r>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cabinetry work</w:t>
      </w:r>
      <w:r>
        <w:tab/>
        <w:t>3A(1)</w:t>
      </w:r>
    </w:p>
    <w:p>
      <w:pPr>
        <w:pStyle w:val="DefinedTerms"/>
      </w:pPr>
      <w:r>
        <w:t>off</w:t>
      </w:r>
      <w:r>
        <w:noBreakHyphen/>
        <w:t>site work</w:t>
      </w:r>
      <w:r>
        <w:tab/>
        <w:t>3A(1)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1" w:name="Schedule"/>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7" w:name="DefinedTerms"/>
    <w:bookmarkEnd w:id="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lvlText w:val="%1."/>
      <w:lvlJc w:val="left"/>
      <w:pPr>
        <w:tabs>
          <w:tab w:val="num" w:pos="1800"/>
        </w:tabs>
        <w:ind w:left="1800" w:hanging="360"/>
      </w:pPr>
    </w:lvl>
  </w:abstractNum>
  <w:abstractNum w:abstractNumId="1">
    <w:nsid w:val="FFFFFF7D"/>
    <w:multiLevelType w:val="singleLevel"/>
    <w:tmpl w:val="4156D5E8"/>
    <w:lvl w:ilvl="0">
      <w:start w:val="1"/>
      <w:numFmt w:val="decimal"/>
      <w:lvlText w:val="%1."/>
      <w:lvlJc w:val="left"/>
      <w:pPr>
        <w:tabs>
          <w:tab w:val="num" w:pos="1440"/>
        </w:tabs>
        <w:ind w:left="1440" w:hanging="360"/>
      </w:pPr>
    </w:lvl>
  </w:abstractNum>
  <w:abstractNum w:abstractNumId="2">
    <w:nsid w:val="FFFFFF7E"/>
    <w:multiLevelType w:val="singleLevel"/>
    <w:tmpl w:val="E5440F6E"/>
    <w:lvl w:ilvl="0">
      <w:start w:val="1"/>
      <w:numFmt w:val="decimal"/>
      <w:lvlText w:val="%1."/>
      <w:lvlJc w:val="left"/>
      <w:pPr>
        <w:tabs>
          <w:tab w:val="num" w:pos="1080"/>
        </w:tabs>
        <w:ind w:left="1080" w:hanging="360"/>
      </w:pPr>
    </w:lvl>
  </w:abstractNum>
  <w:abstractNum w:abstractNumId="3">
    <w:nsid w:val="FFFFFF7F"/>
    <w:multiLevelType w:val="singleLevel"/>
    <w:tmpl w:val="9B6E54DC"/>
    <w:lvl w:ilvl="0">
      <w:start w:val="1"/>
      <w:numFmt w:val="decimal"/>
      <w:lvlText w:val="%1."/>
      <w:lvlJc w:val="left"/>
      <w:pPr>
        <w:tabs>
          <w:tab w:val="num" w:pos="720"/>
        </w:tabs>
        <w:ind w:left="720" w:hanging="360"/>
      </w:pPr>
    </w:lvl>
  </w:abstractNum>
  <w:abstractNum w:abstractNumId="4">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lvlText w:val="%1."/>
      <w:lvlJc w:val="left"/>
      <w:pPr>
        <w:tabs>
          <w:tab w:val="num" w:pos="360"/>
        </w:tabs>
        <w:ind w:left="360" w:hanging="360"/>
      </w:pPr>
    </w:lvl>
  </w:abstractNum>
  <w:abstractNum w:abstractNumId="9">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204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4631</Words>
  <Characters>23670</Characters>
  <Application>Microsoft Office Word</Application>
  <DocSecurity>0</DocSecurity>
  <Lines>696</Lines>
  <Paragraphs>435</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1992 - 03-g0-00</dc:title>
  <dc:subject/>
  <dc:creator/>
  <cp:keywords/>
  <dc:description/>
  <cp:lastModifiedBy>svcMRProcess</cp:lastModifiedBy>
  <cp:revision>4</cp:revision>
  <cp:lastPrinted>2012-05-07T04:04:00Z</cp:lastPrinted>
  <dcterms:created xsi:type="dcterms:W3CDTF">2020-05-26T06:34:00Z</dcterms:created>
  <dcterms:modified xsi:type="dcterms:W3CDTF">2020-05-26T06:34:00Z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20200527</vt:lpwstr>
  </property>
  <property fmtid="{D5CDD505-2E9C-101B-9397-08002B2CF9AE}" pid="8" name="AsAtDate">
    <vt:lpwstr>27 May 2020</vt:lpwstr>
  </property>
  <property fmtid="{D5CDD505-2E9C-101B-9397-08002B2CF9AE}" pid="9" name="Suffix">
    <vt:lpwstr>03-g0-00</vt:lpwstr>
  </property>
</Properties>
</file>