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Commercial Tenancies (COVID-19 Response)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Tenancies (COVID-19 Response)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_Toc41635869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_Toc41635870 \h </w:instrText>
      </w:r>
      <w:r>
        <w:fldChar w:fldCharType="separate"/>
      </w:r>
      <w:r>
        <w:t>1</w:t>
      </w:r>
      <w:r>
        <w:fldChar w:fldCharType="end"/>
      </w:r>
    </w:p>
    <w:p>
      <w:pPr>
        <w:pStyle w:val="TOC8"/>
        <w:rPr>
          <w:rFonts w:asciiTheme="minorHAnsi" w:eastAsiaTheme="minorEastAsia" w:hAnsiTheme="minorHAnsi" w:cstheme="minorBidi"/>
          <w:szCs w:val="22"/>
        </w:rPr>
      </w:pPr>
      <w:r>
        <w:t>3.</w:t>
      </w:r>
      <w:r>
        <w:tab/>
        <w:t>Adopted code of conduct (s. 13)</w:t>
      </w:r>
      <w:r>
        <w:tab/>
      </w:r>
      <w:r>
        <w:fldChar w:fldCharType="begin"/>
      </w:r>
      <w:r>
        <w:instrText xml:space="preserve"> PAGEREF _Toc41635871 \h </w:instrText>
      </w:r>
      <w:r>
        <w:fldChar w:fldCharType="separate"/>
      </w:r>
      <w:r>
        <w:t>1</w:t>
      </w:r>
      <w:r>
        <w:fldChar w:fldCharType="end"/>
      </w:r>
    </w:p>
    <w:p>
      <w:pPr>
        <w:pStyle w:val="TOC8"/>
        <w:rPr>
          <w:rFonts w:asciiTheme="minorHAnsi" w:eastAsiaTheme="minorEastAsia" w:hAnsiTheme="minorHAnsi" w:cstheme="minorBidi"/>
          <w:szCs w:val="22"/>
        </w:rPr>
      </w:pPr>
      <w:r>
        <w:t>4.</w:t>
      </w:r>
      <w:r>
        <w:tab/>
        <w:t>Copies of applications under s. 16(1) of Act (s. 16(6))</w:t>
      </w:r>
      <w:r>
        <w:tab/>
      </w:r>
      <w:r>
        <w:fldChar w:fldCharType="begin"/>
      </w:r>
      <w:r>
        <w:instrText xml:space="preserve"> PAGEREF _Toc41635872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17(5)(b) of Act does not apply in certain cases (s. 23)</w:t>
      </w:r>
      <w:r>
        <w:tab/>
      </w:r>
      <w:r>
        <w:fldChar w:fldCharType="begin"/>
      </w:r>
      <w:r>
        <w:instrText xml:space="preserve"> PAGEREF _Toc41635873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_Toc41635876 \h </w:instrText>
      </w:r>
      <w:r>
        <w:fldChar w:fldCharType="separate"/>
      </w:r>
      <w:r>
        <w:t>3</w:t>
      </w:r>
      <w:r>
        <w:fldChar w:fldCharType="end"/>
      </w:r>
    </w:p>
    <w:p>
      <w:pPr>
        <w:pStyle w:val="TOC8"/>
        <w:rPr>
          <w:rFonts w:asciiTheme="minorHAnsi" w:eastAsiaTheme="minorEastAsia" w:hAnsiTheme="minorHAnsi" w:cstheme="minorBidi"/>
          <w:szCs w:val="22"/>
        </w:rPr>
      </w:pPr>
      <w:r>
        <w:t>2.</w:t>
      </w:r>
      <w:r>
        <w:tab/>
        <w:t>Eligible tenants</w:t>
      </w:r>
      <w:r>
        <w:tab/>
      </w:r>
      <w:r>
        <w:fldChar w:fldCharType="begin"/>
      </w:r>
      <w:r>
        <w:instrText xml:space="preserve"> PAGEREF _Toc41635877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Purpose and overarching obligations of landlords and tenants</w:t>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_Toc41635879 \h </w:instrText>
      </w:r>
      <w:r>
        <w:fldChar w:fldCharType="separate"/>
      </w:r>
      <w:r>
        <w:t>5</w:t>
      </w:r>
      <w:r>
        <w:fldChar w:fldCharType="end"/>
      </w:r>
    </w:p>
    <w:p>
      <w:pPr>
        <w:pStyle w:val="TOC8"/>
        <w:rPr>
          <w:rFonts w:asciiTheme="minorHAnsi" w:eastAsiaTheme="minorEastAsia" w:hAnsiTheme="minorHAnsi" w:cstheme="minorBidi"/>
          <w:szCs w:val="22"/>
        </w:rPr>
      </w:pPr>
      <w:r>
        <w:t>4.</w:t>
      </w:r>
      <w:r>
        <w:tab/>
        <w:t>Overarching obligations of landlords and tenants</w:t>
      </w:r>
      <w:r>
        <w:tab/>
      </w:r>
      <w:r>
        <w:fldChar w:fldCharType="begin"/>
      </w:r>
      <w:r>
        <w:instrText xml:space="preserve"> PAGEREF _Toc41635880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Principles applying to rent relief</w:t>
      </w:r>
    </w:p>
    <w:p>
      <w:pPr>
        <w:pStyle w:val="TOC8"/>
        <w:rPr>
          <w:rFonts w:asciiTheme="minorHAnsi" w:eastAsiaTheme="minorEastAsia" w:hAnsiTheme="minorHAnsi" w:cstheme="minorBidi"/>
          <w:szCs w:val="22"/>
        </w:rPr>
      </w:pPr>
      <w:r>
        <w:t>5.</w:t>
      </w:r>
      <w:r>
        <w:tab/>
        <w:t>Requesting rent relief</w:t>
      </w:r>
      <w:r>
        <w:tab/>
      </w:r>
      <w:r>
        <w:fldChar w:fldCharType="begin"/>
      </w:r>
      <w:r>
        <w:instrText xml:space="preserve"> PAGEREF _Toc41635882 \h </w:instrText>
      </w:r>
      <w:r>
        <w:fldChar w:fldCharType="separate"/>
      </w:r>
      <w:r>
        <w:t>5</w:t>
      </w:r>
      <w:r>
        <w:fldChar w:fldCharType="end"/>
      </w:r>
    </w:p>
    <w:p>
      <w:pPr>
        <w:pStyle w:val="TOC8"/>
        <w:rPr>
          <w:rFonts w:asciiTheme="minorHAnsi" w:eastAsiaTheme="minorEastAsia" w:hAnsiTheme="minorHAnsi" w:cstheme="minorBidi"/>
          <w:szCs w:val="22"/>
        </w:rPr>
      </w:pPr>
      <w:r>
        <w:t>6.</w:t>
      </w:r>
      <w:r>
        <w:tab/>
        <w:t>Offering and negotiating rent relief</w:t>
      </w:r>
      <w:r>
        <w:tab/>
      </w:r>
      <w:r>
        <w:fldChar w:fldCharType="begin"/>
      </w:r>
      <w:r>
        <w:instrText xml:space="preserve"> PAGEREF _Toc41635883 \h </w:instrText>
      </w:r>
      <w:r>
        <w:fldChar w:fldCharType="separate"/>
      </w:r>
      <w:r>
        <w:t>6</w:t>
      </w:r>
      <w:r>
        <w:fldChar w:fldCharType="end"/>
      </w:r>
    </w:p>
    <w:p>
      <w:pPr>
        <w:pStyle w:val="TOC8"/>
        <w:rPr>
          <w:rFonts w:asciiTheme="minorHAnsi" w:eastAsiaTheme="minorEastAsia" w:hAnsiTheme="minorHAnsi" w:cstheme="minorBidi"/>
          <w:szCs w:val="22"/>
        </w:rPr>
      </w:pPr>
      <w:r>
        <w:t>7.</w:t>
      </w:r>
      <w:r>
        <w:tab/>
        <w:t>Principles applying to offering and negotiating rent relief</w:t>
      </w:r>
      <w:r>
        <w:tab/>
      </w:r>
      <w:r>
        <w:fldChar w:fldCharType="begin"/>
      </w:r>
      <w:r>
        <w:instrText xml:space="preserve"> PAGEREF _Toc41635884 \h </w:instrText>
      </w:r>
      <w:r>
        <w:fldChar w:fldCharType="separate"/>
      </w:r>
      <w:r>
        <w:t>7</w:t>
      </w:r>
      <w:r>
        <w:fldChar w:fldCharType="end"/>
      </w:r>
    </w:p>
    <w:p>
      <w:pPr>
        <w:pStyle w:val="TOC8"/>
        <w:rPr>
          <w:rFonts w:asciiTheme="minorHAnsi" w:eastAsiaTheme="minorEastAsia" w:hAnsiTheme="minorHAnsi" w:cstheme="minorBidi"/>
          <w:szCs w:val="22"/>
        </w:rPr>
      </w:pPr>
      <w:r>
        <w:t>8.</w:t>
      </w:r>
      <w:r>
        <w:tab/>
        <w:t>Giving effect to rent relief</w:t>
      </w:r>
      <w:r>
        <w:tab/>
      </w:r>
      <w:r>
        <w:fldChar w:fldCharType="begin"/>
      </w:r>
      <w:r>
        <w:instrText xml:space="preserve"> PAGEREF _Toc41635885 \h </w:instrText>
      </w:r>
      <w:r>
        <w:fldChar w:fldCharType="separate"/>
      </w:r>
      <w:r>
        <w:t>8</w:t>
      </w:r>
      <w:r>
        <w:fldChar w:fldCharType="end"/>
      </w:r>
    </w:p>
    <w:p>
      <w:pPr>
        <w:pStyle w:val="TOC8"/>
        <w:rPr>
          <w:rFonts w:asciiTheme="minorHAnsi" w:eastAsiaTheme="minorEastAsia" w:hAnsiTheme="minorHAnsi" w:cstheme="minorBidi"/>
          <w:szCs w:val="22"/>
        </w:rPr>
      </w:pPr>
      <w:r>
        <w:t>9.</w:t>
      </w:r>
      <w:r>
        <w:tab/>
        <w:t>Payment of deferred rent and extension of term of lease</w:t>
      </w:r>
      <w:r>
        <w:tab/>
      </w:r>
      <w:r>
        <w:fldChar w:fldCharType="begin"/>
      </w:r>
      <w:r>
        <w:instrText xml:space="preserve"> PAGEREF _Toc41635886 \h </w:instrText>
      </w:r>
      <w:r>
        <w:fldChar w:fldCharType="separate"/>
      </w:r>
      <w:r>
        <w:t>8</w:t>
      </w:r>
      <w:r>
        <w:fldChar w:fldCharType="end"/>
      </w:r>
    </w:p>
    <w:p>
      <w:pPr>
        <w:pStyle w:val="TOC8"/>
        <w:rPr>
          <w:rFonts w:asciiTheme="minorHAnsi" w:eastAsiaTheme="minorEastAsia" w:hAnsiTheme="minorHAnsi" w:cstheme="minorBidi"/>
          <w:szCs w:val="22"/>
        </w:rPr>
      </w:pPr>
      <w:r>
        <w:t>10.</w:t>
      </w:r>
      <w:r>
        <w:tab/>
        <w:t>Existing agreements and subsequent requests for rent relief</w:t>
      </w:r>
      <w:r>
        <w:tab/>
      </w:r>
      <w:r>
        <w:fldChar w:fldCharType="begin"/>
      </w:r>
      <w:r>
        <w:instrText xml:space="preserve"> PAGEREF _Toc41635887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Principles applying to outgoings and other expenses</w:t>
      </w:r>
    </w:p>
    <w:p>
      <w:pPr>
        <w:pStyle w:val="TOC8"/>
        <w:rPr>
          <w:rFonts w:asciiTheme="minorHAnsi" w:eastAsiaTheme="minorEastAsia" w:hAnsiTheme="minorHAnsi" w:cstheme="minorBidi"/>
          <w:szCs w:val="22"/>
        </w:rPr>
      </w:pPr>
      <w:r>
        <w:t>11.</w:t>
      </w:r>
      <w:r>
        <w:tab/>
        <w:t>Recovery of outgoings and other expenses</w:t>
      </w:r>
      <w:r>
        <w:tab/>
      </w:r>
      <w:r>
        <w:fldChar w:fldCharType="begin"/>
      </w:r>
      <w:r>
        <w:instrText xml:space="preserve"> PAGEREF _Toc41635889 \h </w:instrText>
      </w:r>
      <w:r>
        <w:fldChar w:fldCharType="separate"/>
      </w:r>
      <w:r>
        <w:t>10</w:t>
      </w:r>
      <w:r>
        <w:fldChar w:fldCharType="end"/>
      </w:r>
    </w:p>
    <w:p>
      <w:pPr>
        <w:pStyle w:val="TOC8"/>
        <w:rPr>
          <w:rFonts w:asciiTheme="minorHAnsi" w:eastAsiaTheme="minorEastAsia" w:hAnsiTheme="minorHAnsi" w:cstheme="minorBidi"/>
          <w:szCs w:val="22"/>
        </w:rPr>
      </w:pPr>
      <w:r>
        <w:t>12.</w:t>
      </w:r>
      <w:r>
        <w:tab/>
        <w:t>Reduction in outgoings</w:t>
      </w:r>
      <w:r>
        <w:tab/>
      </w:r>
      <w:r>
        <w:fldChar w:fldCharType="begin"/>
      </w:r>
      <w:r>
        <w:instrText xml:space="preserve"> PAGEREF _Toc41635890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Obligation of confidentiality</w:t>
      </w:r>
    </w:p>
    <w:p>
      <w:pPr>
        <w:pStyle w:val="TOC8"/>
        <w:rPr>
          <w:rFonts w:asciiTheme="minorHAnsi" w:eastAsiaTheme="minorEastAsia" w:hAnsiTheme="minorHAnsi" w:cstheme="minorBidi"/>
          <w:szCs w:val="22"/>
        </w:rPr>
      </w:pPr>
      <w:r>
        <w:t>13.</w:t>
      </w:r>
      <w:r>
        <w:tab/>
        <w:t>Confidentiality</w:t>
      </w:r>
      <w:r>
        <w:tab/>
      </w:r>
      <w:r>
        <w:fldChar w:fldCharType="begin"/>
      </w:r>
      <w:r>
        <w:instrText xml:space="preserve"> PAGEREF _Toc41635892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_Toc41635894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Commercial Tenancies (COVID</w:t>
      </w:r>
      <w:r>
        <w:noBreakHyphen/>
        <w:t>19 Response) Act 2020</w:t>
      </w:r>
    </w:p>
    <w:p>
      <w:pPr>
        <w:pStyle w:val="NameofActReg"/>
      </w:pPr>
      <w:r>
        <w:t>Commercial Tenancies (COVID</w:t>
      </w:r>
      <w:r>
        <w:noBreakHyphen/>
        <w:t>19 Response) Regulations 2020</w:t>
      </w:r>
    </w:p>
    <w:p>
      <w:pPr>
        <w:pStyle w:val="Heading5"/>
      </w:pPr>
      <w:bookmarkStart w:id="3" w:name="_Toc41635869"/>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4163587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1635871"/>
      <w:r>
        <w:rPr>
          <w:rStyle w:val="CharSectno"/>
        </w:rPr>
        <w:t>3</w:t>
      </w:r>
      <w:r>
        <w:t>.</w:t>
      </w:r>
      <w:r>
        <w:tab/>
        <w:t>Adopted code of conduct (s. 13)</w:t>
      </w:r>
      <w:bookmarkEnd w:id="6"/>
    </w:p>
    <w:p>
      <w:pPr>
        <w:pStyle w:val="Subsection"/>
      </w:pPr>
      <w:r>
        <w:tab/>
        <w:t>(1)</w:t>
      </w:r>
      <w:r>
        <w:tab/>
        <w:t xml:space="preserve">In this regulation — </w:t>
      </w:r>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Heading5"/>
        <w:rPr>
          <w:rFonts w:eastAsiaTheme="majorEastAsia"/>
        </w:rPr>
      </w:pPr>
      <w:bookmarkStart w:id="7" w:name="_Toc41635872"/>
      <w:r>
        <w:rPr>
          <w:rStyle w:val="CharSectno"/>
        </w:rPr>
        <w:t>4</w:t>
      </w:r>
      <w:r>
        <w:t>.</w:t>
      </w:r>
      <w:r>
        <w:tab/>
        <w:t>Copies of applications under s. 16(1) of Act (s. 16(6))</w:t>
      </w:r>
      <w:bookmarkEnd w:id="7"/>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pPr>
      <w:bookmarkStart w:id="8" w:name="_Toc41635873"/>
      <w:r>
        <w:rPr>
          <w:rStyle w:val="CharSectno"/>
        </w:rPr>
        <w:t>5</w:t>
      </w:r>
      <w:r>
        <w:t>.</w:t>
      </w:r>
      <w:r>
        <w:tab/>
        <w:t>Section 17(5)(b) of Act does not apply in certain cases (s. 23)</w:t>
      </w:r>
      <w:bookmarkEnd w:id="8"/>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41560053"/>
      <w:bookmarkStart w:id="10" w:name="_Toc41563266"/>
      <w:bookmarkStart w:id="11" w:name="_Toc41635874"/>
      <w:r>
        <w:rPr>
          <w:rStyle w:val="CharSchNo"/>
        </w:rPr>
        <w:t>Schedule 1</w:t>
      </w:r>
      <w:r>
        <w:t> — </w:t>
      </w:r>
      <w:r>
        <w:rPr>
          <w:rStyle w:val="CharSchText"/>
        </w:rPr>
        <w:t>Code of conduct</w:t>
      </w:r>
      <w:bookmarkEnd w:id="9"/>
      <w:bookmarkEnd w:id="10"/>
      <w:bookmarkEnd w:id="11"/>
    </w:p>
    <w:p>
      <w:pPr>
        <w:pStyle w:val="yShoulderClause"/>
      </w:pPr>
      <w:r>
        <w:t>[r. 3(2)]</w:t>
      </w:r>
    </w:p>
    <w:p>
      <w:pPr>
        <w:pStyle w:val="yHeading3"/>
      </w:pPr>
      <w:bookmarkStart w:id="12" w:name="_Toc41560054"/>
      <w:bookmarkStart w:id="13" w:name="_Toc41563267"/>
      <w:bookmarkStart w:id="14" w:name="_Toc41635875"/>
      <w:r>
        <w:rPr>
          <w:rStyle w:val="CharSDivNo"/>
        </w:rPr>
        <w:t>Division 1</w:t>
      </w:r>
      <w:r>
        <w:t> — </w:t>
      </w:r>
      <w:r>
        <w:rPr>
          <w:rStyle w:val="CharSDivText"/>
        </w:rPr>
        <w:t>Terms used</w:t>
      </w:r>
      <w:bookmarkEnd w:id="12"/>
      <w:bookmarkEnd w:id="13"/>
      <w:bookmarkEnd w:id="14"/>
    </w:p>
    <w:p>
      <w:pPr>
        <w:pStyle w:val="yHeading5"/>
      </w:pPr>
      <w:bookmarkStart w:id="15" w:name="_Toc41635876"/>
      <w:r>
        <w:rPr>
          <w:rStyle w:val="CharSClsNo"/>
        </w:rPr>
        <w:t>1</w:t>
      </w:r>
      <w:r>
        <w:t>.</w:t>
      </w:r>
      <w:r>
        <w:tab/>
        <w:t>Terms used</w:t>
      </w:r>
      <w:bookmarkEnd w:id="15"/>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16" w:name="_Toc41635877"/>
      <w:r>
        <w:rPr>
          <w:rStyle w:val="CharSClsNo"/>
        </w:rPr>
        <w:t>2</w:t>
      </w:r>
      <w:r>
        <w:t>.</w:t>
      </w:r>
      <w:r>
        <w:tab/>
        <w:t>Eligible tenants</w:t>
      </w:r>
      <w:bookmarkEnd w:id="16"/>
    </w:p>
    <w:p>
      <w:pPr>
        <w:pStyle w:val="ySubsection"/>
      </w:pPr>
      <w:r>
        <w:tab/>
        <w:t>(1)</w:t>
      </w:r>
      <w:r>
        <w:tab/>
        <w:t xml:space="preserve">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 or</w:t>
      </w:r>
    </w:p>
    <w:p>
      <w:pPr>
        <w:pStyle w:val="yIndenti0"/>
      </w:pPr>
      <w:r>
        <w:tab/>
        <w:t>(ii)</w:t>
      </w:r>
      <w:r>
        <w:tab/>
        <w:t>has, at any time during the emergency period, satisfied the decline in turnover test set out in section 8 of those Rules.</w:t>
      </w:r>
    </w:p>
    <w:p>
      <w:pPr>
        <w:pStyle w:val="ySubsection"/>
      </w:pPr>
      <w:r>
        <w:tab/>
        <w:t>(2)</w:t>
      </w:r>
      <w:r>
        <w:tab/>
        <w:t xml:space="preserve">For the purposes of subclause (1)(a)(ii), corporations constitute a group if they are related bodies corporate (as defined in the </w:t>
      </w:r>
      <w:r>
        <w:rPr>
          <w:i/>
        </w:rPr>
        <w:t>Corporations Act 2001</w:t>
      </w:r>
      <w:r>
        <w:t xml:space="preserve"> (Commonwealth) section 9).</w:t>
      </w:r>
    </w:p>
    <w:p>
      <w:pPr>
        <w:pStyle w:val="yHeading3"/>
      </w:pPr>
      <w:bookmarkStart w:id="17" w:name="_Toc41560057"/>
      <w:bookmarkStart w:id="18" w:name="_Toc41563270"/>
      <w:bookmarkStart w:id="19" w:name="_Toc41635878"/>
      <w:r>
        <w:rPr>
          <w:rStyle w:val="CharSDivNo"/>
        </w:rPr>
        <w:t>Division 2</w:t>
      </w:r>
      <w:r>
        <w:t> — </w:t>
      </w:r>
      <w:r>
        <w:rPr>
          <w:rStyle w:val="CharSDivText"/>
        </w:rPr>
        <w:t>Purpose and overarching obligations of landlords and tenants</w:t>
      </w:r>
      <w:bookmarkEnd w:id="17"/>
      <w:bookmarkEnd w:id="18"/>
      <w:bookmarkEnd w:id="19"/>
    </w:p>
    <w:p>
      <w:pPr>
        <w:pStyle w:val="yHeading5"/>
        <w:rPr>
          <w:rStyle w:val="CharSClsNo"/>
        </w:rPr>
      </w:pPr>
      <w:bookmarkStart w:id="20" w:name="_Toc41635879"/>
      <w:r>
        <w:rPr>
          <w:rStyle w:val="CharSClsNo"/>
        </w:rPr>
        <w:t>3</w:t>
      </w:r>
      <w:r>
        <w:t>.</w:t>
      </w:r>
      <w:r>
        <w:tab/>
      </w:r>
      <w:r>
        <w:rPr>
          <w:rStyle w:val="CharSClsNo"/>
        </w:rPr>
        <w:t>Purpose</w:t>
      </w:r>
      <w:bookmarkEnd w:id="20"/>
    </w:p>
    <w:p>
      <w:pPr>
        <w:pStyle w:val="ySubsection"/>
      </w:pPr>
      <w:r>
        <w:tab/>
      </w:r>
      <w:r>
        <w:tab/>
        <w:t>This Code sets out small commercial lease principles during the COVID</w:t>
      </w:r>
      <w:r>
        <w:noBreakHyphen/>
        <w:t>19 pandemic.</w:t>
      </w:r>
    </w:p>
    <w:p>
      <w:pPr>
        <w:pStyle w:val="yHeading5"/>
        <w:rPr>
          <w:rStyle w:val="CharSClsNo"/>
        </w:rPr>
      </w:pPr>
      <w:bookmarkStart w:id="21" w:name="_Toc41635880"/>
      <w:r>
        <w:rPr>
          <w:rStyle w:val="CharSClsNo"/>
        </w:rPr>
        <w:t>4</w:t>
      </w:r>
      <w:r>
        <w:t>.</w:t>
      </w:r>
      <w:r>
        <w:tab/>
      </w:r>
      <w:r>
        <w:rPr>
          <w:rStyle w:val="CharSClsNo"/>
        </w:rPr>
        <w:t>Overarching obligations of landlords and tenants</w:t>
      </w:r>
      <w:bookmarkEnd w:id="21"/>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w:t>
      </w:r>
    </w:p>
    <w:p>
      <w:pPr>
        <w:pStyle w:val="yIndenta"/>
      </w:pPr>
      <w:r>
        <w:tab/>
        <w:t>(e)</w:t>
      </w:r>
      <w:r>
        <w:tab/>
        <w:t>must not make onerous demands for information from each other.</w:t>
      </w:r>
    </w:p>
    <w:p>
      <w:pPr>
        <w:pStyle w:val="yHeading3"/>
      </w:pPr>
      <w:bookmarkStart w:id="22" w:name="_Toc41560060"/>
      <w:bookmarkStart w:id="23" w:name="_Toc41563273"/>
      <w:bookmarkStart w:id="24" w:name="_Toc41635881"/>
      <w:r>
        <w:rPr>
          <w:rStyle w:val="CharSDivNo"/>
        </w:rPr>
        <w:t>Division 3</w:t>
      </w:r>
      <w:r>
        <w:t> — </w:t>
      </w:r>
      <w:r>
        <w:rPr>
          <w:rStyle w:val="CharSDivText"/>
        </w:rPr>
        <w:t>Principles applying to rent relief</w:t>
      </w:r>
      <w:bookmarkEnd w:id="22"/>
      <w:bookmarkEnd w:id="23"/>
      <w:bookmarkEnd w:id="24"/>
    </w:p>
    <w:p>
      <w:pPr>
        <w:pStyle w:val="yHeading5"/>
        <w:rPr>
          <w:rStyle w:val="CharSClsNo"/>
        </w:rPr>
      </w:pPr>
      <w:bookmarkStart w:id="25" w:name="_Toc41635882"/>
      <w:r>
        <w:rPr>
          <w:rStyle w:val="CharSClsNo"/>
        </w:rPr>
        <w:t>5</w:t>
      </w:r>
      <w:r>
        <w:t>.</w:t>
      </w:r>
      <w:r>
        <w:tab/>
      </w:r>
      <w:r>
        <w:rPr>
          <w:rStyle w:val="CharSClsNo"/>
        </w:rPr>
        <w:t>Requesting rent relief</w:t>
      </w:r>
      <w:bookmarkEnd w:id="25"/>
    </w:p>
    <w:p>
      <w:pPr>
        <w:pStyle w:val="ySubsection"/>
      </w:pPr>
      <w:r>
        <w:tab/>
        <w:t>(1)</w:t>
      </w:r>
      <w:r>
        <w:tab/>
        <w:t>A tenant under a small commercial lease who is an eligible tenant in relation to the small commercial lease may, during the emergency period, request rent relief from the landlord under the small commercial lease.</w:t>
      </w:r>
    </w:p>
    <w:p>
      <w:pPr>
        <w:pStyle w:val="ySubsection"/>
      </w:pPr>
      <w:r>
        <w:tab/>
        <w:t>(2)</w:t>
      </w:r>
      <w:r>
        <w:tab/>
        <w:t xml:space="preserve">The request must be in writing and be accompanied by the following — </w:t>
      </w:r>
    </w:p>
    <w:p>
      <w:pPr>
        <w:pStyle w:val="yIndenta"/>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w:t>
      </w:r>
    </w:p>
    <w:p>
      <w:pPr>
        <w:pStyle w:val="yHeading5"/>
        <w:rPr>
          <w:rStyle w:val="CharSClsNo"/>
        </w:rPr>
      </w:pPr>
      <w:bookmarkStart w:id="26" w:name="_Toc41635883"/>
      <w:r>
        <w:rPr>
          <w:rStyle w:val="CharSClsNo"/>
        </w:rPr>
        <w:t>6</w:t>
      </w:r>
      <w:r>
        <w:t>.</w:t>
      </w:r>
      <w:r>
        <w:tab/>
      </w:r>
      <w:r>
        <w:rPr>
          <w:rStyle w:val="CharSClsNo"/>
        </w:rPr>
        <w:t>Offering and negotiating rent relief</w:t>
      </w:r>
      <w:bookmarkEnd w:id="26"/>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rPr>
          <w:rStyle w:val="CharSClsNo"/>
        </w:rPr>
      </w:pPr>
      <w:bookmarkStart w:id="27" w:name="_Toc41635884"/>
      <w:r>
        <w:rPr>
          <w:rStyle w:val="CharSClsNo"/>
        </w:rPr>
        <w:t>7</w:t>
      </w:r>
      <w:r>
        <w:t>.</w:t>
      </w:r>
      <w:r>
        <w:tab/>
      </w:r>
      <w:r>
        <w:rPr>
          <w:rStyle w:val="CharSClsNo"/>
        </w:rPr>
        <w:t>Principles applying to offering and negotiating rent relief</w:t>
      </w:r>
      <w:bookmarkEnd w:id="27"/>
    </w:p>
    <w:p>
      <w:pPr>
        <w:pStyle w:val="ySubsection"/>
      </w:pPr>
      <w:r>
        <w:tab/>
        <w:t>(1)</w:t>
      </w:r>
      <w:r>
        <w:tab/>
        <w:t>This clause sets out principles that apply to a landlord’s offer of rent relief and negotiations between a landlord and a tenant in relation to rent relief.</w:t>
      </w:r>
    </w:p>
    <w:p>
      <w:pPr>
        <w:pStyle w:val="ySubsection"/>
      </w:pPr>
      <w:r>
        <w:tab/>
        <w:t>(2)</w:t>
      </w:r>
      <w:r>
        <w:tab/>
        <w:t>An offer of rent relief must apply to the emergency period.</w:t>
      </w:r>
    </w:p>
    <w:p>
      <w:pPr>
        <w:pStyle w:val="ySubsection"/>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(4)</w:t>
      </w:r>
      <w:r>
        <w:tab/>
        <w:t xml:space="preserve">For the purposes of subclause (3), unless otherwise agreed by the landlord and the tenant, the reduction in the tenant’s turnover is to be calculated using the principles of the decline in turnover test set out in the </w:t>
      </w:r>
      <w:r>
        <w:rPr>
          <w:i/>
        </w:rPr>
        <w:t>Coronavirus Economic Response Package (Payments and Benefits) Rules 2020</w:t>
      </w:r>
      <w:r>
        <w:t xml:space="preserve"> (Commonwealth) section 8 (including any relevant alternative decline in turnover test determined under that section) with such modifications as are appropriate to reflect subclause (3)(a) and (b).</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yHeading5"/>
        <w:rPr>
          <w:rStyle w:val="CharSClsNo"/>
        </w:rPr>
      </w:pPr>
      <w:bookmarkStart w:id="28" w:name="_Toc41635885"/>
      <w:r>
        <w:rPr>
          <w:rStyle w:val="CharSClsNo"/>
        </w:rPr>
        <w:t>8</w:t>
      </w:r>
      <w:r>
        <w:t>.</w:t>
      </w:r>
      <w:r>
        <w:tab/>
      </w:r>
      <w:r>
        <w:rPr>
          <w:rStyle w:val="CharSClsNo"/>
        </w:rPr>
        <w:t>Giving effect to rent relief</w:t>
      </w:r>
      <w:bookmarkEnd w:id="28"/>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rPr>
          <w:rStyle w:val="CharSClsNo"/>
        </w:rPr>
      </w:pPr>
      <w:bookmarkStart w:id="29" w:name="_Toc41635886"/>
      <w:r>
        <w:rPr>
          <w:rStyle w:val="CharSClsNo"/>
        </w:rPr>
        <w:t>9</w:t>
      </w:r>
      <w:r>
        <w:t>.</w:t>
      </w:r>
      <w:r>
        <w:tab/>
      </w:r>
      <w:r>
        <w:rPr>
          <w:rStyle w:val="CharSClsNo"/>
        </w:rPr>
        <w:t>Payment of deferred rent and extension of term of lease</w:t>
      </w:r>
      <w:bookmarkEnd w:id="29"/>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The extension offered under subclause (6) must be equivalent to the period for which the rent is deferred, unless the landlord and the tenant agree otherwise in writing.</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yHeading5"/>
        <w:rPr>
          <w:rStyle w:val="CharSClsNo"/>
        </w:rPr>
      </w:pPr>
      <w:bookmarkStart w:id="30" w:name="_Toc41635887"/>
      <w:r>
        <w:rPr>
          <w:rStyle w:val="CharSClsNo"/>
        </w:rPr>
        <w:t>10</w:t>
      </w:r>
      <w:r>
        <w:t>.</w:t>
      </w:r>
      <w:r>
        <w:tab/>
        <w:t xml:space="preserve">Existing agreements and subsequent </w:t>
      </w:r>
      <w:r>
        <w:rPr>
          <w:rStyle w:val="CharSClsNo"/>
        </w:rPr>
        <w:t>requests for rent relief</w:t>
      </w:r>
      <w:bookmarkEnd w:id="30"/>
    </w:p>
    <w:p>
      <w:pPr>
        <w:pStyle w:val="ySubsection"/>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Heading3"/>
      </w:pPr>
      <w:bookmarkStart w:id="31" w:name="_Toc41560067"/>
      <w:bookmarkStart w:id="32" w:name="_Toc41563280"/>
      <w:bookmarkStart w:id="33" w:name="_Toc41635888"/>
      <w:r>
        <w:rPr>
          <w:rStyle w:val="CharSDivNo"/>
        </w:rPr>
        <w:t>Division 4</w:t>
      </w:r>
      <w:r>
        <w:t> — </w:t>
      </w:r>
      <w:r>
        <w:rPr>
          <w:rStyle w:val="CharSDivText"/>
        </w:rPr>
        <w:t>Principles applying to outgoings and other expenses</w:t>
      </w:r>
      <w:bookmarkEnd w:id="31"/>
      <w:bookmarkEnd w:id="32"/>
      <w:bookmarkEnd w:id="33"/>
    </w:p>
    <w:p>
      <w:pPr>
        <w:pStyle w:val="yHeading5"/>
        <w:rPr>
          <w:rStyle w:val="CharSClsNo"/>
        </w:rPr>
      </w:pPr>
      <w:bookmarkStart w:id="34" w:name="_Toc41635889"/>
      <w:r>
        <w:rPr>
          <w:rStyle w:val="CharSClsNo"/>
        </w:rPr>
        <w:t>11</w:t>
      </w:r>
      <w:r>
        <w:t>.</w:t>
      </w:r>
      <w:r>
        <w:tab/>
      </w:r>
      <w:r>
        <w:rPr>
          <w:rStyle w:val="CharSClsNo"/>
        </w:rPr>
        <w:t>Recovery of outgoings and other expenses</w:t>
      </w:r>
      <w:bookmarkEnd w:id="34"/>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rPr>
          <w:rStyle w:val="CharSClsNo"/>
        </w:rPr>
      </w:pPr>
      <w:bookmarkStart w:id="35" w:name="_Toc41635890"/>
      <w:r>
        <w:rPr>
          <w:rStyle w:val="CharSClsNo"/>
        </w:rPr>
        <w:t>12</w:t>
      </w:r>
      <w:r>
        <w:t>.</w:t>
      </w:r>
      <w:r>
        <w:tab/>
      </w:r>
      <w:r>
        <w:rPr>
          <w:rStyle w:val="CharSClsNo"/>
        </w:rPr>
        <w:t>Reduction in outgoings</w:t>
      </w:r>
      <w:bookmarkEnd w:id="35"/>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36" w:name="_Toc41560070"/>
      <w:bookmarkStart w:id="37" w:name="_Toc41563283"/>
      <w:bookmarkStart w:id="38" w:name="_Toc41635891"/>
      <w:r>
        <w:rPr>
          <w:rStyle w:val="CharSDivNo"/>
        </w:rPr>
        <w:t>Division 5</w:t>
      </w:r>
      <w:r>
        <w:t> — </w:t>
      </w:r>
      <w:r>
        <w:rPr>
          <w:rStyle w:val="CharSDivText"/>
        </w:rPr>
        <w:t>Obligation of confidentiality</w:t>
      </w:r>
      <w:bookmarkEnd w:id="36"/>
      <w:bookmarkEnd w:id="37"/>
      <w:bookmarkEnd w:id="38"/>
    </w:p>
    <w:p>
      <w:pPr>
        <w:pStyle w:val="yHeading5"/>
      </w:pPr>
      <w:bookmarkStart w:id="39" w:name="_Toc41635892"/>
      <w:r>
        <w:rPr>
          <w:rStyle w:val="CharSClsNo"/>
        </w:rPr>
        <w:t>13</w:t>
      </w:r>
      <w:r>
        <w:t>.</w:t>
      </w:r>
      <w:r>
        <w:tab/>
        <w:t>Confidentiality</w:t>
      </w:r>
      <w:bookmarkEnd w:id="39"/>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41563285"/>
      <w:bookmarkStart w:id="42" w:name="_Toc41635893"/>
      <w:r>
        <w:t>Notes</w:t>
      </w:r>
      <w:bookmarkEnd w:id="41"/>
      <w:bookmarkEnd w:id="42"/>
    </w:p>
    <w:p>
      <w:pPr>
        <w:pStyle w:val="nStatement"/>
      </w:pPr>
      <w:r>
        <w:t xml:space="preserve">This is a compilation of the </w:t>
      </w:r>
      <w:r>
        <w:rPr>
          <w:i/>
          <w:noProof/>
        </w:rPr>
        <w:t>Commercial Tenancies (COVID-19 Response) Regulations 2020</w:t>
      </w:r>
      <w:r>
        <w:t>.  For provisions that have come into operation see the compilation table.</w:t>
      </w:r>
    </w:p>
    <w:p>
      <w:pPr>
        <w:pStyle w:val="nHeading3"/>
      </w:pPr>
      <w:bookmarkStart w:id="43" w:name="_Toc41635894"/>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Commercial Tenancies (COVID-19 Response) Regulations 2020</w:t>
            </w:r>
          </w:p>
        </w:tc>
        <w:tc>
          <w:tcPr>
            <w:tcW w:w="1276" w:type="dxa"/>
          </w:tcPr>
          <w:p>
            <w:pPr>
              <w:pStyle w:val="nTable"/>
              <w:spacing w:after="40"/>
            </w:pPr>
            <w:r>
              <w:t>SL 2020/68 29 May 2020</w:t>
            </w:r>
          </w:p>
        </w:tc>
        <w:tc>
          <w:tcPr>
            <w:tcW w:w="2693" w:type="dxa"/>
          </w:tcPr>
          <w:p>
            <w:pPr>
              <w:pStyle w:val="nTable"/>
              <w:spacing w:after="40"/>
            </w:pPr>
            <w:r>
              <w:t>r. 1 and 2: 29 May 2020 (see r. 2(a));</w:t>
            </w:r>
            <w:r>
              <w:br/>
              <w:t>Regulations other than r. 1 and 2: 30 May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5" w:name="_Toc41563287"/>
      <w:bookmarkStart w:id="46" w:name="_Toc41635895"/>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1(1)</w:t>
      </w:r>
    </w:p>
    <w:p>
      <w:pPr>
        <w:pStyle w:val="DefinedTerms"/>
      </w:pPr>
      <w:r>
        <w:t>dispute</w:t>
      </w:r>
      <w:r>
        <w:tab/>
        <w:t>Sch. 1 cl. 1(1)</w:t>
      </w:r>
    </w:p>
    <w:p>
      <w:pPr>
        <w:pStyle w:val="DefinedTerms"/>
      </w:pPr>
      <w:r>
        <w:t>eligible tenant</w:t>
      </w:r>
      <w:r>
        <w:tab/>
        <w:t>3(1), Sch. 1 cl. 1(1) and 2(1)</w:t>
      </w:r>
    </w:p>
    <w:p>
      <w:pPr>
        <w:pStyle w:val="DefinedTerms"/>
      </w:pPr>
      <w:r>
        <w:t>existing agreement</w:t>
      </w:r>
      <w:r>
        <w:tab/>
        <w:t>Sch. 1 cl. 10(1)</w:t>
      </w:r>
    </w:p>
    <w:p>
      <w:pPr>
        <w:pStyle w:val="DefinedTerms"/>
      </w:pPr>
      <w:r>
        <w:t>head lease</w:t>
      </w:r>
      <w:r>
        <w:tab/>
        <w:t>Sch. 1 cl. 7(8) and 9(8)</w:t>
      </w:r>
    </w:p>
    <w:p>
      <w:pPr>
        <w:pStyle w:val="DefinedTerms"/>
      </w:pPr>
      <w:r>
        <w:t>outgoings</w:t>
      </w:r>
      <w:r>
        <w:tab/>
        <w:t>Sch. 1 cl. 1(1)</w:t>
      </w:r>
    </w:p>
    <w:p>
      <w:pPr>
        <w:pStyle w:val="DefinedTerms"/>
      </w:pPr>
      <w:r>
        <w:t>protected information</w:t>
      </w:r>
      <w:r>
        <w:tab/>
        <w:t>Sch. 1 cl. 1(1)</w:t>
      </w:r>
    </w:p>
    <w:p>
      <w:pPr>
        <w:pStyle w:val="DefinedTerms"/>
      </w:pPr>
      <w:r>
        <w:t>relevant small commercial lease</w:t>
      </w:r>
      <w:r>
        <w:tab/>
        <w:t>3(1)</w:t>
      </w:r>
    </w:p>
    <w:p>
      <w:pPr>
        <w:pStyle w:val="DefinedTerms"/>
      </w:pPr>
      <w:r>
        <w:t>rent relief</w:t>
      </w:r>
      <w:r>
        <w:tab/>
        <w:t>Sch. 1 cl. 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0" w:name="Schedule"/>
    <w:bookmarkEnd w:id="4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81157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D0642-C018-473A-B5F7-57C9C41B8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3444</Words>
  <Characters>16636</Characters>
  <Application>Microsoft Office Word</Application>
  <DocSecurity>0</DocSecurity>
  <Lines>462</Lines>
  <Paragraphs>282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2020 - 00-a0-00</dc:title>
  <dc:subject/>
  <dc:creator/>
  <cp:keywords/>
  <dc:description/>
  <cp:lastModifiedBy>svcMRProcess</cp:lastModifiedBy>
  <cp:revision>4</cp:revision>
  <cp:lastPrinted>2020-05-27T05:43:00Z</cp:lastPrinted>
  <dcterms:created xsi:type="dcterms:W3CDTF">2020-05-29T06:32:00Z</dcterms:created>
  <dcterms:modified xsi:type="dcterms:W3CDTF">2020-05-29T06:32:00Z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AsAtDate">
    <vt:lpwstr>30 May 2020</vt:lpwstr>
  </property>
  <property fmtid="{D5CDD505-2E9C-101B-9397-08002B2CF9AE}" pid="5" name="Suffix">
    <vt:lpwstr>00-a0-00</vt:lpwstr>
  </property>
  <property fmtid="{D5CDD505-2E9C-101B-9397-08002B2CF9AE}" pid="6" name="CommencementDate">
    <vt:lpwstr>20200530</vt:lpwstr>
  </property>
</Properties>
</file>