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_Toc42848656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_Toc42848657 \h </w:instrText>
      </w:r>
      <w:r>
        <w:fldChar w:fldCharType="separate"/>
      </w:r>
      <w:r>
        <w:t>1</w:t>
      </w:r>
      <w:r>
        <w:fldChar w:fldCharType="end"/>
      </w:r>
    </w:p>
    <w:p>
      <w:pPr>
        <w:pStyle w:val="TOC8"/>
        <w:rPr>
          <w:rFonts w:asciiTheme="minorHAnsi" w:eastAsiaTheme="minorEastAsia" w:hAnsiTheme="minorHAnsi" w:cstheme="minorBidi"/>
          <w:szCs w:val="22"/>
        </w:rPr>
      </w:pPr>
      <w:r>
        <w:t>3.</w:t>
      </w:r>
      <w:r>
        <w:tab/>
        <w:t>Areas to which regulations apply</w:t>
      </w:r>
      <w:r>
        <w:tab/>
      </w:r>
      <w:r>
        <w:fldChar w:fldCharType="begin"/>
      </w:r>
      <w:r>
        <w:instrText xml:space="preserve"> PAGEREF _Toc42848658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_Toc42848659 \h </w:instrText>
      </w:r>
      <w:r>
        <w:fldChar w:fldCharType="separate"/>
      </w:r>
      <w:r>
        <w:t>1</w:t>
      </w:r>
      <w:r>
        <w:fldChar w:fldCharType="end"/>
      </w:r>
    </w:p>
    <w:p>
      <w:pPr>
        <w:pStyle w:val="TOC8"/>
        <w:rPr>
          <w:rFonts w:asciiTheme="minorHAnsi" w:eastAsiaTheme="minorEastAsia" w:hAnsiTheme="minorHAnsi" w:cstheme="minorBidi"/>
          <w:szCs w:val="22"/>
        </w:rPr>
      </w:pPr>
      <w:r>
        <w:t>5.</w:t>
      </w:r>
      <w:r>
        <w:tab/>
        <w:t>Supplier to have at least one capped tariff</w:t>
      </w:r>
      <w:r>
        <w:tab/>
      </w:r>
      <w:r>
        <w:fldChar w:fldCharType="begin"/>
      </w:r>
      <w:r>
        <w:instrText xml:space="preserve"> PAGEREF _Toc42848660 \h </w:instrText>
      </w:r>
      <w:r>
        <w:fldChar w:fldCharType="separate"/>
      </w:r>
      <w:r>
        <w:t>2</w:t>
      </w:r>
      <w:r>
        <w:fldChar w:fldCharType="end"/>
      </w:r>
    </w:p>
    <w:p>
      <w:pPr>
        <w:pStyle w:val="TOC8"/>
        <w:rPr>
          <w:rFonts w:asciiTheme="minorHAnsi" w:eastAsiaTheme="minorEastAsia" w:hAnsiTheme="minorHAnsi" w:cstheme="minorBidi"/>
          <w:szCs w:val="22"/>
        </w:rPr>
      </w:pPr>
      <w:r>
        <w:t>6.</w:t>
      </w:r>
      <w:r>
        <w:tab/>
        <w:t>Gas to be offered to certain small use customers at capped tariff</w:t>
      </w:r>
      <w:r>
        <w:tab/>
      </w:r>
      <w:r>
        <w:fldChar w:fldCharType="begin"/>
      </w:r>
      <w:r>
        <w:instrText xml:space="preserve"> PAGEREF _Toc42848661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amounts</w:t>
      </w:r>
      <w:r>
        <w:tab/>
      </w:r>
      <w:r>
        <w:fldChar w:fldCharType="begin"/>
      </w:r>
      <w:r>
        <w:instrText xml:space="preserve"> PAGEREF _Toc42848662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Tariff caps</w:t>
      </w:r>
    </w:p>
    <w:p>
      <w:pPr>
        <w:pStyle w:val="TOC4"/>
        <w:tabs>
          <w:tab w:val="right" w:leader="dot" w:pos="7077"/>
        </w:tabs>
        <w:rPr>
          <w:rFonts w:asciiTheme="minorHAnsi" w:eastAsiaTheme="minorEastAsia" w:hAnsiTheme="minorHAnsi" w:cstheme="minorBidi"/>
          <w:b w:val="0"/>
          <w:szCs w:val="22"/>
        </w:rPr>
      </w:pPr>
      <w:r>
        <w:t>Part 1 — Mid</w:t>
      </w:r>
      <w:r>
        <w:noBreakHyphen/>
        <w:t>West/South</w:t>
      </w:r>
      <w:r>
        <w:noBreakHyphen/>
        <w:t>West area</w:t>
      </w:r>
    </w:p>
    <w:p>
      <w:pPr>
        <w:pStyle w:val="TOC8"/>
        <w:rPr>
          <w:rFonts w:asciiTheme="minorHAnsi" w:eastAsiaTheme="minorEastAsia" w:hAnsiTheme="minorHAnsi" w:cstheme="minorBidi"/>
          <w:szCs w:val="22"/>
        </w:rPr>
      </w:pPr>
      <w:r>
        <w:t>1.</w:t>
      </w:r>
      <w:r>
        <w:tab/>
        <w:t>Residential tariff</w:t>
      </w:r>
      <w:r>
        <w:tab/>
      </w:r>
      <w:r>
        <w:fldChar w:fldCharType="begin"/>
      </w:r>
      <w:r>
        <w:instrText xml:space="preserve"> PAGEREF _Toc42848665 \h </w:instrText>
      </w:r>
      <w:r>
        <w:fldChar w:fldCharType="separate"/>
      </w:r>
      <w:r>
        <w:t>5</w:t>
      </w:r>
      <w:r>
        <w:fldChar w:fldCharType="end"/>
      </w:r>
    </w:p>
    <w:p>
      <w:pPr>
        <w:pStyle w:val="TOC8"/>
        <w:rPr>
          <w:rFonts w:asciiTheme="minorHAnsi" w:eastAsiaTheme="minorEastAsia" w:hAnsiTheme="minorHAnsi" w:cstheme="minorBidi"/>
          <w:szCs w:val="22"/>
        </w:rPr>
      </w:pPr>
      <w:r>
        <w:t>2.</w:t>
      </w:r>
      <w:r>
        <w:tab/>
        <w:t>Non</w:t>
      </w:r>
      <w:r>
        <w:noBreakHyphen/>
        <w:t>residential tariff</w:t>
      </w:r>
      <w:r>
        <w:tab/>
      </w:r>
      <w:r>
        <w:fldChar w:fldCharType="begin"/>
      </w:r>
      <w:r>
        <w:instrText xml:space="preserve"> PAGEREF _Toc42848666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Part 2 — Albany area</w:t>
      </w:r>
    </w:p>
    <w:p>
      <w:pPr>
        <w:pStyle w:val="TOC8"/>
        <w:rPr>
          <w:rFonts w:asciiTheme="minorHAnsi" w:eastAsiaTheme="minorEastAsia" w:hAnsiTheme="minorHAnsi" w:cstheme="minorBidi"/>
          <w:szCs w:val="22"/>
        </w:rPr>
      </w:pPr>
      <w:r>
        <w:t>3.</w:t>
      </w:r>
      <w:r>
        <w:tab/>
        <w:t>Residential tariff</w:t>
      </w:r>
      <w:r>
        <w:tab/>
      </w:r>
      <w:r>
        <w:fldChar w:fldCharType="begin"/>
      </w:r>
      <w:r>
        <w:instrText xml:space="preserve"> PAGEREF _Toc42848668 \h </w:instrText>
      </w:r>
      <w:r>
        <w:fldChar w:fldCharType="separate"/>
      </w:r>
      <w:r>
        <w:t>7</w:t>
      </w:r>
      <w:r>
        <w:fldChar w:fldCharType="end"/>
      </w:r>
    </w:p>
    <w:p>
      <w:pPr>
        <w:pStyle w:val="TOC8"/>
        <w:rPr>
          <w:rFonts w:asciiTheme="minorHAnsi" w:eastAsiaTheme="minorEastAsia" w:hAnsiTheme="minorHAnsi" w:cstheme="minorBidi"/>
          <w:szCs w:val="22"/>
        </w:rPr>
      </w:pPr>
      <w:r>
        <w:t>4.</w:t>
      </w:r>
      <w:r>
        <w:tab/>
        <w:t>Non</w:t>
      </w:r>
      <w:r>
        <w:noBreakHyphen/>
        <w:t>residential tariff</w:t>
      </w:r>
      <w:r>
        <w:tab/>
      </w:r>
      <w:r>
        <w:fldChar w:fldCharType="begin"/>
      </w:r>
      <w:r>
        <w:instrText xml:space="preserve"> PAGEREF _Toc42848669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Part 3 — Kalgoorlie</w:t>
      </w:r>
      <w:r>
        <w:noBreakHyphen/>
        <w:t>Boulder area</w:t>
      </w:r>
    </w:p>
    <w:p>
      <w:pPr>
        <w:pStyle w:val="TOC8"/>
        <w:rPr>
          <w:rFonts w:asciiTheme="minorHAnsi" w:eastAsiaTheme="minorEastAsia" w:hAnsiTheme="minorHAnsi" w:cstheme="minorBidi"/>
          <w:szCs w:val="22"/>
        </w:rPr>
      </w:pPr>
      <w:r>
        <w:t>5.</w:t>
      </w:r>
      <w:r>
        <w:tab/>
        <w:t>Residential tariff</w:t>
      </w:r>
      <w:r>
        <w:tab/>
      </w:r>
      <w:r>
        <w:fldChar w:fldCharType="begin"/>
      </w:r>
      <w:r>
        <w:instrText xml:space="preserve"> PAGEREF _Toc42848671 \h </w:instrText>
      </w:r>
      <w:r>
        <w:fldChar w:fldCharType="separate"/>
      </w:r>
      <w:r>
        <w:t>8</w:t>
      </w:r>
      <w:r>
        <w:fldChar w:fldCharType="end"/>
      </w:r>
    </w:p>
    <w:p>
      <w:pPr>
        <w:pStyle w:val="TOC8"/>
        <w:rPr>
          <w:rFonts w:asciiTheme="minorHAnsi" w:eastAsiaTheme="minorEastAsia" w:hAnsiTheme="minorHAnsi" w:cstheme="minorBidi"/>
          <w:szCs w:val="22"/>
        </w:rPr>
      </w:pPr>
      <w:r>
        <w:t>6.</w:t>
      </w:r>
      <w:r>
        <w:tab/>
        <w:t>Non</w:t>
      </w:r>
      <w:r>
        <w:noBreakHyphen/>
        <w:t>residential tariff</w:t>
      </w:r>
      <w:r>
        <w:tab/>
      </w:r>
      <w:r>
        <w:fldChar w:fldCharType="begin"/>
      </w:r>
      <w:r>
        <w:instrText xml:space="preserve"> PAGEREF _Toc42848672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Part 4 — Adjustment of certain tariff caps</w:t>
      </w:r>
    </w:p>
    <w:p>
      <w:pPr>
        <w:pStyle w:val="TOC8"/>
        <w:rPr>
          <w:rFonts w:asciiTheme="minorHAnsi" w:eastAsiaTheme="minorEastAsia" w:hAnsiTheme="minorHAnsi" w:cstheme="minorBidi"/>
          <w:szCs w:val="22"/>
        </w:rPr>
      </w:pPr>
      <w:r>
        <w:t>7.</w:t>
      </w:r>
      <w:r>
        <w:tab/>
        <w:t>Term used: CPI number</w:t>
      </w:r>
      <w:r>
        <w:tab/>
      </w:r>
      <w:r>
        <w:fldChar w:fldCharType="begin"/>
      </w:r>
      <w:r>
        <w:instrText xml:space="preserve"> PAGEREF _Toc42848674 \h </w:instrText>
      </w:r>
      <w:r>
        <w:fldChar w:fldCharType="separate"/>
      </w:r>
      <w:r>
        <w:t>9</w:t>
      </w:r>
      <w:r>
        <w:fldChar w:fldCharType="end"/>
      </w:r>
    </w:p>
    <w:p>
      <w:pPr>
        <w:pStyle w:val="TOC8"/>
        <w:rPr>
          <w:rFonts w:asciiTheme="minorHAnsi" w:eastAsiaTheme="minorEastAsia" w:hAnsiTheme="minorHAnsi" w:cstheme="minorBidi"/>
          <w:szCs w:val="22"/>
        </w:rPr>
      </w:pPr>
      <w:r>
        <w:t>8.</w:t>
      </w:r>
      <w:r>
        <w:tab/>
        <w:t>General adjustment for 2014/15 financial year and subsequent financial years</w:t>
      </w:r>
      <w:r>
        <w:tab/>
      </w:r>
      <w:r>
        <w:fldChar w:fldCharType="begin"/>
      </w:r>
      <w:r>
        <w:instrText xml:space="preserve"> PAGEREF _Toc42848675 \h </w:instrText>
      </w:r>
      <w:r>
        <w:fldChar w:fldCharType="separate"/>
      </w:r>
      <w:r>
        <w:t>9</w:t>
      </w:r>
      <w:r>
        <w:fldChar w:fldCharType="end"/>
      </w:r>
    </w:p>
    <w:p>
      <w:pPr>
        <w:pStyle w:val="TOC8"/>
        <w:rPr>
          <w:rFonts w:asciiTheme="minorHAnsi" w:eastAsiaTheme="minorEastAsia" w:hAnsiTheme="minorHAnsi" w:cstheme="minorBidi"/>
          <w:szCs w:val="22"/>
        </w:rPr>
      </w:pPr>
      <w:r>
        <w:t>9.</w:t>
      </w:r>
      <w:r>
        <w:tab/>
        <w:t>Special adjustment for residential tariffs in Mid</w:t>
      </w:r>
      <w:r>
        <w:noBreakHyphen/>
        <w:t>West/South</w:t>
      </w:r>
      <w:r>
        <w:noBreakHyphen/>
        <w:t>West area</w:t>
      </w:r>
      <w:r>
        <w:tab/>
      </w:r>
      <w:r>
        <w:fldChar w:fldCharType="begin"/>
      </w:r>
      <w:r>
        <w:instrText xml:space="preserve"> PAGEREF _Toc42848676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_Toc42848678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_Toc42848679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r>
        <w:tab/>
        <w:t>[Heading deleted: Gazette 24 Jul 2012 p. 3392.]</w:t>
      </w:r>
    </w:p>
    <w:p>
      <w:pPr>
        <w:pStyle w:val="Heading5"/>
      </w:pPr>
      <w:bookmarkStart w:id="3" w:name="_Toc42848656"/>
      <w:r>
        <w:rPr>
          <w:rStyle w:val="CharSectno"/>
        </w:rPr>
        <w:t>1</w:t>
      </w:r>
      <w:r>
        <w:t>.</w:t>
      </w:r>
      <w:r>
        <w:tab/>
      </w:r>
      <w:bookmarkStart w:id="4" w:name="Start_Cursor"/>
      <w:bookmarkEnd w:id="4"/>
      <w:r>
        <w:t>Citation</w:t>
      </w:r>
      <w:bookmarkEnd w:id="3"/>
    </w:p>
    <w:p>
      <w:pPr>
        <w:pStyle w:val="Subsection"/>
      </w:pPr>
      <w:r>
        <w:tab/>
      </w:r>
      <w:r>
        <w:tab/>
        <w:t xml:space="preserve">These regulations may be cited as the </w:t>
      </w:r>
      <w:r>
        <w:rPr>
          <w:i/>
        </w:rPr>
        <w:t>Energy Coordination (Gas Tariffs) Regulations 2000</w:t>
      </w:r>
      <w:r>
        <w:rPr>
          <w:iCs/>
        </w:rPr>
        <w:t>.</w:t>
      </w:r>
    </w:p>
    <w:p>
      <w:pPr>
        <w:pStyle w:val="Heading5"/>
      </w:pPr>
      <w:bookmarkStart w:id="5" w:name="_Toc42848657"/>
      <w:r>
        <w:rPr>
          <w:rStyle w:val="CharSectno"/>
        </w:rPr>
        <w:t>2</w:t>
      </w:r>
      <w:r>
        <w:t>.</w:t>
      </w:r>
      <w:r>
        <w:tab/>
        <w:t>Commencement</w:t>
      </w:r>
      <w:bookmarkEnd w:id="5"/>
    </w:p>
    <w:p>
      <w:pPr>
        <w:pStyle w:val="Subsection"/>
      </w:pPr>
      <w:r>
        <w:tab/>
      </w:r>
      <w:r>
        <w:tab/>
        <w:t xml:space="preserve">These regulations come into operation on the relevant day as defined in section 25(3) of the </w:t>
      </w:r>
      <w:r>
        <w:rPr>
          <w:i/>
        </w:rPr>
        <w:t>Gas Corporation (Business Disposal) Act 1999</w:t>
      </w:r>
      <w:r>
        <w:t>.</w:t>
      </w:r>
    </w:p>
    <w:p>
      <w:pPr>
        <w:pStyle w:val="Heading5"/>
      </w:pPr>
      <w:bookmarkStart w:id="6" w:name="_Toc42848658"/>
      <w:r>
        <w:rPr>
          <w:rStyle w:val="CharSectno"/>
        </w:rPr>
        <w:t>3</w:t>
      </w:r>
      <w:r>
        <w:t>.</w:t>
      </w:r>
      <w:r>
        <w:tab/>
        <w:t>Areas to which regulations apply</w:t>
      </w:r>
      <w:bookmarkEnd w:id="6"/>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the Albany area; or</w:t>
      </w:r>
    </w:p>
    <w:p>
      <w:pPr>
        <w:pStyle w:val="Indenta"/>
      </w:pPr>
      <w:r>
        <w:tab/>
        <w:t>(c)</w:t>
      </w:r>
      <w:r>
        <w:tab/>
        <w:t>the Kalgoorlie</w:t>
      </w:r>
      <w:r>
        <w:noBreakHyphen/>
        <w:t>Boulder area.</w:t>
      </w:r>
    </w:p>
    <w:p>
      <w:pPr>
        <w:pStyle w:val="Heading5"/>
      </w:pPr>
      <w:bookmarkStart w:id="7" w:name="_Toc42848659"/>
      <w:r>
        <w:rPr>
          <w:rStyle w:val="CharSectno"/>
        </w:rPr>
        <w:t>4</w:t>
      </w:r>
      <w:r>
        <w:t>.</w:t>
      </w:r>
      <w:r>
        <w:tab/>
        <w:t>Terms used</w:t>
      </w:r>
      <w:bookmarkEnd w:id="7"/>
    </w:p>
    <w:p>
      <w:pPr>
        <w:pStyle w:val="Subsection"/>
        <w:keepNext/>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Gazette 24 Jul 2012 p. 3392.]</w:t>
      </w:r>
    </w:p>
    <w:p>
      <w:pPr>
        <w:pStyle w:val="Heading5"/>
      </w:pPr>
      <w:bookmarkStart w:id="8" w:name="_Toc42848660"/>
      <w:r>
        <w:rPr>
          <w:rStyle w:val="CharSectno"/>
        </w:rPr>
        <w:t>5</w:t>
      </w:r>
      <w:r>
        <w:t>.</w:t>
      </w:r>
      <w:r>
        <w:tab/>
        <w:t>Supplier to have at least one capped tariff</w:t>
      </w:r>
      <w:bookmarkEnd w:id="8"/>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Gazette 18 Oct 2002 p. 5224.]</w:t>
      </w:r>
    </w:p>
    <w:p>
      <w:pPr>
        <w:pStyle w:val="Heading5"/>
      </w:pPr>
      <w:bookmarkStart w:id="9" w:name="_Toc42848661"/>
      <w:r>
        <w:rPr>
          <w:rStyle w:val="CharSectno"/>
        </w:rPr>
        <w:t>6</w:t>
      </w:r>
      <w:r>
        <w:t>.</w:t>
      </w:r>
      <w:r>
        <w:tab/>
        <w:t>Gas to be offered to certain small use customers at capped tariff</w:t>
      </w:r>
      <w:bookmarkEnd w:id="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Gazette 18 Oct 2002 p. 5224; 24 Jul 2012 p. 3393.]</w:t>
      </w:r>
    </w:p>
    <w:p>
      <w:pPr>
        <w:pStyle w:val="Heading5"/>
      </w:pPr>
      <w:bookmarkStart w:id="10" w:name="_Toc42848662"/>
      <w:r>
        <w:rPr>
          <w:rStyle w:val="CharSectno"/>
        </w:rPr>
        <w:t>7</w:t>
      </w:r>
      <w:r>
        <w:t>.</w:t>
      </w:r>
      <w:r>
        <w:tab/>
        <w:t>Calculation of amounts</w:t>
      </w:r>
      <w:bookmarkEnd w:id="10"/>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Gazette 30 Jun 2008 p. 3133.]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42845267"/>
      <w:bookmarkStart w:id="12" w:name="_Toc42846285"/>
      <w:bookmarkStart w:id="13" w:name="_Toc42848663"/>
      <w:r>
        <w:rPr>
          <w:rStyle w:val="CharSchNo"/>
        </w:rPr>
        <w:t>Schedule 1</w:t>
      </w:r>
      <w:r>
        <w:t xml:space="preserve"> — </w:t>
      </w:r>
      <w:r>
        <w:rPr>
          <w:rStyle w:val="CharSchText"/>
        </w:rPr>
        <w:t>Tariff caps</w:t>
      </w:r>
      <w:bookmarkEnd w:id="11"/>
      <w:bookmarkEnd w:id="12"/>
      <w:bookmarkEnd w:id="13"/>
    </w:p>
    <w:p>
      <w:pPr>
        <w:pStyle w:val="yShoulderClause"/>
        <w:spacing w:before="80"/>
      </w:pPr>
      <w:r>
        <w:t>[r. 5(2)]</w:t>
      </w:r>
    </w:p>
    <w:p>
      <w:pPr>
        <w:pStyle w:val="yHeading3"/>
        <w:rPr>
          <w:szCs w:val="24"/>
        </w:rPr>
      </w:pPr>
      <w:bookmarkStart w:id="14" w:name="_Toc42845268"/>
      <w:bookmarkStart w:id="15" w:name="_Toc42846286"/>
      <w:bookmarkStart w:id="16" w:name="_Toc42848664"/>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14"/>
      <w:bookmarkEnd w:id="15"/>
      <w:bookmarkEnd w:id="16"/>
    </w:p>
    <w:p>
      <w:pPr>
        <w:pStyle w:val="yHeading5"/>
        <w:spacing w:before="180"/>
      </w:pPr>
      <w:bookmarkStart w:id="17" w:name="_Toc42848665"/>
      <w:r>
        <w:rPr>
          <w:rStyle w:val="CharSClsNo"/>
        </w:rPr>
        <w:t>1</w:t>
      </w:r>
      <w:r>
        <w:t>.</w:t>
      </w:r>
      <w:r>
        <w:tab/>
        <w:t>Residential tariff</w:t>
      </w:r>
      <w:bookmarkEnd w:id="17"/>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19.73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r>
              <w:rPr>
                <w:szCs w:val="22"/>
              </w:rPr>
              <w:t xml:space="preserve">13.61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r>
              <w:rPr>
                <w:szCs w:val="22"/>
              </w:rPr>
              <w:t xml:space="preserve">12.28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Gazette 18 Oct 2002 p. 5224; 30 Jun 2008 p. 3133-4; 30 Jun 2009 p. 2669</w:t>
      </w:r>
      <w:r>
        <w:noBreakHyphen/>
        <w:t>70; 26 Mar 2010 p. 1143; 29 Jul 2011 p. 3130-1; 1 May 2012 p. 1841-2; 17 May 2013 p. 1980.]</w:t>
      </w:r>
    </w:p>
    <w:p>
      <w:pPr>
        <w:pStyle w:val="yHeading5"/>
      </w:pPr>
      <w:bookmarkStart w:id="18" w:name="_Toc42848666"/>
      <w:r>
        <w:rPr>
          <w:rStyle w:val="CharSClsNo"/>
        </w:rPr>
        <w:t>2</w:t>
      </w:r>
      <w:r>
        <w:t>.</w:t>
      </w:r>
      <w:r>
        <w:tab/>
        <w:t>Non</w:t>
      </w:r>
      <w:r>
        <w:noBreakHyphen/>
        <w:t>residential tariff</w:t>
      </w:r>
      <w:bookmarkEnd w:id="18"/>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Gazette 18 Oct 2002 p. 5224; 30 Jun 2008 p. 3134; 30 Jun 2009 p. 2671; 26 Mar 2010 p. 1144; 29 Jul 2011 p. 3131; 1 May 2012 p. 1842; 17 May 2013 p. 1980.]</w:t>
      </w:r>
    </w:p>
    <w:p>
      <w:pPr>
        <w:pStyle w:val="yHeading3"/>
      </w:pPr>
      <w:bookmarkStart w:id="19" w:name="_Toc42845271"/>
      <w:bookmarkStart w:id="20" w:name="_Toc42846289"/>
      <w:bookmarkStart w:id="21" w:name="_Toc42848667"/>
      <w:r>
        <w:rPr>
          <w:rStyle w:val="CharSDivNo"/>
        </w:rPr>
        <w:t>Part 2</w:t>
      </w:r>
      <w:r>
        <w:rPr>
          <w:rStyle w:val="CharDivNo"/>
        </w:rPr>
        <w:t xml:space="preserve"> </w:t>
      </w:r>
      <w:r>
        <w:t>—</w:t>
      </w:r>
      <w:r>
        <w:rPr>
          <w:rStyle w:val="CharDivText"/>
        </w:rPr>
        <w:t xml:space="preserve"> </w:t>
      </w:r>
      <w:r>
        <w:rPr>
          <w:rStyle w:val="CharSDivText"/>
        </w:rPr>
        <w:t>Albany area</w:t>
      </w:r>
      <w:bookmarkEnd w:id="19"/>
      <w:bookmarkEnd w:id="20"/>
      <w:bookmarkEnd w:id="21"/>
    </w:p>
    <w:p>
      <w:pPr>
        <w:pStyle w:val="yHeading5"/>
      </w:pPr>
      <w:bookmarkStart w:id="22" w:name="_Toc42848668"/>
      <w:r>
        <w:rPr>
          <w:rStyle w:val="CharSClsNo"/>
        </w:rPr>
        <w:t>3</w:t>
      </w:r>
      <w:r>
        <w:t>.</w:t>
      </w:r>
      <w:r>
        <w:tab/>
        <w:t>Residential tariff</w:t>
      </w:r>
      <w:bookmarkEnd w:id="22"/>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21.30</w:t>
            </w:r>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r>
              <w:rPr>
                <w:szCs w:val="22"/>
              </w:rPr>
              <w:t>21.30</w:t>
            </w:r>
            <w:r>
              <w:t xml:space="preserve"> cents per day for the first dwelling</w:t>
            </w:r>
          </w:p>
          <w:p>
            <w:pPr>
              <w:pStyle w:val="yTableNAm"/>
              <w:tabs>
                <w:tab w:val="clear" w:pos="567"/>
                <w:tab w:val="left" w:pos="438"/>
                <w:tab w:val="left" w:pos="678"/>
              </w:tabs>
              <w:spacing w:before="80"/>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15.49</w:t>
            </w:r>
            <w:r>
              <w:t xml:space="preserve"> cents per unit</w:t>
            </w:r>
          </w:p>
        </w:tc>
      </w:tr>
    </w:tbl>
    <w:p>
      <w:pPr>
        <w:pStyle w:val="yFootnotesection"/>
        <w:spacing w:before="100"/>
      </w:pPr>
      <w:r>
        <w:tab/>
        <w:t>[Clause 3 amended: Gazette 18 Oct 2002 p. 5224; 30 Jun 2008 p. 3134; 30 Jun 2009 p. 2672; 26 Mar 2010 p. 1144; 29 Jul 2011 p. 3131; 1 May 2012 p. 1842-3; 17 May 2013 p. 1980.]</w:t>
      </w:r>
    </w:p>
    <w:p>
      <w:pPr>
        <w:pStyle w:val="yHeading5"/>
      </w:pPr>
      <w:bookmarkStart w:id="23" w:name="_Toc42848669"/>
      <w:r>
        <w:rPr>
          <w:rStyle w:val="CharSClsNo"/>
        </w:rPr>
        <w:t>4</w:t>
      </w:r>
      <w:r>
        <w:t>.</w:t>
      </w:r>
      <w:r>
        <w:tab/>
        <w:t>Non</w:t>
      </w:r>
      <w:r>
        <w:noBreakHyphen/>
        <w:t>residential tariff</w:t>
      </w:r>
      <w:bookmarkEnd w:id="23"/>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21.30</w:t>
            </w:r>
            <w:r>
              <w:t xml:space="preserve"> 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15.49</w:t>
            </w:r>
            <w:r>
              <w:t xml:space="preserve"> cents per unit</w:t>
            </w:r>
          </w:p>
        </w:tc>
      </w:tr>
    </w:tbl>
    <w:p>
      <w:pPr>
        <w:pStyle w:val="yFootnotesection"/>
        <w:spacing w:before="100"/>
      </w:pPr>
      <w:r>
        <w:tab/>
        <w:t>[Clause 4 amended: Gazette 18 Oct 2002 p. 5224; 30 Jun 2008 p. 3135; 30 Jun 2009 p. 2672; 26 Mar 2010 p. 1144; 29 Jul 2011 p. 3132; 1 May 2012 p. 1843; 17 May 2013 p. 1980.]</w:t>
      </w:r>
    </w:p>
    <w:p>
      <w:pPr>
        <w:pStyle w:val="yHeading3"/>
        <w:rPr>
          <w:rStyle w:val="CharPartText"/>
          <w:szCs w:val="24"/>
        </w:rPr>
      </w:pPr>
      <w:bookmarkStart w:id="24" w:name="_Toc42845274"/>
      <w:bookmarkStart w:id="25" w:name="_Toc42846292"/>
      <w:bookmarkStart w:id="26" w:name="_Toc42848670"/>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24"/>
      <w:bookmarkEnd w:id="25"/>
      <w:bookmarkEnd w:id="26"/>
    </w:p>
    <w:p>
      <w:pPr>
        <w:pStyle w:val="yHeading5"/>
      </w:pPr>
      <w:bookmarkStart w:id="27" w:name="_Toc42848671"/>
      <w:r>
        <w:rPr>
          <w:rStyle w:val="CharSClsNo"/>
        </w:rPr>
        <w:t>5</w:t>
      </w:r>
      <w:r>
        <w:t>.</w:t>
      </w:r>
      <w:r>
        <w:tab/>
        <w:t>Residential tariff</w:t>
      </w:r>
      <w:bookmarkEnd w:id="2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 Gazette 18 Oct 2002 p. 5224</w:t>
      </w:r>
      <w:r>
        <w:noBreakHyphen/>
        <w:t>5; 30 Jun 2008 p. 3135; 30 Jun 2009 p. 2672; 26 Mar 2010 p. 1144; 29 Jul 2011 p. 3132; 1 May 2012 p. 1843; 17 May 2013 p. 1980.]</w:t>
      </w:r>
    </w:p>
    <w:p>
      <w:pPr>
        <w:pStyle w:val="yHeading5"/>
      </w:pPr>
      <w:bookmarkStart w:id="28" w:name="_Toc42848672"/>
      <w:r>
        <w:rPr>
          <w:rStyle w:val="CharSClsNo"/>
        </w:rPr>
        <w:t>6</w:t>
      </w:r>
      <w:r>
        <w:t>.</w:t>
      </w:r>
      <w:r>
        <w:tab/>
        <w:t>Non</w:t>
      </w:r>
      <w:r>
        <w:noBreakHyphen/>
        <w:t>residential tariff</w:t>
      </w:r>
      <w:bookmarkEnd w:id="2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29" w:name="endcomma"/>
      <w:bookmarkStart w:id="30" w:name="comma"/>
      <w:bookmarkEnd w:id="29"/>
      <w:bookmarkEnd w:id="3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 Gazette 18 Oct 2002 p. 5224</w:t>
      </w:r>
      <w:r>
        <w:noBreakHyphen/>
        <w:t>5; 30 Jun 2008 p. 3135; 30 Jun 2009 p. 2673; 26 Mar 2010 p. 1145; 29 Jul 2011 p. 3132; 1 May 2012 p. 1844; 17 May 2013 p. 1980.]</w:t>
      </w:r>
    </w:p>
    <w:p>
      <w:pPr>
        <w:pStyle w:val="yHeading3"/>
      </w:pPr>
      <w:bookmarkStart w:id="31" w:name="_Toc42845277"/>
      <w:bookmarkStart w:id="32" w:name="_Toc42846295"/>
      <w:bookmarkStart w:id="33" w:name="_Toc42848673"/>
      <w:r>
        <w:rPr>
          <w:rStyle w:val="CharSDivNo"/>
        </w:rPr>
        <w:t>Part 4</w:t>
      </w:r>
      <w:r>
        <w:t> — </w:t>
      </w:r>
      <w:r>
        <w:rPr>
          <w:rStyle w:val="CharSDivText"/>
        </w:rPr>
        <w:t>Adjustment of certain tariff caps</w:t>
      </w:r>
      <w:bookmarkEnd w:id="31"/>
      <w:bookmarkEnd w:id="32"/>
      <w:bookmarkEnd w:id="33"/>
    </w:p>
    <w:p>
      <w:pPr>
        <w:pStyle w:val="yFootnoteheading"/>
        <w:keepNext/>
      </w:pPr>
      <w:r>
        <w:tab/>
        <w:t>[Heading inserted: Gazette 18 Oct 2002 p. 5225.]</w:t>
      </w:r>
    </w:p>
    <w:p>
      <w:pPr>
        <w:pStyle w:val="yHeading5"/>
      </w:pPr>
      <w:bookmarkStart w:id="34" w:name="_Toc42848674"/>
      <w:r>
        <w:rPr>
          <w:rStyle w:val="CharSClsNo"/>
        </w:rPr>
        <w:t>7</w:t>
      </w:r>
      <w:r>
        <w:t>.</w:t>
      </w:r>
      <w:r>
        <w:tab/>
        <w:t>Term used: CPI number</w:t>
      </w:r>
      <w:bookmarkEnd w:id="34"/>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Gazette 18 Oct 2002 p. 5225.]</w:t>
      </w:r>
    </w:p>
    <w:p>
      <w:pPr>
        <w:pStyle w:val="yHeading5"/>
      </w:pPr>
      <w:bookmarkStart w:id="35" w:name="_Toc42848675"/>
      <w:r>
        <w:rPr>
          <w:rStyle w:val="CharSClsNo"/>
        </w:rPr>
        <w:t>8</w:t>
      </w:r>
      <w:r>
        <w:t>.</w:t>
      </w:r>
      <w:r>
        <w:tab/>
        <w:t>General adjustment for 2014/15 financial year and subsequent financial years</w:t>
      </w:r>
      <w:bookmarkEnd w:id="35"/>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o:ole="">
            <v:imagedata r:id="rId25" o:title=""/>
          </v:shape>
          <o:OLEObject Type="Embed" ProgID="Equation.3" ShapeID="_x0000_i1025" DrawAspect="Content" ObjectID="_1653473654" r:id="rId26"/>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Gazette 18 Oct 2002 p. 5225</w:t>
      </w:r>
      <w:r>
        <w:noBreakHyphen/>
        <w:t>6; amended: Gazette 30 Jun 2008 p. 3135; 30 Jun 2009 p. 2673; 26 Mar 2010 p. 1145; 29 Jul 2011 p. 3132; 1 May 2012 p. 1844; 17 May 2013 p. 1979.]</w:t>
      </w:r>
    </w:p>
    <w:p>
      <w:pPr>
        <w:pStyle w:val="yHeading5"/>
        <w:spacing w:before="180"/>
      </w:pPr>
      <w:bookmarkStart w:id="36" w:name="_Toc42848676"/>
      <w:r>
        <w:rPr>
          <w:rStyle w:val="CharSClsNo"/>
        </w:rPr>
        <w:t>9</w:t>
      </w:r>
      <w:r>
        <w:t>.</w:t>
      </w:r>
      <w:r>
        <w:tab/>
        <w:t>Special adjustment for residential tariffs in Mid</w:t>
      </w:r>
      <w:r>
        <w:noBreakHyphen/>
        <w:t>West/South</w:t>
      </w:r>
      <w:r>
        <w:noBreakHyphen/>
        <w:t>West area</w:t>
      </w:r>
      <w:bookmarkEnd w:id="36"/>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pPr>
      <w:r>
        <w:rPr>
          <w:position w:val="-32"/>
        </w:rPr>
        <w:object w:dxaOrig="2720" w:dyaOrig="760">
          <v:shape id="_x0000_i1026" type="#_x0000_t75" style="width:135.75pt;height:38.25pt" o:ole="">
            <v:imagedata r:id="rId27" o:title=""/>
          </v:shape>
          <o:OLEObject Type="Embed" ProgID="Equation.3" ShapeID="_x0000_i1026" DrawAspect="Content" ObjectID="_1653473655" r:id="rId28"/>
        </w:object>
      </w:r>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Gazette 18 Oct 2002 p. 5226; amended: Gazette 30 Jun 2008 p. 3136; 30 Jun 2009 p. 2673; 26 Mar 2010 p. 1145; 29 Jul 2011 p. 3132; 1 May 2012 p. 1844; 17 May 2013 p. 1980.]</w:t>
      </w:r>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38" w:name="_Toc42846299"/>
      <w:bookmarkStart w:id="39" w:name="_Toc42848677"/>
      <w:bookmarkStart w:id="40" w:name="_Toc42845283"/>
      <w:r>
        <w:t>Notes</w:t>
      </w:r>
      <w:bookmarkEnd w:id="38"/>
      <w:bookmarkEnd w:id="39"/>
    </w:p>
    <w:p>
      <w:pPr>
        <w:pStyle w:val="nStatement"/>
      </w:pPr>
      <w:r>
        <w:t xml:space="preserve">This is a compilation of the </w:t>
      </w:r>
      <w:r>
        <w:rPr>
          <w:i/>
          <w:noProof/>
        </w:rPr>
        <w:t>Energy Coordination (Gas Tariffs) Regulations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 w:name="_Toc42848678"/>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694" w:type="dxa"/>
            <w:gridSpan w:val="2"/>
          </w:tcPr>
          <w:p>
            <w:pPr>
              <w:pStyle w:val="nTable"/>
              <w:spacing w:after="40"/>
            </w:pPr>
            <w:r>
              <w:t xml:space="preserve">2 Jul 2000 (see r. 2 and </w:t>
            </w:r>
            <w:r>
              <w:rPr>
                <w:i/>
              </w:rPr>
              <w:t>Gazette</w:t>
            </w:r>
            <w:r>
              <w:t xml:space="preserve"> 28 Jun 2000 p. 3285)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694" w:type="dxa"/>
            <w:gridSpan w:val="2"/>
          </w:tcPr>
          <w:p>
            <w:pPr>
              <w:pStyle w:val="nTable"/>
              <w:spacing w:after="40"/>
            </w:pPr>
            <w:r>
              <w:t>18 Oct 2002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694" w:type="dxa"/>
            <w:gridSpan w:val="2"/>
          </w:tcPr>
          <w:p>
            <w:pPr>
              <w:pStyle w:val="nTable"/>
              <w:spacing w:after="40"/>
            </w:pPr>
            <w:r>
              <w:t>1 Jul 2008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694" w:type="dxa"/>
            <w:gridSpan w:val="2"/>
          </w:tcPr>
          <w:p>
            <w:pPr>
              <w:pStyle w:val="nTable"/>
              <w:spacing w:after="40"/>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694" w:type="dxa"/>
            <w:gridSpan w:val="2"/>
          </w:tcPr>
          <w:p>
            <w:pPr>
              <w:pStyle w:val="nTable"/>
              <w:spacing w:after="40"/>
            </w:pPr>
            <w:r>
              <w:t>r. 1 and 2: 26 Mar 2010 (see r. 2(a));</w:t>
            </w:r>
            <w:r>
              <w:br/>
              <w:t>Regulations other than r. 1 and 2: 1 Apr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694" w:type="dxa"/>
            <w:gridSpan w:val="2"/>
          </w:tcPr>
          <w:p>
            <w:pPr>
              <w:pStyle w:val="nTable"/>
              <w:spacing w:after="40"/>
            </w:pPr>
            <w:r>
              <w:t>r. 1 and 2: 29 Jul 2011 (see r. 2(a));</w:t>
            </w:r>
            <w:r>
              <w:br/>
              <w:t>Regulations other than r. 1 and 2: 1 Aug 2011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694" w:type="dxa"/>
            <w:gridSpan w:val="2"/>
          </w:tcPr>
          <w:p>
            <w:pPr>
              <w:pStyle w:val="nTable"/>
              <w:spacing w:after="40"/>
            </w:pPr>
            <w:r>
              <w:t>r. 1 and 2: 1 May 2012 (see r. 2(a));</w:t>
            </w:r>
            <w:r>
              <w:br/>
              <w:t>Regulations other than r. 1 and 2: 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694" w:type="dxa"/>
            <w:gridSpan w:val="2"/>
          </w:tcPr>
          <w:p>
            <w:pPr>
              <w:pStyle w:val="nTable"/>
              <w:spacing w:after="40"/>
            </w:pPr>
            <w:r>
              <w:t>r. 1 and 2: 24 Jul 2012 (see r. 2(a));</w:t>
            </w:r>
            <w:r>
              <w:br/>
              <w:t>Regulations other than r. 1 and 2: 25 Jul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694" w:type="dxa"/>
            <w:gridSpan w:val="2"/>
            <w:shd w:val="clear" w:color="auto" w:fill="auto"/>
          </w:tcPr>
          <w:p>
            <w:pPr>
              <w:pStyle w:val="nTable"/>
              <w:spacing w:after="40"/>
            </w:pPr>
            <w:r>
              <w:rPr>
                <w:snapToGrid w:val="0"/>
              </w:rPr>
              <w:t>r. 1 and 2: 17 May 2013 (see r. 2(a));</w:t>
            </w:r>
            <w:r>
              <w:rPr>
                <w:snapToGrid w:val="0"/>
              </w:rPr>
              <w:br/>
              <w:t>Regulations other than r. 1 and 2: 21 May 2013 (see r. 2(b))</w:t>
            </w:r>
          </w:p>
        </w:tc>
      </w:tr>
      <w:tr>
        <w:tblPrEx>
          <w:tblBorders>
            <w:top w:val="none" w:sz="0" w:space="0" w:color="auto"/>
            <w:bottom w:val="none" w:sz="0" w:space="0" w:color="auto"/>
            <w:insideH w:val="none" w:sz="0" w:space="0" w:color="auto"/>
          </w:tblBorders>
        </w:tblPrEx>
        <w:tc>
          <w:tcPr>
            <w:tcW w:w="7088" w:type="dxa"/>
            <w:gridSpan w:val="4"/>
            <w:tcBorders>
              <w:bottom w:val="single" w:sz="4" w:space="0" w:color="auto"/>
            </w:tcBorders>
            <w:shd w:val="clear" w:color="auto" w:fill="auto"/>
          </w:tcPr>
          <w:p>
            <w:pPr>
              <w:pStyle w:val="nTable"/>
              <w:spacing w:after="40"/>
              <w:rPr>
                <w:i/>
                <w:snapToGrid w:val="0"/>
              </w:rPr>
            </w:pPr>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p>
        </w:tc>
      </w:tr>
    </w:tbl>
    <w:p>
      <w:pPr>
        <w:pStyle w:val="nHeading3"/>
      </w:pPr>
      <w:bookmarkStart w:id="42" w:name="_Toc42848679"/>
      <w:r>
        <w:t>Uncommenced provisions table</w:t>
      </w:r>
      <w:bookmarkEnd w:id="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Coordination (Gas Tariffs) Amendment Regulations 2020</w:t>
            </w:r>
            <w:r>
              <w:t xml:space="preserve"> r. 3</w:t>
            </w:r>
            <w:r>
              <w:noBreakHyphen/>
              <w:t>4</w:t>
            </w:r>
          </w:p>
        </w:tc>
        <w:tc>
          <w:tcPr>
            <w:tcW w:w="1276" w:type="dxa"/>
          </w:tcPr>
          <w:p>
            <w:pPr>
              <w:pStyle w:val="nTable"/>
              <w:spacing w:after="40"/>
            </w:pPr>
            <w:r>
              <w:t>SL 2020/80 12 Jun 2020</w:t>
            </w:r>
          </w:p>
        </w:tc>
        <w:tc>
          <w:tcPr>
            <w:tcW w:w="2693" w:type="dxa"/>
          </w:tcPr>
          <w:p>
            <w:pPr>
              <w:pStyle w:val="nTable"/>
              <w:spacing w:after="40"/>
            </w:pPr>
            <w:r>
              <w:t>1 Jul 2020 (see r. 2(b))</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44" w:name="_Toc42846302"/>
      <w:bookmarkStart w:id="45" w:name="_Toc42848680"/>
      <w:r>
        <w:rPr>
          <w:sz w:val="28"/>
        </w:rPr>
        <w:t>Defined terms</w:t>
      </w:r>
      <w:bookmarkEnd w:id="40"/>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Albany area</w:t>
      </w:r>
      <w:r>
        <w:tab/>
        <w:t>4(1)</w:t>
      </w:r>
    </w:p>
    <w:p>
      <w:pPr>
        <w:pStyle w:val="DefinedTerms"/>
      </w:pPr>
      <w:r>
        <w:t>capped tariff</w:t>
      </w:r>
      <w:r>
        <w:tab/>
        <w:t>4(1), 5(2)</w:t>
      </w:r>
    </w:p>
    <w:p>
      <w:pPr>
        <w:pStyle w:val="DefinedTerms"/>
      </w:pPr>
      <w:r>
        <w:t>CPI number</w:t>
      </w:r>
      <w:r>
        <w:tab/>
        <w:t>Sch. 1 cl. 7</w:t>
      </w:r>
    </w:p>
    <w:p>
      <w:pPr>
        <w:pStyle w:val="DefinedTerms"/>
      </w:pPr>
      <w:r>
        <w:t>CPIr</w:t>
      </w:r>
      <w:r>
        <w:tab/>
        <w:t>Sch. 1 cl. 8(2), Sch. 1 cl. 9(2)</w:t>
      </w:r>
    </w:p>
    <w:p>
      <w:pPr>
        <w:pStyle w:val="DefinedTerms"/>
      </w:pPr>
      <w:r>
        <w:t>CPIr</w:t>
      </w:r>
      <w:r>
        <w:noBreakHyphen/>
        <w:t>1</w:t>
      </w:r>
      <w:r>
        <w:tab/>
        <w:t>Sch. 1 cl. 8(2), Sch. 1 cl.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relevant component</w:t>
      </w:r>
      <w:r>
        <w:tab/>
        <w:t>Sch. 1 cl. 9(1)</w:t>
      </w:r>
    </w:p>
    <w:p>
      <w:pPr>
        <w:pStyle w:val="DefinedTerms"/>
      </w:pPr>
      <w:r>
        <w:t>relevant year</w:t>
      </w:r>
      <w:r>
        <w:tab/>
        <w:t>Sch. 1 cl. 8(1), Sch. 1 cl. 9(1)</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unit</w:t>
      </w:r>
      <w:r>
        <w:tab/>
        <w:t>4(1)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iCs/>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lvlText w:val="%1."/>
      <w:lvlJc w:val="left"/>
      <w:pPr>
        <w:tabs>
          <w:tab w:val="num" w:pos="1492"/>
        </w:tabs>
        <w:ind w:left="1492" w:hanging="360"/>
      </w:pPr>
    </w:lvl>
  </w:abstractNum>
  <w:abstractNum w:abstractNumId="1">
    <w:nsid w:val="FFFFFF7D"/>
    <w:multiLevelType w:val="singleLevel"/>
    <w:tmpl w:val="7E7C021E"/>
    <w:lvl w:ilvl="0">
      <w:start w:val="1"/>
      <w:numFmt w:val="decimal"/>
      <w:lvlText w:val="%1."/>
      <w:lvlJc w:val="left"/>
      <w:pPr>
        <w:tabs>
          <w:tab w:val="num" w:pos="1209"/>
        </w:tabs>
        <w:ind w:left="1209" w:hanging="360"/>
      </w:pPr>
    </w:lvl>
  </w:abstractNum>
  <w:abstractNum w:abstractNumId="2">
    <w:nsid w:val="FFFFFF7E"/>
    <w:multiLevelType w:val="singleLevel"/>
    <w:tmpl w:val="19CC0CA6"/>
    <w:lvl w:ilvl="0">
      <w:start w:val="1"/>
      <w:numFmt w:val="decimal"/>
      <w:lvlText w:val="%1."/>
      <w:lvlJc w:val="left"/>
      <w:pPr>
        <w:tabs>
          <w:tab w:val="num" w:pos="926"/>
        </w:tabs>
        <w:ind w:left="926" w:hanging="360"/>
      </w:pPr>
    </w:lvl>
  </w:abstractNum>
  <w:abstractNum w:abstractNumId="3">
    <w:nsid w:val="FFFFFF7F"/>
    <w:multiLevelType w:val="singleLevel"/>
    <w:tmpl w:val="4BD6B108"/>
    <w:lvl w:ilvl="0">
      <w:start w:val="1"/>
      <w:numFmt w:val="decimal"/>
      <w:lvlText w:val="%1."/>
      <w:lvlJc w:val="left"/>
      <w:pPr>
        <w:tabs>
          <w:tab w:val="num" w:pos="643"/>
        </w:tabs>
        <w:ind w:left="643" w:hanging="360"/>
      </w:pPr>
    </w:lvl>
  </w:abstractNum>
  <w:abstractNum w:abstractNumId="4">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lvlText w:val="%1."/>
      <w:lvlJc w:val="left"/>
      <w:pPr>
        <w:tabs>
          <w:tab w:val="num" w:pos="360"/>
        </w:tabs>
        <w:ind w:left="360" w:hanging="360"/>
      </w:pPr>
    </w:lvl>
  </w:abstractNum>
  <w:abstractNum w:abstractNumId="9">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2090552"/>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 w:name="WAFER_20200612090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0552_GUID" w:val="e9b9e08d-50be-4261-9cf2-e6f000674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06C33-ADAE-45C4-9919-96EB1E1AB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3153</Words>
  <Characters>14666</Characters>
  <Application>Microsoft Office Word</Application>
  <DocSecurity>0</DocSecurity>
  <Lines>488</Lines>
  <Paragraphs>318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2000 - 02-b0-00</dc:title>
  <dc:subject/>
  <dc:creator/>
  <cp:keywords/>
  <dc:description/>
  <cp:lastModifiedBy>svcMRProcess</cp:lastModifiedBy>
  <cp:revision>4</cp:revision>
  <cp:lastPrinted>2014-03-31T02:59:00Z</cp:lastPrinted>
  <dcterms:created xsi:type="dcterms:W3CDTF">2020-06-12T05:28:00Z</dcterms:created>
  <dcterms:modified xsi:type="dcterms:W3CDTF">2020-06-12T05:28:00Z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DocumentType">
    <vt:lpwstr>Reg</vt:lpwstr>
  </property>
  <property fmtid="{D5CDD505-2E9C-101B-9397-08002B2CF9AE}" pid="4" name="OwlsUID">
    <vt:i4>1369</vt:i4>
  </property>
  <property fmtid="{D5CDD505-2E9C-101B-9397-08002B2CF9AE}" pid="5" name="ReprintNo">
    <vt:lpwstr>2</vt:lpwstr>
  </property>
  <property fmtid="{D5CDD505-2E9C-101B-9397-08002B2CF9AE}" pid="6" name="ReprintedAsAt">
    <vt:filetime>2014-04-03T16:00:00Z</vt:filetime>
  </property>
  <property fmtid="{D5CDD505-2E9C-101B-9397-08002B2CF9AE}" pid="7" name="AsAtDate">
    <vt:lpwstr>12 Jun 2020</vt:lpwstr>
  </property>
  <property fmtid="{D5CDD505-2E9C-101B-9397-08002B2CF9AE}" pid="8" name="Suffix">
    <vt:lpwstr>02-b0-00</vt:lpwstr>
  </property>
  <property fmtid="{D5CDD505-2E9C-101B-9397-08002B2CF9AE}" pid="9" name="CommencementDate">
    <vt:lpwstr>20200612</vt:lpwstr>
  </property>
</Properties>
</file>