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(Written-Off Vehicle Register)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(Written-Off Vehicle Register)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_Toc161198714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_Toc161198715 \h </w:instrText>
      </w:r>
      <w:r>
        <w:fldChar w:fldCharType="separate"/>
      </w:r>
      <w:r>
        <w:t>1</w:t>
      </w:r>
      <w:r>
        <w:fldChar w:fldCharType="end"/>
      </w:r>
    </w:p>
    <w:p>
      <w:pPr>
        <w:pStyle w:val="TOC8"/>
        <w:rPr>
          <w:sz w:val="24"/>
          <w:szCs w:val="24"/>
        </w:rPr>
      </w:pPr>
      <w:r>
        <w:rPr>
          <w:szCs w:val="24"/>
        </w:rPr>
        <w:t>3.</w:t>
      </w:r>
      <w:r>
        <w:rPr>
          <w:szCs w:val="24"/>
        </w:rPr>
        <w:tab/>
        <w:t>Modified penalties for infringements</w:t>
      </w:r>
      <w:r>
        <w:tab/>
      </w:r>
      <w:r>
        <w:fldChar w:fldCharType="begin"/>
      </w:r>
      <w:r>
        <w:instrText xml:space="preserve"> PAGEREF _Toc161198716 \h </w:instrText>
      </w:r>
      <w:r>
        <w:fldChar w:fldCharType="separate"/>
      </w:r>
      <w:r>
        <w:t>5</w:t>
      </w:r>
      <w:r>
        <w:fldChar w:fldCharType="end"/>
      </w:r>
    </w:p>
    <w:p>
      <w:pPr>
        <w:pStyle w:val="TOC8"/>
        <w:rPr>
          <w:sz w:val="24"/>
          <w:szCs w:val="24"/>
        </w:rPr>
      </w:pPr>
      <w:r>
        <w:rPr>
          <w:szCs w:val="24"/>
        </w:rPr>
        <w:t>4.</w:t>
      </w:r>
      <w:r>
        <w:rPr>
          <w:szCs w:val="24"/>
        </w:rPr>
        <w:tab/>
        <w:t>Total loss — meaning</w:t>
      </w:r>
      <w:r>
        <w:tab/>
      </w:r>
      <w:r>
        <w:fldChar w:fldCharType="begin"/>
      </w:r>
      <w:r>
        <w:instrText xml:space="preserve"> PAGEREF _Toc161198717 \h </w:instrText>
      </w:r>
      <w:r>
        <w:fldChar w:fldCharType="separate"/>
      </w:r>
      <w:r>
        <w:t>5</w:t>
      </w:r>
      <w:r>
        <w:fldChar w:fldCharType="end"/>
      </w:r>
    </w:p>
    <w:p>
      <w:pPr>
        <w:pStyle w:val="TOC8"/>
        <w:rPr>
          <w:sz w:val="24"/>
          <w:szCs w:val="24"/>
        </w:rPr>
      </w:pPr>
      <w:r>
        <w:rPr>
          <w:szCs w:val="24"/>
        </w:rPr>
        <w:t>5.</w:t>
      </w:r>
      <w:r>
        <w:rPr>
          <w:szCs w:val="24"/>
        </w:rPr>
        <w:tab/>
        <w:t>Written off vehicles</w:t>
      </w:r>
      <w:r>
        <w:tab/>
      </w:r>
      <w:r>
        <w:fldChar w:fldCharType="begin"/>
      </w:r>
      <w:r>
        <w:instrText xml:space="preserve"> PAGEREF _Toc161198718 \h </w:instrText>
      </w:r>
      <w:r>
        <w:fldChar w:fldCharType="separate"/>
      </w:r>
      <w:r>
        <w:t>5</w:t>
      </w:r>
      <w:r>
        <w:fldChar w:fldCharType="end"/>
      </w:r>
    </w:p>
    <w:p>
      <w:pPr>
        <w:pStyle w:val="TOC8"/>
        <w:rPr>
          <w:sz w:val="24"/>
          <w:szCs w:val="24"/>
        </w:rPr>
      </w:pPr>
      <w:r>
        <w:rPr>
          <w:szCs w:val="24"/>
        </w:rPr>
        <w:t>6.</w:t>
      </w:r>
      <w:r>
        <w:rPr>
          <w:szCs w:val="24"/>
        </w:rPr>
        <w:tab/>
        <w:t>Notifiable vehicles</w:t>
      </w:r>
      <w:r>
        <w:tab/>
      </w:r>
      <w:r>
        <w:fldChar w:fldCharType="begin"/>
      </w:r>
      <w:r>
        <w:instrText xml:space="preserve"> PAGEREF _Toc161198719 \h </w:instrText>
      </w:r>
      <w:r>
        <w:fldChar w:fldCharType="separate"/>
      </w:r>
      <w:r>
        <w:t>5</w:t>
      </w:r>
      <w:r>
        <w:fldChar w:fldCharType="end"/>
      </w:r>
    </w:p>
    <w:p>
      <w:pPr>
        <w:pStyle w:val="TOC8"/>
        <w:rPr>
          <w:sz w:val="24"/>
          <w:szCs w:val="24"/>
        </w:rPr>
      </w:pPr>
      <w:r>
        <w:rPr>
          <w:szCs w:val="24"/>
        </w:rPr>
        <w:t>7.</w:t>
      </w:r>
      <w:r>
        <w:rPr>
          <w:szCs w:val="24"/>
        </w:rPr>
        <w:tab/>
        <w:t>Statutory write</w:t>
      </w:r>
      <w:r>
        <w:rPr>
          <w:szCs w:val="24"/>
        </w:rPr>
        <w:noBreakHyphen/>
        <w:t>offs</w:t>
      </w:r>
      <w:r>
        <w:tab/>
      </w:r>
      <w:r>
        <w:fldChar w:fldCharType="begin"/>
      </w:r>
      <w:r>
        <w:instrText xml:space="preserve"> PAGEREF _Toc161198720 \h </w:instrText>
      </w:r>
      <w:r>
        <w:fldChar w:fldCharType="separate"/>
      </w:r>
      <w:r>
        <w:t>5</w:t>
      </w:r>
      <w:r>
        <w:fldChar w:fldCharType="end"/>
      </w:r>
    </w:p>
    <w:p>
      <w:pPr>
        <w:pStyle w:val="TOC8"/>
        <w:rPr>
          <w:sz w:val="24"/>
          <w:szCs w:val="24"/>
        </w:rPr>
      </w:pPr>
      <w:r>
        <w:rPr>
          <w:szCs w:val="24"/>
        </w:rPr>
        <w:t>8.</w:t>
      </w:r>
      <w:r>
        <w:rPr>
          <w:szCs w:val="24"/>
        </w:rPr>
        <w:tab/>
        <w:t>Repairable write</w:t>
      </w:r>
      <w:r>
        <w:rPr>
          <w:szCs w:val="24"/>
        </w:rPr>
        <w:noBreakHyphen/>
        <w:t>offs</w:t>
      </w:r>
      <w:r>
        <w:tab/>
      </w:r>
      <w:r>
        <w:fldChar w:fldCharType="begin"/>
      </w:r>
      <w:r>
        <w:instrText xml:space="preserve"> PAGEREF _Toc161198721 \h </w:instrText>
      </w:r>
      <w:r>
        <w:fldChar w:fldCharType="separate"/>
      </w:r>
      <w:r>
        <w:t>6</w:t>
      </w:r>
      <w:r>
        <w:fldChar w:fldCharType="end"/>
      </w:r>
    </w:p>
    <w:p>
      <w:pPr>
        <w:pStyle w:val="TOC2"/>
        <w:tabs>
          <w:tab w:val="right" w:leader="dot" w:pos="7086"/>
        </w:tabs>
        <w:rPr>
          <w:b w:val="0"/>
          <w:sz w:val="24"/>
          <w:szCs w:val="24"/>
        </w:rPr>
      </w:pPr>
      <w:r>
        <w:rPr>
          <w:szCs w:val="30"/>
        </w:rPr>
        <w:t>Part 2 — Dealing with notifiable vehicles</w:t>
      </w:r>
    </w:p>
    <w:p>
      <w:pPr>
        <w:pStyle w:val="TOC8"/>
        <w:rPr>
          <w:sz w:val="24"/>
          <w:szCs w:val="24"/>
        </w:rPr>
      </w:pPr>
      <w:r>
        <w:rPr>
          <w:szCs w:val="24"/>
        </w:rPr>
        <w:t>9.</w:t>
      </w:r>
      <w:r>
        <w:rPr>
          <w:szCs w:val="24"/>
        </w:rPr>
        <w:tab/>
        <w:t>Notification and marking of write</w:t>
      </w:r>
      <w:r>
        <w:rPr>
          <w:szCs w:val="24"/>
        </w:rPr>
        <w:noBreakHyphen/>
        <w:t>offs</w:t>
      </w:r>
      <w:r>
        <w:tab/>
      </w:r>
      <w:r>
        <w:fldChar w:fldCharType="begin"/>
      </w:r>
      <w:r>
        <w:instrText xml:space="preserve"> PAGEREF _Toc161198723 \h </w:instrText>
      </w:r>
      <w:r>
        <w:fldChar w:fldCharType="separate"/>
      </w:r>
      <w:r>
        <w:t>7</w:t>
      </w:r>
      <w:r>
        <w:fldChar w:fldCharType="end"/>
      </w:r>
    </w:p>
    <w:p>
      <w:pPr>
        <w:pStyle w:val="TOC8"/>
        <w:rPr>
          <w:sz w:val="24"/>
          <w:szCs w:val="24"/>
        </w:rPr>
      </w:pPr>
      <w:r>
        <w:rPr>
          <w:szCs w:val="24"/>
        </w:rPr>
        <w:t>10.</w:t>
      </w:r>
      <w:r>
        <w:rPr>
          <w:szCs w:val="24"/>
        </w:rPr>
        <w:tab/>
        <w:t>Written</w:t>
      </w:r>
      <w:r>
        <w:rPr>
          <w:szCs w:val="24"/>
        </w:rPr>
        <w:noBreakHyphen/>
        <w:t>off vehicle notices</w:t>
      </w:r>
      <w:r>
        <w:tab/>
      </w:r>
      <w:r>
        <w:fldChar w:fldCharType="begin"/>
      </w:r>
      <w:r>
        <w:instrText xml:space="preserve"> PAGEREF _Toc161198724 \h </w:instrText>
      </w:r>
      <w:r>
        <w:fldChar w:fldCharType="separate"/>
      </w:r>
      <w:r>
        <w:t>8</w:t>
      </w:r>
      <w:r>
        <w:fldChar w:fldCharType="end"/>
      </w:r>
    </w:p>
    <w:p>
      <w:pPr>
        <w:pStyle w:val="TOC8"/>
        <w:rPr>
          <w:sz w:val="24"/>
          <w:szCs w:val="24"/>
        </w:rPr>
      </w:pPr>
      <w:r>
        <w:rPr>
          <w:szCs w:val="24"/>
        </w:rPr>
        <w:t>11.</w:t>
      </w:r>
      <w:r>
        <w:rPr>
          <w:szCs w:val="24"/>
        </w:rPr>
        <w:tab/>
        <w:t>Written</w:t>
      </w:r>
      <w:r>
        <w:rPr>
          <w:szCs w:val="24"/>
        </w:rPr>
        <w:noBreakHyphen/>
        <w:t>off warning labels</w:t>
      </w:r>
      <w:r>
        <w:tab/>
      </w:r>
      <w:r>
        <w:fldChar w:fldCharType="begin"/>
      </w:r>
      <w:r>
        <w:instrText xml:space="preserve"> PAGEREF _Toc161198725 \h </w:instrText>
      </w:r>
      <w:r>
        <w:fldChar w:fldCharType="separate"/>
      </w:r>
      <w:r>
        <w:t>8</w:t>
      </w:r>
      <w:r>
        <w:fldChar w:fldCharType="end"/>
      </w:r>
    </w:p>
    <w:p>
      <w:pPr>
        <w:pStyle w:val="TOC8"/>
        <w:rPr>
          <w:sz w:val="24"/>
          <w:szCs w:val="24"/>
        </w:rPr>
      </w:pPr>
      <w:r>
        <w:rPr>
          <w:szCs w:val="24"/>
        </w:rPr>
        <w:t>12.</w:t>
      </w:r>
      <w:r>
        <w:rPr>
          <w:szCs w:val="24"/>
        </w:rPr>
        <w:tab/>
        <w:t>Defacing vehicle identifiers of statutory write</w:t>
      </w:r>
      <w:r>
        <w:rPr>
          <w:szCs w:val="24"/>
        </w:rPr>
        <w:noBreakHyphen/>
        <w:t>offs</w:t>
      </w:r>
      <w:r>
        <w:tab/>
      </w:r>
      <w:r>
        <w:fldChar w:fldCharType="begin"/>
      </w:r>
      <w:r>
        <w:instrText xml:space="preserve"> PAGEREF _Toc161198726 \h </w:instrText>
      </w:r>
      <w:r>
        <w:fldChar w:fldCharType="separate"/>
      </w:r>
      <w:r>
        <w:t>9</w:t>
      </w:r>
      <w:r>
        <w:fldChar w:fldCharType="end"/>
      </w:r>
    </w:p>
    <w:p>
      <w:pPr>
        <w:pStyle w:val="TOC2"/>
        <w:tabs>
          <w:tab w:val="right" w:leader="dot" w:pos="7086"/>
        </w:tabs>
        <w:rPr>
          <w:b w:val="0"/>
          <w:sz w:val="24"/>
          <w:szCs w:val="24"/>
        </w:rPr>
      </w:pPr>
      <w:r>
        <w:rPr>
          <w:szCs w:val="30"/>
        </w:rPr>
        <w:t>Part 3 — Registration of written</w:t>
      </w:r>
      <w:r>
        <w:rPr>
          <w:szCs w:val="30"/>
        </w:rPr>
        <w:noBreakHyphen/>
        <w:t>off vehicles</w:t>
      </w:r>
    </w:p>
    <w:p>
      <w:pPr>
        <w:pStyle w:val="TOC8"/>
        <w:rPr>
          <w:sz w:val="24"/>
          <w:szCs w:val="24"/>
        </w:rPr>
      </w:pPr>
      <w:r>
        <w:rPr>
          <w:szCs w:val="24"/>
        </w:rPr>
        <w:t>13.</w:t>
      </w:r>
      <w:r>
        <w:rPr>
          <w:szCs w:val="24"/>
        </w:rPr>
        <w:tab/>
        <w:t>The Written</w:t>
      </w:r>
      <w:r>
        <w:rPr>
          <w:szCs w:val="24"/>
        </w:rPr>
        <w:noBreakHyphen/>
        <w:t>Off Vehicle Register</w:t>
      </w:r>
      <w:r>
        <w:tab/>
      </w:r>
      <w:r>
        <w:fldChar w:fldCharType="begin"/>
      </w:r>
      <w:r>
        <w:instrText xml:space="preserve"> PAGEREF _Toc161198728 \h </w:instrText>
      </w:r>
      <w:r>
        <w:fldChar w:fldCharType="separate"/>
      </w:r>
      <w:r>
        <w:t>10</w:t>
      </w:r>
      <w:r>
        <w:fldChar w:fldCharType="end"/>
      </w:r>
    </w:p>
    <w:p>
      <w:pPr>
        <w:pStyle w:val="TOC8"/>
        <w:rPr>
          <w:sz w:val="24"/>
          <w:szCs w:val="24"/>
        </w:rPr>
      </w:pPr>
      <w:r>
        <w:rPr>
          <w:szCs w:val="24"/>
        </w:rPr>
        <w:t>14.</w:t>
      </w:r>
      <w:r>
        <w:rPr>
          <w:szCs w:val="24"/>
        </w:rPr>
        <w:tab/>
        <w:t>WOVR to include particulars of notifiable vehicles</w:t>
      </w:r>
      <w:r>
        <w:tab/>
      </w:r>
      <w:r>
        <w:fldChar w:fldCharType="begin"/>
      </w:r>
      <w:r>
        <w:instrText xml:space="preserve"> PAGEREF _Toc161198729 \h </w:instrText>
      </w:r>
      <w:r>
        <w:fldChar w:fldCharType="separate"/>
      </w:r>
      <w:r>
        <w:t>10</w:t>
      </w:r>
      <w:r>
        <w:fldChar w:fldCharType="end"/>
      </w:r>
    </w:p>
    <w:p>
      <w:pPr>
        <w:pStyle w:val="TOC8"/>
        <w:rPr>
          <w:sz w:val="24"/>
          <w:szCs w:val="24"/>
        </w:rPr>
      </w:pPr>
      <w:r>
        <w:rPr>
          <w:szCs w:val="24"/>
        </w:rPr>
        <w:t>15.</w:t>
      </w:r>
      <w:r>
        <w:rPr>
          <w:szCs w:val="24"/>
        </w:rPr>
        <w:tab/>
        <w:t>Public access to information on WOVR</w:t>
      </w:r>
      <w:r>
        <w:tab/>
      </w:r>
      <w:r>
        <w:fldChar w:fldCharType="begin"/>
      </w:r>
      <w:r>
        <w:instrText xml:space="preserve"> PAGEREF _Toc161198730 \h </w:instrText>
      </w:r>
      <w:r>
        <w:fldChar w:fldCharType="separate"/>
      </w:r>
      <w:r>
        <w:t>10</w:t>
      </w:r>
      <w:r>
        <w:fldChar w:fldCharType="end"/>
      </w:r>
    </w:p>
    <w:p>
      <w:pPr>
        <w:pStyle w:val="TOC8"/>
        <w:rPr>
          <w:sz w:val="24"/>
          <w:szCs w:val="24"/>
        </w:rPr>
      </w:pPr>
      <w:r>
        <w:rPr>
          <w:szCs w:val="24"/>
        </w:rPr>
        <w:t>16.</w:t>
      </w:r>
      <w:r>
        <w:rPr>
          <w:szCs w:val="24"/>
        </w:rPr>
        <w:tab/>
        <w:t>Cancellation of entry in WOVR</w:t>
      </w:r>
      <w:r>
        <w:tab/>
      </w:r>
      <w:r>
        <w:fldChar w:fldCharType="begin"/>
      </w:r>
      <w:r>
        <w:instrText xml:space="preserve"> PAGEREF _Toc161198731 \h </w:instrText>
      </w:r>
      <w:r>
        <w:fldChar w:fldCharType="separate"/>
      </w:r>
      <w:r>
        <w:t>11</w:t>
      </w:r>
      <w:r>
        <w:fldChar w:fldCharType="end"/>
      </w:r>
    </w:p>
    <w:p>
      <w:pPr>
        <w:pStyle w:val="TOC8"/>
        <w:rPr>
          <w:sz w:val="24"/>
          <w:szCs w:val="24"/>
        </w:rPr>
      </w:pPr>
      <w:r>
        <w:rPr>
          <w:szCs w:val="24"/>
        </w:rPr>
        <w:t>17.</w:t>
      </w:r>
      <w:r>
        <w:rPr>
          <w:szCs w:val="24"/>
        </w:rPr>
        <w:tab/>
        <w:t>Implementing the national scheme</w:t>
      </w:r>
      <w:r>
        <w:tab/>
      </w:r>
      <w:r>
        <w:fldChar w:fldCharType="begin"/>
      </w:r>
      <w:r>
        <w:instrText xml:space="preserve"> PAGEREF _Toc161198732 \h </w:instrText>
      </w:r>
      <w:r>
        <w:fldChar w:fldCharType="separate"/>
      </w:r>
      <w:r>
        <w:t>11</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zCs w:val="24"/>
        </w:rPr>
        <w:tab/>
        <w:t>Compilation table</w:t>
      </w:r>
      <w:r>
        <w:tab/>
      </w:r>
      <w:r>
        <w:fldChar w:fldCharType="begin"/>
      </w:r>
      <w:r>
        <w:instrText xml:space="preserve"> PAGEREF _Toc161198734 \h </w:instrText>
      </w:r>
      <w:r>
        <w:fldChar w:fldCharType="separate"/>
      </w:r>
      <w:r>
        <w:t>12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(Written-Off Vehicle Register) Regulations 2003</w:t>
      </w:r>
    </w:p>
    <w:p>
      <w:pPr>
        <w:pStyle w:val="Heading2"/>
        <w:keepNext w:val="0"/>
        <w:pageBreakBefore w:val="0"/>
        <w:spacing w:before="240"/>
      </w:pPr>
      <w:bookmarkStart w:id="1" w:name="_Toc55295600"/>
      <w:bookmarkStart w:id="2" w:name="_Toc114629662"/>
      <w:bookmarkStart w:id="3" w:name="_Toc161133665"/>
      <w:bookmarkStart w:id="4" w:name="_Toc161133692"/>
      <w:bookmarkStart w:id="5" w:name="_Toc161133714"/>
      <w:bookmarkStart w:id="6" w:name="_Toc1611987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423332722"/>
      <w:bookmarkStart w:id="8" w:name="_Toc425219441"/>
      <w:bookmarkStart w:id="9" w:name="_Toc426249308"/>
      <w:bookmarkStart w:id="10" w:name="_Toc449924704"/>
      <w:bookmarkStart w:id="11" w:name="_Toc449947722"/>
      <w:bookmarkStart w:id="12" w:name="_Toc454185713"/>
      <w:bookmarkStart w:id="13" w:name="_Toc54407663"/>
      <w:bookmarkStart w:id="14" w:name="_Toc114629663"/>
      <w:bookmarkStart w:id="15" w:name="_Toc161198714"/>
      <w:r>
        <w:rPr>
          <w:rStyle w:val="CharSectno"/>
        </w:rPr>
        <w:t>1</w:t>
      </w:r>
      <w:r>
        <w:t>.</w:t>
      </w:r>
      <w:r>
        <w:tab/>
        <w:t>Citation</w:t>
      </w:r>
      <w:bookmarkEnd w:id="7"/>
      <w:bookmarkEnd w:id="8"/>
      <w:bookmarkEnd w:id="9"/>
      <w:bookmarkEnd w:id="10"/>
      <w:bookmarkEnd w:id="11"/>
      <w:bookmarkEnd w:id="12"/>
      <w:bookmarkEnd w:id="13"/>
      <w:bookmarkEnd w:id="14"/>
      <w:bookmarkEnd w:id="15"/>
    </w:p>
    <w:p>
      <w:pPr>
        <w:pStyle w:val="Subsection"/>
      </w:pPr>
      <w:r>
        <w:tab/>
      </w:r>
      <w:r>
        <w:tab/>
      </w:r>
      <w:bookmarkStart w:id="16" w:name="Start_Cursor"/>
      <w:bookmarkEnd w:id="16"/>
      <w:r>
        <w:rPr>
          <w:spacing w:val="-2"/>
        </w:rPr>
        <w:t>These</w:t>
      </w:r>
      <w:r>
        <w:t xml:space="preserve"> </w:t>
      </w:r>
      <w:r>
        <w:rPr>
          <w:spacing w:val="-2"/>
        </w:rPr>
        <w:t>regulations</w:t>
      </w:r>
      <w:r>
        <w:t xml:space="preserve"> may be cited as the </w:t>
      </w:r>
      <w:r>
        <w:rPr>
          <w:i/>
        </w:rPr>
        <w:t>Road Traffic (Written-Off Vehicle Register) Regulations 2003</w:t>
      </w:r>
      <w:r>
        <w:t>.</w:t>
      </w:r>
    </w:p>
    <w:p>
      <w:pPr>
        <w:pStyle w:val="Heading5"/>
      </w:pPr>
      <w:bookmarkStart w:id="17" w:name="_Toc54407664"/>
      <w:bookmarkStart w:id="18" w:name="_Toc114629664"/>
      <w:bookmarkStart w:id="19" w:name="_Toc161198715"/>
      <w:r>
        <w:rPr>
          <w:rStyle w:val="CharSectno"/>
        </w:rPr>
        <w:t>2</w:t>
      </w:r>
      <w:r>
        <w:t>.</w:t>
      </w:r>
      <w:r>
        <w:tab/>
        <w:t>Interpretation</w:t>
      </w:r>
      <w:bookmarkEnd w:id="17"/>
      <w:bookmarkEnd w:id="18"/>
      <w:bookmarkEnd w:id="19"/>
    </w:p>
    <w:p>
      <w:pPr>
        <w:pStyle w:val="Subsection"/>
      </w:pPr>
      <w:r>
        <w:tab/>
      </w:r>
      <w:r>
        <w:tab/>
        <w:t xml:space="preserve">In these regulations, unless the contrary intention appears — </w:t>
      </w:r>
    </w:p>
    <w:p>
      <w:pPr>
        <w:pStyle w:val="Defstart"/>
      </w:pPr>
      <w:r>
        <w:rPr>
          <w:b/>
        </w:rPr>
        <w:tab/>
      </w:r>
      <w:r>
        <w:rPr>
          <w:rStyle w:val="CharDefText"/>
        </w:rPr>
        <w:t>assessor</w:t>
      </w:r>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r>
        <w:rPr>
          <w:rStyle w:val="CharDefText"/>
        </w:rPr>
        <w:t>compliance period</w:t>
      </w:r>
      <w:r>
        <w:t>, in relation to a notifiable vehicle, has the meaning given in regulation 9(3);</w:t>
      </w:r>
    </w:p>
    <w:p>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pPr>
        <w:pStyle w:val="Defstart"/>
      </w:pPr>
      <w:r>
        <w:rPr>
          <w:b/>
        </w:rPr>
        <w:tab/>
      </w:r>
      <w:r>
        <w:rPr>
          <w:rStyle w:val="CharDefText"/>
        </w:rPr>
        <w:t>corresponding law</w:t>
      </w:r>
      <w:r>
        <w:t xml:space="preserve"> means a law of another State or a Territory that corresponds to these regulations;</w:t>
      </w:r>
    </w:p>
    <w:p>
      <w:pPr>
        <w:pStyle w:val="Defstart"/>
      </w:pPr>
      <w:r>
        <w:rPr>
          <w:b/>
        </w:rPr>
        <w:tab/>
      </w:r>
      <w:r>
        <w:rPr>
          <w:rStyle w:val="CharDefText"/>
        </w:rPr>
        <w:t>corresponding WOVR</w:t>
      </w:r>
      <w:r>
        <w:t xml:space="preserve"> means a register (however described), that is established and maintained under a corresponding law;</w:t>
      </w:r>
    </w:p>
    <w:p>
      <w:pPr>
        <w:pStyle w:val="Defstart"/>
      </w:pPr>
      <w:r>
        <w:rPr>
          <w:b/>
        </w:rPr>
        <w:tab/>
      </w:r>
      <w:r>
        <w:rPr>
          <w:rStyle w:val="CharDefText"/>
        </w:rPr>
        <w:t>damaged vehicle</w:t>
      </w:r>
      <w:r>
        <w:t xml:space="preserve"> means a vehicle that does not comply with the Vehicle Standards as a result of being damaged;</w:t>
      </w:r>
    </w:p>
    <w:p>
      <w:pPr>
        <w:pStyle w:val="Defstart"/>
      </w:pPr>
      <w:r>
        <w:rPr>
          <w:b/>
        </w:rPr>
        <w:tab/>
      </w:r>
      <w:r>
        <w:rPr>
          <w:rStyle w:val="CharDefText"/>
        </w:rPr>
        <w:t>dealer</w:t>
      </w:r>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w:t>
      </w:r>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w:t>
      </w:r>
    </w:p>
    <w:p>
      <w:pPr>
        <w:pStyle w:val="Defsubpara"/>
        <w:keepLines w:val="0"/>
      </w:pPr>
      <w:r>
        <w:tab/>
        <w:t>(ii)</w:t>
      </w:r>
      <w:r>
        <w:tab/>
        <w:t>for the purpose of effectuating a security over the vehicle bought or sold;</w:t>
      </w:r>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pPr>
        <w:pStyle w:val="Defstart"/>
      </w:pPr>
      <w:r>
        <w:rPr>
          <w:b/>
        </w:rPr>
        <w:tab/>
      </w:r>
      <w:r>
        <w:rPr>
          <w:rStyle w:val="CharDefText"/>
        </w:rPr>
        <w:t>identifier</w:t>
      </w:r>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r>
        <w:rPr>
          <w:rStyle w:val="CharDefText"/>
        </w:rPr>
        <w:t>insurer</w:t>
      </w:r>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r>
        <w:rPr>
          <w:rStyle w:val="CharDefText"/>
        </w:rPr>
        <w:t>MRC</w:t>
      </w:r>
      <w:r>
        <w:t xml:space="preserve"> (which stands for “mass rating for charging”) has the same meaning as it has in the </w:t>
      </w:r>
      <w:r>
        <w:rPr>
          <w:i/>
        </w:rPr>
        <w:t>Road Traffic (Licensing) Regulations 1975</w:t>
      </w:r>
      <w:r>
        <w:t>;</w:t>
      </w:r>
    </w:p>
    <w:p>
      <w:pPr>
        <w:pStyle w:val="Defstart"/>
      </w:pPr>
      <w:r>
        <w:rPr>
          <w:b/>
        </w:rPr>
        <w:tab/>
      </w:r>
      <w:r>
        <w:rPr>
          <w:rStyle w:val="CharDefText"/>
        </w:rPr>
        <w:t>notifiable</w:t>
      </w:r>
      <w:r>
        <w:t>, in relation to a vehicle, means notifiable under regulation 6;</w:t>
      </w:r>
    </w:p>
    <w:p>
      <w:pPr>
        <w:pStyle w:val="Defstart"/>
      </w:pPr>
      <w:r>
        <w:rPr>
          <w:b/>
        </w:rPr>
        <w:tab/>
      </w:r>
      <w:r>
        <w:rPr>
          <w:rStyle w:val="CharDefText"/>
        </w:rPr>
        <w:t>number</w:t>
      </w:r>
      <w:r>
        <w:t xml:space="preserve"> includes letter;</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pPr>
        <w:pStyle w:val="Defstart"/>
      </w:pPr>
      <w:r>
        <w:rPr>
          <w:b/>
        </w:rPr>
        <w:tab/>
      </w:r>
      <w:r>
        <w:rPr>
          <w:rStyle w:val="CharDefText"/>
        </w:rPr>
        <w:t>repair</w:t>
      </w:r>
      <w:r>
        <w:t>, in relation to a vehicle, means to repair the vehicle as much as is necessary for the vehicle to comply with the Vehicle Standards;</w:t>
      </w:r>
    </w:p>
    <w:p>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w:t>
      </w:r>
      <w:bookmarkStart w:id="20" w:name="_Hlt51659361"/>
      <w:r>
        <w:t>7</w:t>
      </w:r>
      <w:bookmarkEnd w:id="20"/>
      <w:r>
        <w:t>;</w:t>
      </w:r>
    </w:p>
    <w:p>
      <w:pPr>
        <w:pStyle w:val="Defstart"/>
      </w:pPr>
      <w:r>
        <w:rPr>
          <w:b/>
        </w:rPr>
        <w:tab/>
      </w:r>
      <w:r>
        <w:rPr>
          <w:rStyle w:val="CharDefText"/>
        </w:rPr>
        <w:t>total loss</w:t>
      </w:r>
      <w:r>
        <w:t>, in relation to a vehicle, has the meaning given in regulation </w:t>
      </w:r>
      <w:bookmarkStart w:id="21" w:name="_Hlt51659451"/>
      <w:r>
        <w:t>4</w:t>
      </w:r>
      <w:bookmarkEnd w:id="21"/>
      <w:r>
        <w:t>;</w:t>
      </w:r>
    </w:p>
    <w:p>
      <w:pPr>
        <w:pStyle w:val="Defstart"/>
      </w:pPr>
      <w:r>
        <w:rPr>
          <w:b/>
        </w:rPr>
        <w:tab/>
      </w:r>
      <w:r>
        <w:rPr>
          <w:rStyle w:val="CharDefText"/>
        </w:rPr>
        <w:t>Vehicle Standards</w:t>
      </w:r>
      <w:r>
        <w:t xml:space="preserve"> means the </w:t>
      </w:r>
      <w:r>
        <w:rPr>
          <w:i/>
        </w:rPr>
        <w:t>Road Traffic (Vehicle Standards) Rules 2002</w:t>
      </w:r>
      <w:r>
        <w:t>;</w:t>
      </w:r>
    </w:p>
    <w:p>
      <w:pPr>
        <w:pStyle w:val="Defstart"/>
      </w:pPr>
      <w:r>
        <w:rPr>
          <w:b/>
        </w:rPr>
        <w:tab/>
      </w:r>
      <w:r>
        <w:rPr>
          <w:rStyle w:val="CharDefText"/>
        </w:rPr>
        <w:t>WOVR</w:t>
      </w:r>
      <w:r>
        <w:t xml:space="preserve"> stands for the Written</w:t>
      </w:r>
      <w:r>
        <w:noBreakHyphen/>
        <w:t>Off Vehicle Register established and maintained under regulation </w:t>
      </w:r>
      <w:bookmarkStart w:id="22" w:name="_Hlt51659761"/>
      <w:r>
        <w:t>13</w:t>
      </w:r>
      <w:bookmarkEnd w:id="22"/>
      <w:r>
        <w:t>;</w:t>
      </w:r>
    </w:p>
    <w:p>
      <w:pPr>
        <w:pStyle w:val="Defstart"/>
      </w:pPr>
      <w:r>
        <w:rPr>
          <w:b/>
        </w:rPr>
        <w:tab/>
      </w:r>
      <w:r>
        <w:rPr>
          <w:rStyle w:val="CharDefText"/>
        </w:rPr>
        <w:t>wrecker</w:t>
      </w:r>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r>
        <w:rPr>
          <w:rStyle w:val="CharDefText"/>
        </w:rPr>
        <w:t>written</w:t>
      </w:r>
      <w:r>
        <w:rPr>
          <w:rStyle w:val="CharDefText"/>
        </w:rPr>
        <w:noBreakHyphen/>
        <w:t>off</w:t>
      </w:r>
      <w:r>
        <w:t>, in relation to a vehicle, has the meaning given in regulation 5;</w:t>
      </w:r>
    </w:p>
    <w:p>
      <w:pPr>
        <w:pStyle w:val="Defstart"/>
      </w:pPr>
      <w:r>
        <w:rPr>
          <w:b/>
        </w:rPr>
        <w:tab/>
      </w:r>
      <w:r>
        <w:rPr>
          <w:rStyle w:val="CharDefText"/>
        </w:rPr>
        <w:t>written</w:t>
      </w:r>
      <w:r>
        <w:rPr>
          <w:rStyle w:val="CharDefText"/>
        </w:rPr>
        <w:noBreakHyphen/>
        <w:t>off vehicle notice</w:t>
      </w:r>
      <w:r>
        <w:t xml:space="preserve"> means a notice under regulation </w:t>
      </w:r>
      <w:bookmarkStart w:id="23" w:name="_Hlt51658657"/>
      <w:r>
        <w:t>10</w:t>
      </w:r>
      <w:bookmarkEnd w:id="23"/>
      <w:r>
        <w:t>;</w:t>
      </w:r>
    </w:p>
    <w:p>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w:t>
      </w:r>
      <w:bookmarkStart w:id="24" w:name="_Hlt51659826"/>
      <w:r>
        <w:t>11</w:t>
      </w:r>
      <w:bookmarkEnd w:id="24"/>
      <w:r>
        <w:t>.</w:t>
      </w:r>
    </w:p>
    <w:p>
      <w:pPr>
        <w:pStyle w:val="Footnotesection"/>
      </w:pPr>
      <w:r>
        <w:tab/>
        <w:t>[Regulation 2 amended in Gazette 16 Sep 2005 p. 4324-5.]</w:t>
      </w:r>
    </w:p>
    <w:p>
      <w:pPr>
        <w:pStyle w:val="Heading5"/>
      </w:pPr>
      <w:bookmarkStart w:id="25" w:name="_Toc54407665"/>
      <w:bookmarkStart w:id="26" w:name="_Toc114629665"/>
      <w:bookmarkStart w:id="27" w:name="_Toc161198716"/>
      <w:r>
        <w:rPr>
          <w:rStyle w:val="CharSectno"/>
        </w:rPr>
        <w:t>3</w:t>
      </w:r>
      <w:r>
        <w:t>.</w:t>
      </w:r>
      <w:r>
        <w:tab/>
        <w:t>Modified penalties for infringements</w:t>
      </w:r>
      <w:bookmarkEnd w:id="25"/>
      <w:bookmarkEnd w:id="26"/>
      <w:bookmarkEnd w:id="27"/>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28" w:name="_Hlt51659454"/>
      <w:bookmarkStart w:id="29" w:name="_Toc54407666"/>
      <w:bookmarkStart w:id="30" w:name="_Toc114629666"/>
      <w:bookmarkStart w:id="31" w:name="_Toc161198717"/>
      <w:bookmarkEnd w:id="28"/>
      <w:r>
        <w:rPr>
          <w:rStyle w:val="CharSectno"/>
        </w:rPr>
        <w:t>4</w:t>
      </w:r>
      <w:r>
        <w:t>.</w:t>
      </w:r>
      <w:r>
        <w:tab/>
        <w:t>Total loss — meaning</w:t>
      </w:r>
      <w:bookmarkEnd w:id="29"/>
      <w:bookmarkEnd w:id="30"/>
      <w:bookmarkEnd w:id="31"/>
    </w:p>
    <w:p>
      <w:pPr>
        <w:pStyle w:val="Subsection"/>
      </w:pPr>
      <w:r>
        <w:tab/>
      </w:r>
      <w:r>
        <w:tab/>
        <w:t>A damaged vehicle is a total loss if the sum of the market value of the vehicle and the cost of repairing it so that it complies with the Vehicle Standards would be greater than the market value of the vehicle immediately before it was damaged.</w:t>
      </w:r>
    </w:p>
    <w:p>
      <w:pPr>
        <w:pStyle w:val="Heading5"/>
      </w:pPr>
      <w:bookmarkStart w:id="32" w:name="_Toc54407667"/>
      <w:bookmarkStart w:id="33" w:name="_Toc114629667"/>
      <w:bookmarkStart w:id="34" w:name="_Toc161198718"/>
      <w:r>
        <w:rPr>
          <w:rStyle w:val="CharSectno"/>
        </w:rPr>
        <w:t>5</w:t>
      </w:r>
      <w:r>
        <w:t>.</w:t>
      </w:r>
      <w:r>
        <w:tab/>
        <w:t>Written off vehicles</w:t>
      </w:r>
      <w:bookmarkEnd w:id="32"/>
      <w:bookmarkEnd w:id="33"/>
      <w:bookmarkEnd w:id="34"/>
    </w:p>
    <w:p>
      <w:pPr>
        <w:pStyle w:val="Subsection"/>
      </w:pPr>
      <w:r>
        <w:tab/>
      </w:r>
      <w:r>
        <w:tab/>
        <w:t>A vehicle is written off when it is assessed as a total loss by an assessor.</w:t>
      </w:r>
    </w:p>
    <w:p>
      <w:pPr>
        <w:pStyle w:val="Heading5"/>
      </w:pPr>
      <w:bookmarkStart w:id="35" w:name="_Hlt51659304"/>
      <w:bookmarkStart w:id="36" w:name="_Toc54407668"/>
      <w:bookmarkStart w:id="37" w:name="_Toc114629668"/>
      <w:bookmarkStart w:id="38" w:name="_Toc161198719"/>
      <w:bookmarkEnd w:id="35"/>
      <w:r>
        <w:rPr>
          <w:rStyle w:val="CharSectno"/>
        </w:rPr>
        <w:t>6</w:t>
      </w:r>
      <w:r>
        <w:t>.</w:t>
      </w:r>
      <w:r>
        <w:tab/>
        <w:t>Notifiable vehicles</w:t>
      </w:r>
      <w:bookmarkEnd w:id="36"/>
      <w:bookmarkEnd w:id="37"/>
      <w:bookmarkEnd w:id="38"/>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w:t>
      </w:r>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39" w:name="_Hlt51659367"/>
      <w:bookmarkStart w:id="40" w:name="_Toc54407669"/>
      <w:bookmarkStart w:id="41" w:name="_Toc114629669"/>
      <w:bookmarkStart w:id="42" w:name="_Toc161198720"/>
      <w:bookmarkEnd w:id="39"/>
      <w:r>
        <w:rPr>
          <w:rStyle w:val="CharSectno"/>
        </w:rPr>
        <w:t>7</w:t>
      </w:r>
      <w:r>
        <w:t>.</w:t>
      </w:r>
      <w:r>
        <w:tab/>
        <w:t>Statutory write</w:t>
      </w:r>
      <w:r>
        <w:noBreakHyphen/>
        <w:t>offs</w:t>
      </w:r>
      <w:bookmarkEnd w:id="40"/>
      <w:bookmarkEnd w:id="41"/>
      <w:bookmarkEnd w:id="42"/>
    </w:p>
    <w:p>
      <w:pPr>
        <w:pStyle w:val="Subsection"/>
      </w:pPr>
      <w:r>
        <w:tab/>
        <w:t>(1)</w:t>
      </w:r>
      <w:r>
        <w:tab/>
        <w:t>A notifiable vehicle is a statutory write</w:t>
      </w:r>
      <w:r>
        <w:noBreakHyphen/>
        <w:t xml:space="preserve">off if — </w:t>
      </w:r>
    </w:p>
    <w:p>
      <w:pPr>
        <w:pStyle w:val="Indenta"/>
      </w:pPr>
      <w:r>
        <w:tab/>
        <w:t>(a)</w:t>
      </w:r>
      <w:r>
        <w:tab/>
        <w:t>it has been stripped of all or most of its interior and exterior body parts, panels and other components; or</w:t>
      </w:r>
    </w:p>
    <w:p>
      <w:pPr>
        <w:pStyle w:val="Indenta"/>
      </w:pPr>
      <w:r>
        <w:tab/>
        <w:t>(b)</w:t>
      </w:r>
      <w:r>
        <w:tab/>
        <w:t>it is burnt to such an extent that it is fit only for wrecking or scrap.</w:t>
      </w:r>
    </w:p>
    <w:p>
      <w:pPr>
        <w:pStyle w:val="Subsection"/>
      </w:pPr>
      <w:r>
        <w:tab/>
        <w:t>(2)</w:t>
      </w:r>
      <w:r>
        <w:tab/>
        <w:t>A notifiable vehicle (except a motor cycle) is a statutory write</w:t>
      </w:r>
      <w:r>
        <w:noBreakHyphen/>
        <w:t xml:space="preserve">off if 3 or more of the following apply to the vehicle — </w:t>
      </w:r>
    </w:p>
    <w:p>
      <w:pPr>
        <w:pStyle w:val="Indenta"/>
      </w:pPr>
      <w:r>
        <w:tab/>
        <w:t>(a)</w:t>
      </w:r>
      <w:r>
        <w:tab/>
        <w:t>an area 300 mm x 300 mm or more of the vehicle’s roof has sustained impact damage;</w:t>
      </w:r>
    </w:p>
    <w:p>
      <w:pPr>
        <w:pStyle w:val="Indenta"/>
      </w:pPr>
      <w:r>
        <w:tab/>
        <w:t>(b)</w:t>
      </w:r>
      <w:r>
        <w:tab/>
        <w:t>an area 300 mm x 300 mm or more of the vehicle’s cabin floor pan has sustained impact damage;</w:t>
      </w:r>
    </w:p>
    <w:p>
      <w:pPr>
        <w:pStyle w:val="Indenta"/>
      </w:pPr>
      <w:r>
        <w:tab/>
        <w:t>(c)</w:t>
      </w:r>
      <w:r>
        <w:tab/>
        <w:t>an area 300 mm x 300 mm or more of the vehicle’s firewall has sustained impact damage;</w:t>
      </w:r>
    </w:p>
    <w:p>
      <w:pPr>
        <w:pStyle w:val="Indenta"/>
      </w:pPr>
      <w:r>
        <w:tab/>
        <w:t>(d)</w:t>
      </w:r>
      <w:r>
        <w:tab/>
        <w:t>the vehicle’s suspension has sustained impact damage;</w:t>
      </w:r>
    </w:p>
    <w:p>
      <w:pPr>
        <w:pStyle w:val="Indenta"/>
      </w:pPr>
      <w:r>
        <w:tab/>
        <w:t>(e)</w:t>
      </w:r>
      <w:r>
        <w:tab/>
        <w:t>a major mechanical component of the vehicle is cracked or broken.</w:t>
      </w:r>
    </w:p>
    <w:p>
      <w:pPr>
        <w:pStyle w:val="Subsection"/>
      </w:pPr>
      <w:r>
        <w:tab/>
        <w:t>(3)</w:t>
      </w:r>
      <w:r>
        <w:tab/>
        <w:t>A notifiable vehicle (except a motor cycle) is a statutory write</w:t>
      </w:r>
      <w:r>
        <w:noBreakHyphen/>
        <w:t xml:space="preserve">off if — </w:t>
      </w:r>
    </w:p>
    <w:p>
      <w:pPr>
        <w:pStyle w:val="Indenta"/>
      </w:pPr>
      <w:r>
        <w:tab/>
        <w:t>(a)</w:t>
      </w:r>
      <w:r>
        <w:tab/>
        <w:t>it has been immersed in salt water above the doorsill level for any period; or</w:t>
      </w:r>
    </w:p>
    <w:p>
      <w:pPr>
        <w:pStyle w:val="Indenta"/>
      </w:pPr>
      <w:r>
        <w:tab/>
        <w:t>(b)</w:t>
      </w:r>
      <w:r>
        <w:tab/>
        <w:t>it has been immersed in fresh water up to the level of the dashboard or steering wheel for more than 48 hours.</w:t>
      </w:r>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Heading5"/>
      </w:pPr>
      <w:bookmarkStart w:id="43" w:name="_Toc54407670"/>
      <w:bookmarkStart w:id="44" w:name="_Toc114629670"/>
      <w:bookmarkStart w:id="45" w:name="_Toc161198721"/>
      <w:r>
        <w:rPr>
          <w:rStyle w:val="CharSectno"/>
        </w:rPr>
        <w:t>8</w:t>
      </w:r>
      <w:r>
        <w:t>.</w:t>
      </w:r>
      <w:r>
        <w:tab/>
        <w:t>Repairable write</w:t>
      </w:r>
      <w:r>
        <w:noBreakHyphen/>
        <w:t>offs</w:t>
      </w:r>
      <w:bookmarkEnd w:id="43"/>
      <w:bookmarkEnd w:id="44"/>
      <w:bookmarkEnd w:id="45"/>
    </w:p>
    <w:p>
      <w:pPr>
        <w:pStyle w:val="Subsection"/>
      </w:pPr>
      <w:r>
        <w:tab/>
      </w:r>
      <w:r>
        <w:tab/>
        <w:t>A notifiable vehicle is a repairable write</w:t>
      </w:r>
      <w:r>
        <w:noBreakHyphen/>
        <w:t>off if it is not a statutory write</w:t>
      </w:r>
      <w:r>
        <w:noBreakHyphen/>
        <w:t>off.</w:t>
      </w:r>
    </w:p>
    <w:p>
      <w:pPr>
        <w:pStyle w:val="Heading2"/>
      </w:pPr>
      <w:bookmarkStart w:id="46" w:name="_Toc55295609"/>
      <w:bookmarkStart w:id="47" w:name="_Toc114629671"/>
      <w:bookmarkStart w:id="48" w:name="_Toc161133674"/>
      <w:bookmarkStart w:id="49" w:name="_Toc161133701"/>
      <w:bookmarkStart w:id="50" w:name="_Toc161133723"/>
      <w:bookmarkStart w:id="51" w:name="_Toc161198722"/>
      <w:r>
        <w:rPr>
          <w:rStyle w:val="CharPartNo"/>
        </w:rPr>
        <w:t>Part 2</w:t>
      </w:r>
      <w:r>
        <w:rPr>
          <w:rStyle w:val="CharDivNo"/>
        </w:rPr>
        <w:t> </w:t>
      </w:r>
      <w:r>
        <w:t>—</w:t>
      </w:r>
      <w:r>
        <w:rPr>
          <w:rStyle w:val="CharDivText"/>
        </w:rPr>
        <w:t> </w:t>
      </w:r>
      <w:r>
        <w:rPr>
          <w:rStyle w:val="CharPartText"/>
        </w:rPr>
        <w:t>Dealing with notifiable vehicles</w:t>
      </w:r>
      <w:bookmarkEnd w:id="46"/>
      <w:bookmarkEnd w:id="47"/>
      <w:bookmarkEnd w:id="48"/>
      <w:bookmarkEnd w:id="49"/>
      <w:bookmarkEnd w:id="50"/>
      <w:bookmarkEnd w:id="51"/>
    </w:p>
    <w:p>
      <w:pPr>
        <w:pStyle w:val="Heading5"/>
      </w:pPr>
      <w:bookmarkStart w:id="52" w:name="_Toc54407671"/>
      <w:bookmarkStart w:id="53" w:name="_Toc114629672"/>
      <w:bookmarkStart w:id="54" w:name="_Toc161198723"/>
      <w:r>
        <w:rPr>
          <w:rStyle w:val="CharSectno"/>
        </w:rPr>
        <w:t>9</w:t>
      </w:r>
      <w:r>
        <w:t>.</w:t>
      </w:r>
      <w:r>
        <w:tab/>
        <w:t>Notification and marking of write</w:t>
      </w:r>
      <w:r>
        <w:noBreakHyphen/>
        <w:t>offs</w:t>
      </w:r>
      <w:bookmarkEnd w:id="52"/>
      <w:bookmarkEnd w:id="53"/>
      <w:bookmarkEnd w:id="54"/>
    </w:p>
    <w:p>
      <w:pPr>
        <w:pStyle w:val="Subsection"/>
      </w:pPr>
      <w:r>
        <w:tab/>
      </w:r>
      <w:bookmarkStart w:id="55" w:name="_Hlt51662517"/>
      <w:bookmarkEnd w:id="55"/>
      <w:r>
        <w:t>(1)</w:t>
      </w:r>
      <w:r>
        <w:tab/>
        <w:t xml:space="preserve">An assessor who is in possession or control of a notifiable vehicle must, within the compliance period — </w:t>
      </w:r>
    </w:p>
    <w:p>
      <w:pPr>
        <w:pStyle w:val="Indenta"/>
      </w:pPr>
      <w:r>
        <w:tab/>
      </w:r>
      <w:bookmarkStart w:id="56" w:name="_Hlt51662540"/>
      <w:bookmarkEnd w:id="56"/>
      <w:r>
        <w:t>(a)</w:t>
      </w:r>
      <w:r>
        <w:tab/>
        <w:t>give the Director General a written</w:t>
      </w:r>
      <w:r>
        <w:noBreakHyphen/>
        <w:t>off vehicle notice in accordance with regulation </w:t>
      </w:r>
      <w:bookmarkStart w:id="57" w:name="_Hlt51662310"/>
      <w:r>
        <w:t>10</w:t>
      </w:r>
      <w:bookmarkEnd w:id="57"/>
      <w:r>
        <w:t>; and</w:t>
      </w:r>
    </w:p>
    <w:p>
      <w:pPr>
        <w:pStyle w:val="Indenta"/>
      </w:pPr>
      <w:r>
        <w:tab/>
      </w:r>
      <w:bookmarkStart w:id="58" w:name="_Hlt51659818"/>
      <w:bookmarkEnd w:id="58"/>
      <w:r>
        <w:t>(b)</w:t>
      </w:r>
      <w:r>
        <w:tab/>
        <w:t>if the vehicle is a statutory write</w:t>
      </w:r>
      <w:r>
        <w:noBreakHyphen/>
        <w:t xml:space="preserve">off — </w:t>
      </w:r>
    </w:p>
    <w:p>
      <w:pPr>
        <w:pStyle w:val="Indenti"/>
      </w:pPr>
      <w:r>
        <w:tab/>
        <w:t>(i)</w:t>
      </w:r>
      <w:r>
        <w:tab/>
        <w:t>attach a written</w:t>
      </w:r>
      <w:r>
        <w:noBreakHyphen/>
        <w:t>off warning label to the vehicle in accordance with regulation </w:t>
      </w:r>
      <w:bookmarkStart w:id="59" w:name="_Hlt51662316"/>
      <w:r>
        <w:t>11</w:t>
      </w:r>
      <w:bookmarkEnd w:id="59"/>
      <w:r>
        <w:t>; and</w:t>
      </w:r>
    </w:p>
    <w:p>
      <w:pPr>
        <w:pStyle w:val="Indenti"/>
      </w:pPr>
      <w:r>
        <w:tab/>
      </w:r>
      <w:bookmarkStart w:id="60" w:name="_Hlt51651143"/>
      <w:bookmarkEnd w:id="60"/>
      <w:r>
        <w:t>(ii)</w:t>
      </w:r>
      <w:r>
        <w:tab/>
        <w:t>deface its identifier in accordance with regulation </w:t>
      </w:r>
      <w:bookmarkStart w:id="61" w:name="_Hlt51662403"/>
      <w:r>
        <w:t>12</w:t>
      </w:r>
      <w:bookmarkEnd w:id="61"/>
      <w:r>
        <w:t>.</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r>
      <w:bookmarkStart w:id="62" w:name="_Hlt51658934"/>
      <w:bookmarkEnd w:id="62"/>
      <w:r>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bookmarkStart w:id="63" w:name="_Hlt51658660"/>
      <w:bookmarkStart w:id="64" w:name="_Toc54407672"/>
      <w:bookmarkEnd w:id="63"/>
      <w:r>
        <w:tab/>
        <w:t>[Regulation 9 amended in Gazette 16 Sep 2005 p. 4325.]</w:t>
      </w:r>
    </w:p>
    <w:p>
      <w:pPr>
        <w:pStyle w:val="Heading5"/>
      </w:pPr>
      <w:bookmarkStart w:id="65" w:name="_Toc114629673"/>
      <w:bookmarkStart w:id="66" w:name="_Toc161198724"/>
      <w:r>
        <w:rPr>
          <w:rStyle w:val="CharSectno"/>
        </w:rPr>
        <w:t>10</w:t>
      </w:r>
      <w:r>
        <w:t>.</w:t>
      </w:r>
      <w:r>
        <w:tab/>
        <w:t>Written</w:t>
      </w:r>
      <w:r>
        <w:noBreakHyphen/>
        <w:t>off vehicle notices</w:t>
      </w:r>
      <w:bookmarkEnd w:id="64"/>
      <w:bookmarkEnd w:id="65"/>
      <w:bookmarkEnd w:id="66"/>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67" w:name="_Hlt51662318"/>
      <w:bookmarkStart w:id="68" w:name="_Toc54407673"/>
      <w:bookmarkStart w:id="69" w:name="_Toc114629674"/>
      <w:bookmarkStart w:id="70" w:name="_Toc161198725"/>
      <w:bookmarkEnd w:id="67"/>
      <w:r>
        <w:rPr>
          <w:rStyle w:val="CharSectno"/>
        </w:rPr>
        <w:t>11</w:t>
      </w:r>
      <w:r>
        <w:t>.</w:t>
      </w:r>
      <w:r>
        <w:tab/>
        <w:t>Written</w:t>
      </w:r>
      <w:r>
        <w:noBreakHyphen/>
        <w:t>off warning labels</w:t>
      </w:r>
      <w:bookmarkStart w:id="71" w:name="_Hlt51659831"/>
      <w:bookmarkEnd w:id="68"/>
      <w:bookmarkEnd w:id="69"/>
      <w:bookmarkEnd w:id="70"/>
    </w:p>
    <w:bookmarkEnd w:id="71"/>
    <w:p>
      <w:pPr>
        <w:pStyle w:val="Subsection"/>
      </w:pPr>
      <w:r>
        <w:tab/>
      </w:r>
      <w:bookmarkStart w:id="72" w:name="_Hlt51662692"/>
      <w:bookmarkEnd w:id="72"/>
      <w:r>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r>
      <w:bookmarkStart w:id="73" w:name="_Hlt51662698"/>
      <w:bookmarkEnd w:id="73"/>
      <w:r>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w:t>
      </w:r>
      <w:bookmarkStart w:id="74" w:name="_Hlt51662695"/>
      <w:r>
        <w:t>(b)</w:t>
      </w:r>
      <w:bookmarkEnd w:id="74"/>
      <w:r>
        <w:t>.</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bookmarkStart w:id="75" w:name="_Hlt51662406"/>
      <w:bookmarkStart w:id="76" w:name="_Toc54407674"/>
      <w:bookmarkEnd w:id="75"/>
      <w:r>
        <w:tab/>
        <w:t>[Regulation 11 amended in Gazette 16 Sep 2005 p. 4325.]</w:t>
      </w:r>
    </w:p>
    <w:p>
      <w:pPr>
        <w:pStyle w:val="Heading5"/>
      </w:pPr>
      <w:bookmarkStart w:id="77" w:name="_Toc114629675"/>
      <w:bookmarkStart w:id="78" w:name="_Toc161198726"/>
      <w:r>
        <w:rPr>
          <w:rStyle w:val="CharSectno"/>
        </w:rPr>
        <w:t>12</w:t>
      </w:r>
      <w:r>
        <w:t>.</w:t>
      </w:r>
      <w:r>
        <w:tab/>
        <w:t>Defacing vehicle identifiers of statutory write</w:t>
      </w:r>
      <w:r>
        <w:noBreakHyphen/>
        <w:t>offs</w:t>
      </w:r>
      <w:bookmarkEnd w:id="76"/>
      <w:bookmarkEnd w:id="77"/>
      <w:bookmarkEnd w:id="78"/>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79" w:name="_Toc55295614"/>
      <w:bookmarkStart w:id="80" w:name="_Toc114629676"/>
      <w:bookmarkStart w:id="81" w:name="_Toc161133679"/>
      <w:bookmarkStart w:id="82" w:name="_Toc161133706"/>
      <w:bookmarkStart w:id="83" w:name="_Toc161133728"/>
      <w:bookmarkStart w:id="84" w:name="_Toc161198727"/>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79"/>
      <w:bookmarkEnd w:id="80"/>
      <w:bookmarkEnd w:id="81"/>
      <w:bookmarkEnd w:id="82"/>
      <w:bookmarkEnd w:id="83"/>
      <w:bookmarkEnd w:id="84"/>
    </w:p>
    <w:p>
      <w:pPr>
        <w:pStyle w:val="Heading5"/>
      </w:pPr>
      <w:bookmarkStart w:id="85" w:name="_Hlt51659763"/>
      <w:bookmarkStart w:id="86" w:name="_Toc54407675"/>
      <w:bookmarkStart w:id="87" w:name="_Toc114629677"/>
      <w:bookmarkStart w:id="88" w:name="_Toc161198728"/>
      <w:bookmarkEnd w:id="85"/>
      <w:r>
        <w:rPr>
          <w:rStyle w:val="CharSectno"/>
        </w:rPr>
        <w:t>13</w:t>
      </w:r>
      <w:r>
        <w:t>.</w:t>
      </w:r>
      <w:r>
        <w:tab/>
        <w:t>The Written</w:t>
      </w:r>
      <w:r>
        <w:noBreakHyphen/>
        <w:t>Off Vehicle Register</w:t>
      </w:r>
      <w:bookmarkEnd w:id="86"/>
      <w:bookmarkEnd w:id="87"/>
      <w:bookmarkEnd w:id="88"/>
    </w:p>
    <w:p>
      <w:pPr>
        <w:pStyle w:val="Subsection"/>
      </w:pPr>
      <w:r>
        <w:tab/>
      </w:r>
      <w:r>
        <w:tab/>
        <w:t>The Director General is to establish and maintain a Written</w:t>
      </w:r>
      <w:r>
        <w:noBreakHyphen/>
        <w:t>Off Vehicle Register in a form determined by the Director General.</w:t>
      </w:r>
    </w:p>
    <w:p>
      <w:pPr>
        <w:pStyle w:val="Heading5"/>
      </w:pPr>
      <w:bookmarkStart w:id="89" w:name="_Toc54407676"/>
      <w:bookmarkStart w:id="90" w:name="_Toc114629678"/>
      <w:bookmarkStart w:id="91" w:name="_Toc161198729"/>
      <w:r>
        <w:rPr>
          <w:rStyle w:val="CharSectno"/>
        </w:rPr>
        <w:t>14</w:t>
      </w:r>
      <w:r>
        <w:t>.</w:t>
      </w:r>
      <w:r>
        <w:tab/>
        <w:t>WOVR to include particulars of notifiable vehicles</w:t>
      </w:r>
      <w:bookmarkEnd w:id="89"/>
      <w:bookmarkEnd w:id="90"/>
      <w:bookmarkEnd w:id="91"/>
    </w:p>
    <w:p>
      <w:pPr>
        <w:pStyle w:val="Subsection"/>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pPr>
      <w:bookmarkStart w:id="92" w:name="_Toc54407677"/>
      <w:bookmarkStart w:id="93" w:name="_Toc114629679"/>
      <w:bookmarkStart w:id="94" w:name="_Toc161198730"/>
      <w:r>
        <w:rPr>
          <w:rStyle w:val="CharSectno"/>
        </w:rPr>
        <w:t>15</w:t>
      </w:r>
      <w:r>
        <w:t>.</w:t>
      </w:r>
      <w:r>
        <w:tab/>
        <w:t>Public access to information on WOVR</w:t>
      </w:r>
      <w:bookmarkEnd w:id="92"/>
      <w:bookmarkEnd w:id="93"/>
      <w:bookmarkEnd w:id="94"/>
    </w:p>
    <w:p>
      <w:pPr>
        <w:pStyle w:val="Subsection"/>
      </w:pPr>
      <w:r>
        <w:tab/>
        <w:t>(1)</w:t>
      </w:r>
      <w:r>
        <w:tab/>
        <w:t xml:space="preserve">On the request of a person, the Director General is to tell the person — </w:t>
      </w:r>
    </w:p>
    <w:p>
      <w:pPr>
        <w:pStyle w:val="Indenta"/>
      </w:pPr>
      <w:r>
        <w:tab/>
        <w:t>(a)</w:t>
      </w:r>
      <w:r>
        <w:tab/>
        <w:t xml:space="preserve">whether a particular vehicle, or a particular identifier, is or has ever been registered in the WOVR; </w:t>
      </w:r>
    </w:p>
    <w:p>
      <w:pPr>
        <w:pStyle w:val="Indenta"/>
      </w:pPr>
      <w:r>
        <w:tab/>
        <w:t>(b)</w:t>
      </w:r>
      <w:r>
        <w:tab/>
        <w:t>if not, whether, to the knowledge of the Director General, the vehicle or the identifier is registered in a corresponding WOVR; and</w:t>
      </w:r>
    </w:p>
    <w:p>
      <w:pPr>
        <w:pStyle w:val="Indenta"/>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pPr>
      <w:r>
        <w:tab/>
        <w:t>(2)</w:t>
      </w:r>
      <w:r>
        <w:tab/>
        <w:t xml:space="preserve">The Director General may make arrangements with the Commissioner (as defined in the </w:t>
      </w:r>
      <w:r>
        <w:rPr>
          <w:i/>
          <w:iCs/>
        </w:rPr>
        <w:t>Consumer Affairs Act 1971</w:t>
      </w:r>
      <w:r>
        <w:t>) for the Commissioner to use information entered in the WOVR for the purposes of facilitating public access to the information.</w:t>
      </w:r>
    </w:p>
    <w:p>
      <w:pPr>
        <w:pStyle w:val="Footnotesection"/>
      </w:pPr>
      <w:bookmarkStart w:id="95" w:name="_Toc54407678"/>
      <w:r>
        <w:tab/>
        <w:t>[Regulation 15 amended in Gazette 16 Sep 2005 p. 4325; 9 Mar 2007 p. 849.]</w:t>
      </w:r>
    </w:p>
    <w:p>
      <w:pPr>
        <w:pStyle w:val="Heading5"/>
      </w:pPr>
      <w:bookmarkStart w:id="96" w:name="_Toc114629680"/>
      <w:bookmarkStart w:id="97" w:name="_Toc161198731"/>
      <w:r>
        <w:rPr>
          <w:rStyle w:val="CharSectno"/>
        </w:rPr>
        <w:t>16</w:t>
      </w:r>
      <w:r>
        <w:t>.</w:t>
      </w:r>
      <w:r>
        <w:tab/>
        <w:t>Cancellation of entry in WOVR</w:t>
      </w:r>
      <w:bookmarkEnd w:id="95"/>
      <w:bookmarkEnd w:id="96"/>
      <w:bookmarkEnd w:id="97"/>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w:t>
      </w:r>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98" w:name="_Toc54407679"/>
      <w:bookmarkStart w:id="99" w:name="_Toc114629681"/>
      <w:bookmarkStart w:id="100" w:name="_Toc161198732"/>
      <w:r>
        <w:rPr>
          <w:rStyle w:val="CharSectno"/>
        </w:rPr>
        <w:t>17</w:t>
      </w:r>
      <w:r>
        <w:t>.</w:t>
      </w:r>
      <w:r>
        <w:tab/>
        <w:t>Implementing the national scheme</w:t>
      </w:r>
      <w:bookmarkEnd w:id="98"/>
      <w:bookmarkEnd w:id="99"/>
      <w:bookmarkEnd w:id="100"/>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01" w:name="_Toc55295620"/>
      <w:bookmarkStart w:id="102" w:name="_Toc114629682"/>
      <w:bookmarkStart w:id="103" w:name="_Toc161133685"/>
      <w:bookmarkStart w:id="104" w:name="_Toc161133712"/>
      <w:bookmarkStart w:id="105" w:name="_Toc161133734"/>
      <w:bookmarkStart w:id="106" w:name="_Toc161198733"/>
      <w:r>
        <w:t>Notes</w:t>
      </w:r>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rPr>
        <w:t>Road Traffic (Written-Off Vehicle Register) Regulations 2003</w:t>
      </w:r>
      <w:r>
        <w:rPr>
          <w:snapToGrid w:val="0"/>
        </w:rPr>
        <w:t xml:space="preserve"> and includes the amendments made by the other written laws referred to in the following table.</w:t>
      </w:r>
    </w:p>
    <w:p>
      <w:pPr>
        <w:pStyle w:val="nHeading3"/>
      </w:pPr>
      <w:bookmarkStart w:id="107" w:name="_Toc114629683"/>
      <w:bookmarkStart w:id="108" w:name="_Toc161198734"/>
      <w:r>
        <w:t>Compilation table</w:t>
      </w:r>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Road Traffic (Written-Off Vehicle Register) Regulations 2003</w:t>
            </w:r>
          </w:p>
        </w:tc>
        <w:tc>
          <w:tcPr>
            <w:tcW w:w="1276" w:type="dxa"/>
            <w:tcBorders>
              <w:top w:val="single" w:sz="8" w:space="0" w:color="auto"/>
            </w:tcBorders>
          </w:tcPr>
          <w:p>
            <w:pPr>
              <w:pStyle w:val="nTable"/>
              <w:rPr>
                <w:sz w:val="19"/>
              </w:rPr>
            </w:pPr>
            <w:r>
              <w:rPr>
                <w:sz w:val="19"/>
              </w:rPr>
              <w:t>31 Oct 2003 p. 4595-610</w:t>
            </w:r>
          </w:p>
        </w:tc>
        <w:tc>
          <w:tcPr>
            <w:tcW w:w="2693" w:type="dxa"/>
            <w:tcBorders>
              <w:top w:val="single" w:sz="8" w:space="0" w:color="auto"/>
            </w:tcBorders>
          </w:tcPr>
          <w:p>
            <w:pPr>
              <w:pStyle w:val="nTable"/>
              <w:rPr>
                <w:sz w:val="19"/>
              </w:rPr>
            </w:pPr>
            <w:r>
              <w:rPr>
                <w:sz w:val="19"/>
              </w:rPr>
              <w:t>31 Oct 2003</w:t>
            </w:r>
          </w:p>
        </w:tc>
      </w:tr>
      <w:tr>
        <w:tc>
          <w:tcPr>
            <w:tcW w:w="3118" w:type="dxa"/>
          </w:tcPr>
          <w:p>
            <w:pPr>
              <w:pStyle w:val="nTable"/>
              <w:rPr>
                <w:i/>
              </w:rPr>
            </w:pPr>
            <w:r>
              <w:rPr>
                <w:i/>
              </w:rPr>
              <w:t>Road Traffic (Written-Off Vehicle Register) Amendment Regulations 2005</w:t>
            </w:r>
          </w:p>
        </w:tc>
        <w:tc>
          <w:tcPr>
            <w:tcW w:w="1276" w:type="dxa"/>
          </w:tcPr>
          <w:p>
            <w:pPr>
              <w:pStyle w:val="nTable"/>
              <w:rPr>
                <w:sz w:val="19"/>
              </w:rPr>
            </w:pPr>
            <w:r>
              <w:rPr>
                <w:sz w:val="19"/>
              </w:rPr>
              <w:t>16 Sep 2005 p. 4324-5</w:t>
            </w:r>
          </w:p>
        </w:tc>
        <w:tc>
          <w:tcPr>
            <w:tcW w:w="2693" w:type="dxa"/>
          </w:tcPr>
          <w:p>
            <w:pPr>
              <w:pStyle w:val="nTable"/>
              <w:rPr>
                <w:sz w:val="19"/>
              </w:rPr>
            </w:pPr>
            <w:r>
              <w:rPr>
                <w:sz w:val="19"/>
              </w:rPr>
              <w:t>16 Sep 2005</w:t>
            </w:r>
          </w:p>
        </w:tc>
      </w:tr>
      <w:tr>
        <w:tc>
          <w:tcPr>
            <w:tcW w:w="3118" w:type="dxa"/>
            <w:tcBorders>
              <w:bottom w:val="single" w:sz="8" w:space="0" w:color="auto"/>
            </w:tcBorders>
          </w:tcPr>
          <w:p>
            <w:pPr>
              <w:pStyle w:val="nTable"/>
              <w:rPr>
                <w:i/>
              </w:rPr>
            </w:pPr>
            <w:r>
              <w:rPr>
                <w:i/>
              </w:rPr>
              <w:t>Road Traffic (Written-Off Vehicle Register) Amendment Regulations 2007</w:t>
            </w:r>
          </w:p>
        </w:tc>
        <w:tc>
          <w:tcPr>
            <w:tcW w:w="1276" w:type="dxa"/>
            <w:tcBorders>
              <w:bottom w:val="single" w:sz="8" w:space="0" w:color="auto"/>
            </w:tcBorders>
          </w:tcPr>
          <w:p>
            <w:pPr>
              <w:pStyle w:val="nTable"/>
              <w:rPr>
                <w:sz w:val="19"/>
              </w:rPr>
            </w:pPr>
            <w:r>
              <w:rPr>
                <w:sz w:val="19"/>
              </w:rPr>
              <w:t>9 Mar 2007 p. 849</w:t>
            </w:r>
          </w:p>
        </w:tc>
        <w:tc>
          <w:tcPr>
            <w:tcW w:w="2693" w:type="dxa"/>
            <w:tcBorders>
              <w:bottom w:val="single" w:sz="8" w:space="0" w:color="auto"/>
            </w:tcBorders>
          </w:tcPr>
          <w:p>
            <w:pPr>
              <w:pStyle w:val="nTable"/>
              <w:rPr>
                <w:sz w:val="19"/>
              </w:rPr>
            </w:pPr>
            <w:r>
              <w:rPr>
                <w:sz w:val="19"/>
              </w:rPr>
              <w:t>9 Mar 2007</w:t>
            </w:r>
          </w:p>
        </w:tc>
      </w:tr>
    </w:tbl>
    <w:p>
      <w:bookmarkStart w:id="109" w:name="UpToHere"/>
      <w:bookmarkEnd w:id="109"/>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(Written-Off Vehicle Register)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C2A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828F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3E90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6A4F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80BE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6EBF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B281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D0A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F8CBE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E05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E490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5A4B29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008"/>
    <w:docVar w:name="WAFER_20151209115008" w:val="RemoveTrackChanges"/>
    <w:docVar w:name="WAFER_20151209115008_GUID" w:val="fbc1431a-289e-47ea-89db-ef22c6c040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2838</Words>
  <Characters>14307</Characters>
  <Application>Microsoft Office Word</Application>
  <DocSecurity>0</DocSecurity>
  <Lines>420</Lines>
  <Paragraphs>252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Dealing with notifiable vehicles</vt:lpstr>
      <vt:lpstr>    Part 3 — Registration of written-off vehicles</vt:lpstr>
      <vt:lpstr>    Notes</vt:lpstr>
    </vt:vector>
  </TitlesOfParts>
  <Manager/>
  <Company/>
  <LinksUpToDate>false</LinksUpToDate>
  <CharactersWithSpaces>16893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2003 - 00-b0-06</dc:title>
  <dc:subject/>
  <dc:creator/>
  <cp:keywords/>
  <dc:description/>
  <cp:lastModifiedBy>svcMRProcess</cp:lastModifiedBy>
  <cp:revision>4</cp:revision>
  <cp:lastPrinted>2003-10-30T08:51:00Z</cp:lastPrinted>
  <dcterms:created xsi:type="dcterms:W3CDTF">2015-12-13T04:05:00Z</dcterms:created>
  <dcterms:modified xsi:type="dcterms:W3CDTF">2015-12-13T04:05:00Z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20070309</vt:lpwstr>
  </property>
  <property fmtid="{D5CDD505-2E9C-101B-9397-08002B2CF9AE}" pid="4" name="DocumentType">
    <vt:lpwstr>Reg</vt:lpwstr>
  </property>
  <property fmtid="{D5CDD505-2E9C-101B-9397-08002B2CF9AE}" pid="5" name="OwlsUID">
    <vt:i4>9835</vt:i4>
  </property>
  <property fmtid="{D5CDD505-2E9C-101B-9397-08002B2CF9AE}" pid="6" name="AsAtDate">
    <vt:lpwstr>09 Mar 2007</vt:lpwstr>
  </property>
  <property fmtid="{D5CDD505-2E9C-101B-9397-08002B2CF9AE}" pid="7" name="Suffix">
    <vt:lpwstr>00-b0-06</vt:lpwstr>
  </property>
</Properties>
</file>