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_Toc43905534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tab/>
      </w:r>
      <w:r>
        <w:fldChar w:fldCharType="begin"/>
      </w:r>
      <w:r>
        <w:instrText xml:space="preserve"> PAGEREF _Toc43905535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Code of Practice prescribed</w:t>
      </w:r>
      <w:r>
        <w:tab/>
      </w:r>
      <w:r>
        <w:fldChar w:fldCharType="begin"/>
      </w:r>
      <w:r>
        <w:instrText xml:space="preserve"> PAGEREF _Toc43905536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Expiry</w:t>
      </w:r>
      <w:r>
        <w:tab/>
      </w:r>
      <w:r>
        <w:fldChar w:fldCharType="begin"/>
      </w:r>
      <w:r>
        <w:instrText xml:space="preserve"> PAGEREF _Toc43905537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(No. 2) 2020</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_Toc43905540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_Toc43905541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_Toc43905542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_Toc43905543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_Toc43905545 \h </w:instrText>
      </w:r>
      <w:r>
        <w:fldChar w:fldCharType="separate"/>
      </w:r>
      <w:r>
        <w:t>5</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_Toc43905546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_Toc43905547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representations or statements</w:t>
      </w:r>
      <w:r>
        <w:tab/>
      </w:r>
      <w:r>
        <w:fldChar w:fldCharType="begin"/>
      </w:r>
      <w:r>
        <w:instrText xml:space="preserve"> PAGEREF _Toc43905548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_Toc43905549 \h </w:instrText>
      </w:r>
      <w:r>
        <w:fldChar w:fldCharType="separate"/>
      </w:r>
      <w:r>
        <w:t>6</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_Toc43905550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_Toc43905552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_Toc43905553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_Toc43905555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_Toc43905556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_Toc43905557 \h </w:instrText>
      </w:r>
      <w:r>
        <w:fldChar w:fldCharType="separate"/>
      </w:r>
      <w:r>
        <w:t>8</w:t>
      </w:r>
      <w:r>
        <w:fldChar w:fldCharType="end"/>
      </w:r>
    </w:p>
    <w:p>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_Toc43905558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_Toc43905559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if a fitness centre is leased</w:t>
      </w:r>
      <w:r>
        <w:tab/>
      </w:r>
      <w:r>
        <w:fldChar w:fldCharType="begin"/>
      </w:r>
      <w:r>
        <w:instrText xml:space="preserve"> PAGEREF _Toc43905560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_Toc43905561 \h </w:instrText>
      </w:r>
      <w:r>
        <w:fldChar w:fldCharType="separate"/>
      </w:r>
      <w:r>
        <w:t>10</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_Toc43905562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_Toc43905564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_Toc43905566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_Toc43905567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2020</w:t>
      </w:r>
    </w:p>
    <w:p>
      <w:pPr>
        <w:pStyle w:val="Heading5"/>
      </w:pPr>
      <w:bookmarkStart w:id="3" w:name="_Toc43905534"/>
      <w:r>
        <w:rPr>
          <w:rStyle w:val="CharSectno"/>
        </w:rPr>
        <w:t>1</w:t>
      </w:r>
      <w:r>
        <w:t>.</w:t>
      </w:r>
      <w:r>
        <w:tab/>
        <w:t>Citation</w:t>
      </w:r>
      <w:bookmarkEnd w:id="3"/>
    </w:p>
    <w:p>
      <w:pPr>
        <w:pStyle w:val="Subsection"/>
      </w:pPr>
      <w:r>
        <w:tab/>
      </w:r>
      <w:r>
        <w:tab/>
        <w:t xml:space="preserve">These </w:t>
      </w:r>
      <w:r>
        <w:rPr>
          <w:spacing w:val="-2"/>
        </w:rPr>
        <w:t>regulations</w:t>
      </w:r>
      <w:r>
        <w:t xml:space="preserve"> are the </w:t>
      </w:r>
      <w:r>
        <w:rPr>
          <w:i/>
        </w:rPr>
        <w:t>Fair Trading (Fitness Industry Interim Code) Regulations 2020</w:t>
      </w:r>
      <w:r>
        <w:t>.</w:t>
      </w:r>
    </w:p>
    <w:p>
      <w:pPr>
        <w:pStyle w:val="Heading5"/>
        <w:rPr>
          <w:spacing w:val="-2"/>
        </w:rPr>
      </w:pPr>
      <w:bookmarkStart w:id="4" w:name="_Toc43905535"/>
      <w:r>
        <w:rPr>
          <w:rStyle w:val="CharSectno"/>
        </w:rPr>
        <w:t>2</w:t>
      </w:r>
      <w:r>
        <w:rPr>
          <w:spacing w:val="-2"/>
        </w:rPr>
        <w:t>.</w:t>
      </w:r>
      <w:r>
        <w:rPr>
          <w:spacing w:val="-2"/>
        </w:rPr>
        <w:tab/>
      </w:r>
      <w:r>
        <w:t>Commencement</w:t>
      </w:r>
      <w:bookmarkEnd w:id="4"/>
    </w:p>
    <w:p>
      <w:pPr>
        <w:pStyle w:val="Subsection"/>
      </w:pPr>
      <w:r>
        <w:tab/>
      </w:r>
      <w:r>
        <w:tab/>
        <w:t>These regulations come into operation as follows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2020.</w:t>
      </w:r>
    </w:p>
    <w:p>
      <w:pPr>
        <w:pStyle w:val="Heading5"/>
      </w:pPr>
      <w:bookmarkStart w:id="5" w:name="_Toc43905536"/>
      <w:r>
        <w:rPr>
          <w:rStyle w:val="CharSectno"/>
        </w:rPr>
        <w:t>3</w:t>
      </w:r>
      <w:r>
        <w:rPr>
          <w:snapToGrid w:val="0"/>
        </w:rPr>
        <w:t>.</w:t>
      </w:r>
      <w:r>
        <w:rPr>
          <w:snapToGrid w:val="0"/>
        </w:rPr>
        <w:tab/>
      </w:r>
      <w:r>
        <w:t>Code of Practice prescribed</w:t>
      </w:r>
      <w:bookmarkEnd w:id="5"/>
    </w:p>
    <w:p>
      <w:pPr>
        <w:pStyle w:val="Subsection"/>
      </w:pPr>
      <w:r>
        <w:tab/>
        <w:t>(1)</w:t>
      </w:r>
      <w:r>
        <w:tab/>
        <w:t>In this regulation —</w:t>
      </w:r>
    </w:p>
    <w:p>
      <w:pPr>
        <w:pStyle w:val="Defstart"/>
      </w:pPr>
      <w:r>
        <w:tab/>
      </w:r>
      <w:r>
        <w:rPr>
          <w:rStyle w:val="CharDefText"/>
        </w:rPr>
        <w:t>client</w:t>
      </w:r>
      <w:r>
        <w:t xml:space="preserve">, </w:t>
      </w:r>
      <w:r>
        <w:rPr>
          <w:rStyle w:val="CharDefText"/>
        </w:rPr>
        <w:t>fitness service</w:t>
      </w:r>
      <w:r>
        <w:t xml:space="preserve"> and </w:t>
      </w:r>
      <w:r>
        <w:rPr>
          <w:rStyle w:val="CharDefText"/>
        </w:rPr>
        <w:t>supplier</w:t>
      </w:r>
      <w:r>
        <w:t xml:space="preserve"> have the meanings given to them in the Code of Practice set out in Schedule 1.</w:t>
      </w:r>
    </w:p>
    <w:p>
      <w:pPr>
        <w:pStyle w:val="Subsection"/>
      </w:pPr>
      <w:r>
        <w:tab/>
        <w:t>(2)</w:t>
      </w:r>
      <w:r>
        <w:tab/>
        <w:t xml:space="preserve">The Code of Practice set out in Schedule 1 and titled the </w:t>
      </w:r>
      <w:r>
        <w:rPr>
          <w:i/>
        </w:rPr>
        <w:t>Fitness Industry Interim Code of Practice (No. 2) 2020</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(No. 2) 2020</w:t>
      </w:r>
      <w:r>
        <w:t xml:space="preserve"> has effect for the period of 6 months beginning on 1 July 2020.</w:t>
      </w:r>
    </w:p>
    <w:p>
      <w:pPr>
        <w:pStyle w:val="Heading5"/>
        <w:rPr>
          <w:snapToGrid w:val="0"/>
        </w:rPr>
      </w:pPr>
      <w:bookmarkStart w:id="6" w:name="_Toc43905537"/>
      <w:r>
        <w:rPr>
          <w:rStyle w:val="CharSectno"/>
        </w:rPr>
        <w:t>4</w:t>
      </w:r>
      <w:r>
        <w:rPr>
          <w:snapToGrid w:val="0"/>
        </w:rPr>
        <w:t>.</w:t>
      </w:r>
      <w:r>
        <w:rPr>
          <w:snapToGrid w:val="0"/>
        </w:rPr>
        <w:tab/>
        <w:t>Expiry</w:t>
      </w:r>
      <w:bookmarkEnd w:id="6"/>
    </w:p>
    <w:p>
      <w:pPr>
        <w:pStyle w:val="Subsection"/>
      </w:pPr>
      <w:r>
        <w:tab/>
      </w:r>
      <w:r>
        <w:tab/>
        <w:t xml:space="preserve">These </w:t>
      </w:r>
      <w:r>
        <w:rPr>
          <w:spacing w:val="-2"/>
        </w:rPr>
        <w:t xml:space="preserve">regulations </w:t>
      </w:r>
      <w:r>
        <w:t xml:space="preserve">expire at the end of 31 December 2020. </w:t>
      </w:r>
    </w:p>
    <w:p>
      <w:pPr>
        <w:pStyle w:val="Subsection"/>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 w:name="_Toc43807997"/>
      <w:bookmarkStart w:id="8" w:name="_Toc43808435"/>
      <w:bookmarkStart w:id="9" w:name="_Toc43812966"/>
      <w:bookmarkStart w:id="10" w:name="_Toc43904531"/>
      <w:bookmarkStart w:id="11" w:name="_Toc43905538"/>
      <w:r>
        <w:rPr>
          <w:rStyle w:val="CharSchNo"/>
        </w:rPr>
        <w:t>Schedule 1</w:t>
      </w:r>
      <w:r>
        <w:t> — </w:t>
      </w:r>
      <w:r>
        <w:rPr>
          <w:rStyle w:val="CharSchText"/>
          <w:i/>
        </w:rPr>
        <w:t>Fitness Industry Interim Code of Practice (No. 2) 2020</w:t>
      </w:r>
      <w:bookmarkEnd w:id="7"/>
      <w:bookmarkEnd w:id="8"/>
      <w:bookmarkEnd w:id="9"/>
      <w:bookmarkEnd w:id="10"/>
      <w:bookmarkEnd w:id="11"/>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2" w:name="_Toc43807998"/>
      <w:bookmarkStart w:id="13" w:name="_Toc43808436"/>
      <w:bookmarkStart w:id="14" w:name="_Toc43812967"/>
      <w:bookmarkStart w:id="15" w:name="_Toc43904532"/>
      <w:bookmarkStart w:id="16" w:name="_Toc43905539"/>
      <w:r>
        <w:rPr>
          <w:rStyle w:val="CharSDivNo"/>
        </w:rPr>
        <w:t>Division 1</w:t>
      </w:r>
      <w:r>
        <w:t> — </w:t>
      </w:r>
      <w:r>
        <w:rPr>
          <w:rStyle w:val="CharSDivText"/>
        </w:rPr>
        <w:t>Introduction</w:t>
      </w:r>
      <w:bookmarkEnd w:id="12"/>
      <w:bookmarkEnd w:id="13"/>
      <w:bookmarkEnd w:id="14"/>
      <w:bookmarkEnd w:id="15"/>
      <w:bookmarkEnd w:id="16"/>
    </w:p>
    <w:p>
      <w:pPr>
        <w:pStyle w:val="yHeading5"/>
      </w:pPr>
      <w:bookmarkStart w:id="17" w:name="_Toc43905540"/>
      <w:r>
        <w:rPr>
          <w:rStyle w:val="CharSClsNo"/>
        </w:rPr>
        <w:t>1</w:t>
      </w:r>
      <w:r>
        <w:t>.</w:t>
      </w:r>
      <w:r>
        <w:tab/>
        <w:t>Objectives</w:t>
      </w:r>
      <w:bookmarkEnd w:id="17"/>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8" w:name="_Toc43905541"/>
      <w:r>
        <w:rPr>
          <w:rStyle w:val="CharSClsNo"/>
        </w:rPr>
        <w:t>2</w:t>
      </w:r>
      <w:r>
        <w:t>.</w:t>
      </w:r>
      <w:r>
        <w:tab/>
        <w:t>Terms used</w:t>
      </w:r>
      <w:bookmarkEnd w:id="18"/>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 of the client;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includes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 in accordance with this Code;</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rPr>
          <w:szCs w:val="22"/>
        </w:rPr>
      </w:pPr>
      <w:r>
        <w:rPr>
          <w:szCs w:val="22"/>
        </w:rPr>
        <w:tab/>
      </w:r>
      <w:r>
        <w:rPr>
          <w:rStyle w:val="CharDefText"/>
          <w:szCs w:val="22"/>
        </w:rPr>
        <w:t>supplier</w:t>
      </w:r>
      <w:r>
        <w:rPr>
          <w:szCs w:val="22"/>
        </w:rPr>
        <w:t> —</w:t>
      </w:r>
    </w:p>
    <w:p>
      <w:pPr>
        <w:pStyle w:val="yDefpara"/>
      </w:pPr>
      <w:r>
        <w:tab/>
        <w:t>(a)</w:t>
      </w:r>
      <w:r>
        <w:tab/>
        <w:t>means a person who is carrying on, or has carried on, the business of supplying fitness services, including a fitness trainer; but</w:t>
      </w:r>
    </w:p>
    <w:p>
      <w:pPr>
        <w:pStyle w:val="yDefpara"/>
      </w:pPr>
      <w:r>
        <w:tab/>
        <w:t>(b)</w:t>
      </w:r>
      <w:r>
        <w:tab/>
        <w:t>does not include an employee of a person referred to in paragraph (a).</w:t>
      </w:r>
    </w:p>
    <w:p>
      <w:pPr>
        <w:pStyle w:val="yHeading5"/>
      </w:pPr>
      <w:bookmarkStart w:id="19" w:name="_Toc43905542"/>
      <w:r>
        <w:rPr>
          <w:rStyle w:val="CharSClsNo"/>
        </w:rPr>
        <w:t>3</w:t>
      </w:r>
      <w:r>
        <w:t>.</w:t>
      </w:r>
      <w:r>
        <w:tab/>
        <w:t>Fitness service</w:t>
      </w:r>
      <w:bookmarkEnd w:id="19"/>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the use of a spa bath, sauna bath, swimming pool or similar facility if no other fitness service is supplied; or</w:t>
      </w:r>
    </w:p>
    <w:p>
      <w:pPr>
        <w:pStyle w:val="yIndenta"/>
      </w:pPr>
      <w:r>
        <w:tab/>
        <w:t>(c)</w:t>
      </w:r>
      <w:r>
        <w:tab/>
        <w:t>a fitness service at a fitness centre supplied for the sole purpose of medical rehabilitation; or</w:t>
      </w:r>
    </w:p>
    <w:p>
      <w:pPr>
        <w:pStyle w:val="yIndenta"/>
      </w:pPr>
      <w:r>
        <w:tab/>
        <w:t>(d)</w:t>
      </w:r>
      <w:r>
        <w:tab/>
        <w:t>the hire of a court or other facility for the playing of sport.</w:t>
      </w:r>
    </w:p>
    <w:p>
      <w:pPr>
        <w:pStyle w:val="yHeading5"/>
      </w:pPr>
      <w:bookmarkStart w:id="20" w:name="_Toc43905543"/>
      <w:r>
        <w:rPr>
          <w:rStyle w:val="CharSClsNo"/>
        </w:rPr>
        <w:t>4</w:t>
      </w:r>
      <w:r>
        <w:t>.</w:t>
      </w:r>
      <w:r>
        <w:tab/>
        <w:t>Compliance with the Code</w:t>
      </w:r>
      <w:bookmarkEnd w:id="20"/>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if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 or</w:t>
      </w:r>
    </w:p>
    <w:p>
      <w:pPr>
        <w:pStyle w:val="PermNotePara"/>
      </w:pPr>
      <w:r>
        <w:tab/>
        <w:t>(b)</w:t>
      </w:r>
      <w:r>
        <w:tab/>
        <w:t xml:space="preserve">seeking an order that the person rectify any consequence of that contravention under the </w:t>
      </w:r>
      <w:r>
        <w:rPr>
          <w:i/>
        </w:rPr>
        <w:t>Fair Trading Act 2010</w:t>
      </w:r>
      <w:r>
        <w:t xml:space="preserve"> section 47; or</w:t>
      </w:r>
    </w:p>
    <w:p>
      <w:pPr>
        <w:pStyle w:val="PermNotePara"/>
      </w:pPr>
      <w:r>
        <w:tab/>
        <w:t>(c)</w:t>
      </w:r>
      <w:r>
        <w:tab/>
        <w:t xml:space="preserve">obtaining an injunction under the </w:t>
      </w:r>
      <w:r>
        <w:rPr>
          <w:i/>
        </w:rPr>
        <w:t>Fair Trading Act 2010</w:t>
      </w:r>
      <w:r>
        <w:t xml:space="preserve"> section 100; or</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keepLines/>
      </w:pPr>
      <w:bookmarkStart w:id="21" w:name="_Toc43808003"/>
      <w:bookmarkStart w:id="22" w:name="_Toc43808441"/>
      <w:bookmarkStart w:id="23" w:name="_Toc43812972"/>
      <w:bookmarkStart w:id="24" w:name="_Toc43904537"/>
      <w:bookmarkStart w:id="25" w:name="_Toc43905544"/>
      <w:r>
        <w:rPr>
          <w:rStyle w:val="CharSDivNo"/>
        </w:rPr>
        <w:t>Division 2</w:t>
      </w:r>
      <w:r>
        <w:t> — </w:t>
      </w:r>
      <w:r>
        <w:rPr>
          <w:rStyle w:val="CharSDivText"/>
        </w:rPr>
        <w:t>General rules of conduct</w:t>
      </w:r>
      <w:bookmarkEnd w:id="21"/>
      <w:bookmarkEnd w:id="22"/>
      <w:bookmarkEnd w:id="23"/>
      <w:bookmarkEnd w:id="24"/>
      <w:bookmarkEnd w:id="25"/>
    </w:p>
    <w:p>
      <w:pPr>
        <w:pStyle w:val="yHeading5"/>
      </w:pPr>
      <w:bookmarkStart w:id="26" w:name="_Toc43905545"/>
      <w:r>
        <w:rPr>
          <w:rStyle w:val="CharSClsNo"/>
        </w:rPr>
        <w:t>5</w:t>
      </w:r>
      <w:r>
        <w:t>.</w:t>
      </w:r>
      <w:r>
        <w:tab/>
        <w:t>Claiming membership or endorsement</w:t>
      </w:r>
      <w:bookmarkEnd w:id="26"/>
    </w:p>
    <w:p>
      <w:pPr>
        <w:pStyle w:val="ySubsection"/>
        <w:keepNext/>
        <w:keepLines/>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keepNext w:val="0"/>
      </w:pPr>
      <w:bookmarkStart w:id="27" w:name="_Toc43905546"/>
      <w:r>
        <w:rPr>
          <w:rStyle w:val="CharSClsNo"/>
        </w:rPr>
        <w:t>6</w:t>
      </w:r>
      <w:r>
        <w:t>.</w:t>
      </w:r>
      <w:r>
        <w:tab/>
        <w:t>Misrepresenting qualifications and employment of staff</w:t>
      </w:r>
      <w:bookmarkEnd w:id="27"/>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keepNext w:val="0"/>
      </w:pPr>
      <w:bookmarkStart w:id="28" w:name="_Toc43905547"/>
      <w:r>
        <w:rPr>
          <w:rStyle w:val="CharSClsNo"/>
        </w:rPr>
        <w:t>7</w:t>
      </w:r>
      <w:r>
        <w:t>.</w:t>
      </w:r>
      <w:r>
        <w:tab/>
        <w:t>High pressure selling techniques, harassment or unconscionable conduct</w:t>
      </w:r>
      <w:bookmarkEnd w:id="28"/>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29" w:name="_Toc43905548"/>
      <w:r>
        <w:rPr>
          <w:rStyle w:val="CharSClsNo"/>
        </w:rPr>
        <w:t>8</w:t>
      </w:r>
      <w:r>
        <w:t>.</w:t>
      </w:r>
      <w:r>
        <w:tab/>
        <w:t>Soliciting through false or misleading advertisements, representations or statements</w:t>
      </w:r>
      <w:bookmarkEnd w:id="29"/>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30" w:name="_Toc43905549"/>
      <w:r>
        <w:rPr>
          <w:rStyle w:val="CharSClsNo"/>
        </w:rPr>
        <w:t>9</w:t>
      </w:r>
      <w:r>
        <w:t>.</w:t>
      </w:r>
      <w:r>
        <w:tab/>
        <w:t>Confidentiality</w:t>
      </w:r>
      <w:bookmarkEnd w:id="30"/>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Pr>
      <w:bookmarkStart w:id="31" w:name="_Toc43905550"/>
      <w:r>
        <w:rPr>
          <w:rStyle w:val="CharSClsNo"/>
        </w:rPr>
        <w:t>10</w:t>
      </w:r>
      <w:r>
        <w:t>.</w:t>
      </w:r>
      <w:r>
        <w:tab/>
        <w:t>Free or discounted services</w:t>
      </w:r>
      <w:bookmarkEnd w:id="31"/>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32" w:name="_Toc43808010"/>
      <w:bookmarkStart w:id="33" w:name="_Toc43808448"/>
      <w:bookmarkStart w:id="34" w:name="_Toc43812979"/>
      <w:bookmarkStart w:id="35" w:name="_Toc43904544"/>
      <w:bookmarkStart w:id="36" w:name="_Toc43905551"/>
      <w:r>
        <w:rPr>
          <w:rStyle w:val="CharSDivNo"/>
        </w:rPr>
        <w:t>Division 3</w:t>
      </w:r>
      <w:r>
        <w:t> — </w:t>
      </w:r>
      <w:r>
        <w:rPr>
          <w:rStyle w:val="CharSDivText"/>
        </w:rPr>
        <w:t>Disclosure</w:t>
      </w:r>
      <w:bookmarkEnd w:id="32"/>
      <w:bookmarkEnd w:id="33"/>
      <w:bookmarkEnd w:id="34"/>
      <w:bookmarkEnd w:id="35"/>
      <w:bookmarkEnd w:id="36"/>
    </w:p>
    <w:p>
      <w:pPr>
        <w:pStyle w:val="yHeading5"/>
      </w:pPr>
      <w:bookmarkStart w:id="37" w:name="_Toc43905552"/>
      <w:r>
        <w:rPr>
          <w:rStyle w:val="CharSClsNo"/>
        </w:rPr>
        <w:t>11</w:t>
      </w:r>
      <w:r>
        <w:t>.</w:t>
      </w:r>
      <w:r>
        <w:tab/>
        <w:t>Disclosure of information about fitness services</w:t>
      </w:r>
      <w:bookmarkEnd w:id="37"/>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keepNext/>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make a copy of this Code readily available for any client or potential client to read.</w:t>
      </w:r>
    </w:p>
    <w:p>
      <w:pPr>
        <w:pStyle w:val="yHeading5"/>
      </w:pPr>
      <w:bookmarkStart w:id="38" w:name="_Toc43905553"/>
      <w:r>
        <w:rPr>
          <w:rStyle w:val="CharSClsNo"/>
        </w:rPr>
        <w:t>12</w:t>
      </w:r>
      <w:r>
        <w:t>.</w:t>
      </w:r>
      <w:r>
        <w:tab/>
        <w:t>Disclosure of information</w:t>
      </w:r>
      <w:bookmarkEnd w:id="38"/>
    </w:p>
    <w:p>
      <w:pPr>
        <w:pStyle w:val="ySubsection"/>
      </w:pPr>
      <w:r>
        <w:tab/>
      </w:r>
      <w:r>
        <w:tab/>
        <w:t>Before a supplier enters into a membership agreement with a client, the supplier must —</w:t>
      </w:r>
    </w:p>
    <w:p>
      <w:pPr>
        <w:pStyle w:val="yIndenta"/>
      </w:pPr>
      <w:r>
        <w:tab/>
        <w:t>(a)</w:t>
      </w:r>
      <w:r>
        <w:tab/>
        <w:t>give the client the opportunity to read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pPr>
      <w:bookmarkStart w:id="39" w:name="_Toc43808013"/>
      <w:bookmarkStart w:id="40" w:name="_Toc43808451"/>
      <w:bookmarkStart w:id="41" w:name="_Toc43812982"/>
      <w:bookmarkStart w:id="42" w:name="_Toc43904547"/>
      <w:bookmarkStart w:id="43" w:name="_Toc43905554"/>
      <w:r>
        <w:rPr>
          <w:rStyle w:val="CharSDivNo"/>
        </w:rPr>
        <w:t>Division 4</w:t>
      </w:r>
      <w:r>
        <w:t> — </w:t>
      </w:r>
      <w:r>
        <w:rPr>
          <w:rStyle w:val="CharSDivText"/>
        </w:rPr>
        <w:t>Membership agreements</w:t>
      </w:r>
      <w:bookmarkEnd w:id="39"/>
      <w:bookmarkEnd w:id="40"/>
      <w:bookmarkEnd w:id="41"/>
      <w:bookmarkEnd w:id="42"/>
      <w:bookmarkEnd w:id="43"/>
    </w:p>
    <w:p>
      <w:pPr>
        <w:pStyle w:val="yHeading5"/>
      </w:pPr>
      <w:bookmarkStart w:id="44" w:name="_Toc43905555"/>
      <w:r>
        <w:rPr>
          <w:rStyle w:val="CharSClsNo"/>
        </w:rPr>
        <w:t>13</w:t>
      </w:r>
      <w:r>
        <w:t>.</w:t>
      </w:r>
      <w:r>
        <w:tab/>
        <w:t>Cooling off period</w:t>
      </w:r>
      <w:bookmarkEnd w:id="44"/>
    </w:p>
    <w:p>
      <w:pPr>
        <w:pStyle w:val="ySubsection"/>
      </w:pPr>
      <w:r>
        <w:tab/>
        <w:t>(1)</w:t>
      </w:r>
      <w:r>
        <w:tab/>
        <w:t>The cooling off period for a client entering into a membership agreement with a supplier starts —</w:t>
      </w:r>
    </w:p>
    <w:p>
      <w:pPr>
        <w:pStyle w:val="yIndenta"/>
      </w:pPr>
      <w:r>
        <w:tab/>
        <w:t>(a)</w:t>
      </w:r>
      <w:r>
        <w:tab/>
        <w:t>if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after the proposed opening day — on the day the fitness centre opens; or</w:t>
      </w:r>
    </w:p>
    <w:p>
      <w:pPr>
        <w:pStyle w:val="yIndenti0"/>
      </w:pPr>
      <w:r>
        <w:tab/>
        <w:t>(iii)</w:t>
      </w:r>
      <w:r>
        <w:tab/>
        <w:t>if the fitness centre opens before the proposed opening day — on the day the client receives notice that the fitness centre has opened;</w:t>
      </w:r>
    </w:p>
    <w:p>
      <w:pPr>
        <w:pStyle w:val="yIndenta"/>
      </w:pPr>
      <w:r>
        <w:tab/>
      </w:r>
      <w:r>
        <w:tab/>
        <w:t>or</w:t>
      </w:r>
    </w:p>
    <w:p>
      <w:pPr>
        <w:pStyle w:val="yIndenta"/>
      </w:pPr>
      <w:r>
        <w:tab/>
        <w:t>(b)</w:t>
      </w:r>
      <w:r>
        <w:tab/>
        <w:t>if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45" w:name="_Toc43905556"/>
      <w:r>
        <w:rPr>
          <w:rStyle w:val="CharSClsNo"/>
        </w:rPr>
        <w:t>14</w:t>
      </w:r>
      <w:r>
        <w:t>.</w:t>
      </w:r>
      <w:r>
        <w:tab/>
        <w:t>Membership agreement to be signed</w:t>
      </w:r>
      <w:bookmarkEnd w:id="45"/>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46" w:name="_Toc43905557"/>
      <w:r>
        <w:rPr>
          <w:rStyle w:val="CharSClsNo"/>
        </w:rPr>
        <w:t>15</w:t>
      </w:r>
      <w:r>
        <w:t>.</w:t>
      </w:r>
      <w:r>
        <w:tab/>
        <w:t>What a membership agreement must state</w:t>
      </w:r>
      <w:bookmarkEnd w:id="46"/>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that the client must pay to the supplier if the client terminates the agreement —</w:t>
      </w:r>
    </w:p>
    <w:p>
      <w:pPr>
        <w:pStyle w:val="yIndenti0"/>
        <w:tabs>
          <w:tab w:val="left" w:pos="1820"/>
        </w:tabs>
      </w:pPr>
      <w:r>
        <w:tab/>
      </w: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if the agreement is entered into before the supplier’s fitness centre opens — the proposed opening day;</w:t>
      </w:r>
    </w:p>
    <w:p>
      <w:pPr>
        <w:pStyle w:val="yIndenta"/>
        <w:keepNext/>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47" w:name="_Toc43905558"/>
      <w:r>
        <w:rPr>
          <w:rStyle w:val="CharSClsNo"/>
        </w:rPr>
        <w:t>16</w:t>
      </w:r>
      <w:r>
        <w:t>.</w:t>
      </w:r>
      <w:r>
        <w:tab/>
        <w:t>Copy of signed membership agreement</w:t>
      </w:r>
      <w:bookmarkEnd w:id="47"/>
    </w:p>
    <w:p>
      <w:pPr>
        <w:pStyle w:val="ySubsection"/>
      </w:pPr>
      <w:r>
        <w:tab/>
      </w:r>
      <w:r>
        <w:tab/>
        <w:t>The supplier must provide the client with a copy of the signed membership agreement immediately after it has been signed.</w:t>
      </w:r>
    </w:p>
    <w:p>
      <w:pPr>
        <w:pStyle w:val="yHeading5"/>
      </w:pPr>
      <w:bookmarkStart w:id="48" w:name="_Toc43905559"/>
      <w:r>
        <w:rPr>
          <w:rStyle w:val="CharSClsNo"/>
        </w:rPr>
        <w:t>17</w:t>
      </w:r>
      <w:r>
        <w:t>.</w:t>
      </w:r>
      <w:r>
        <w:tab/>
        <w:t>12 month maximum on prepaid membership fees</w:t>
      </w:r>
      <w:bookmarkEnd w:id="48"/>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49" w:name="_Toc43905560"/>
      <w:r>
        <w:rPr>
          <w:rStyle w:val="CharSClsNo"/>
        </w:rPr>
        <w:t>18</w:t>
      </w:r>
      <w:r>
        <w:t>.</w:t>
      </w:r>
      <w:r>
        <w:tab/>
        <w:t>Prepayment of fees if a fitness centre is leased</w:t>
      </w:r>
      <w:bookmarkEnd w:id="49"/>
    </w:p>
    <w:p>
      <w:pPr>
        <w:pStyle w:val="ySubsection"/>
      </w:pPr>
      <w:r>
        <w:tab/>
      </w:r>
      <w:r>
        <w:tab/>
        <w:t>If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50" w:name="_Toc43905561"/>
      <w:r>
        <w:rPr>
          <w:rStyle w:val="CharSClsNo"/>
        </w:rPr>
        <w:t>19</w:t>
      </w:r>
      <w:r>
        <w:t>.</w:t>
      </w:r>
      <w:r>
        <w:tab/>
        <w:t>Termination of membership agreements during cooling off period</w:t>
      </w:r>
      <w:bookmarkEnd w:id="50"/>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51" w:name="_Toc43905562"/>
      <w:r>
        <w:rPr>
          <w:rStyle w:val="CharSClsNo"/>
        </w:rPr>
        <w:t>20</w:t>
      </w:r>
      <w:r>
        <w:t>.</w:t>
      </w:r>
      <w:r>
        <w:tab/>
        <w:t>Request to terminate a membership agreement</w:t>
      </w:r>
      <w:bookmarkEnd w:id="51"/>
    </w:p>
    <w:p>
      <w:pPr>
        <w:pStyle w:val="ySubsection"/>
        <w:keepNext/>
      </w:pPr>
      <w:r>
        <w:tab/>
        <w:t>(1)</w:t>
      </w:r>
      <w:r>
        <w:tab/>
        <w:t>If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52" w:name="_Toc43808022"/>
      <w:bookmarkStart w:id="53" w:name="_Toc43808460"/>
      <w:bookmarkStart w:id="54" w:name="_Toc43812991"/>
      <w:bookmarkStart w:id="55" w:name="_Toc43904556"/>
      <w:bookmarkStart w:id="56" w:name="_Toc43905563"/>
      <w:r>
        <w:rPr>
          <w:rStyle w:val="CharSDivNo"/>
        </w:rPr>
        <w:t>Division 5</w:t>
      </w:r>
      <w:r>
        <w:t> — </w:t>
      </w:r>
      <w:r>
        <w:rPr>
          <w:rStyle w:val="CharSDivText"/>
        </w:rPr>
        <w:t>Complaint handling procedures</w:t>
      </w:r>
      <w:bookmarkEnd w:id="52"/>
      <w:bookmarkEnd w:id="53"/>
      <w:bookmarkEnd w:id="54"/>
      <w:bookmarkEnd w:id="55"/>
      <w:bookmarkEnd w:id="56"/>
    </w:p>
    <w:p>
      <w:pPr>
        <w:pStyle w:val="yHeading5"/>
      </w:pPr>
      <w:bookmarkStart w:id="57" w:name="_Toc43905564"/>
      <w:r>
        <w:rPr>
          <w:rStyle w:val="CharSClsNo"/>
        </w:rPr>
        <w:t>21</w:t>
      </w:r>
      <w:r>
        <w:t>.</w:t>
      </w:r>
      <w:r>
        <w:tab/>
        <w:t>Complaints by clients</w:t>
      </w:r>
      <w:bookmarkEnd w:id="57"/>
    </w:p>
    <w:p>
      <w:pPr>
        <w:pStyle w:val="ySubsection"/>
      </w:pPr>
      <w:r>
        <w:tab/>
        <w:t>(1)</w:t>
      </w:r>
      <w:r>
        <w:tab/>
        <w:t>A supplier must make every reasonable effort to quickly and fairly resolve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keepNext/>
      </w:pPr>
      <w:r>
        <w:tab/>
        <w:t>(3)</w:t>
      </w:r>
      <w:r>
        <w:tab/>
        <w:t>A supplier must ensure that, in handling complaints —</w:t>
      </w:r>
    </w:p>
    <w:p>
      <w:pPr>
        <w:pStyle w:val="yIndenta"/>
        <w:keepNext/>
      </w:pPr>
      <w:r>
        <w:tab/>
        <w:t>(a)</w:t>
      </w:r>
      <w:r>
        <w:tab/>
        <w:t>a record of the complaint is placed on file; and</w:t>
      </w:r>
    </w:p>
    <w:p>
      <w:pPr>
        <w:pStyle w:val="yIndenta"/>
      </w:pPr>
      <w:r>
        <w:tab/>
        <w:t>(b)</w:t>
      </w:r>
      <w:r>
        <w:tab/>
        <w:t>the receipt of the complaint is acknowledged within 7 days.</w:t>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9" w:name="_Toc43808462"/>
      <w:bookmarkStart w:id="60" w:name="_Toc43812993"/>
      <w:bookmarkStart w:id="61" w:name="_Toc43904558"/>
      <w:bookmarkStart w:id="62" w:name="_Toc43905565"/>
      <w:r>
        <w:t>Notes</w:t>
      </w:r>
      <w:bookmarkEnd w:id="59"/>
      <w:bookmarkEnd w:id="60"/>
      <w:bookmarkEnd w:id="61"/>
      <w:bookmarkEnd w:id="62"/>
    </w:p>
    <w:p>
      <w:pPr>
        <w:pStyle w:val="nStatement"/>
      </w:pPr>
      <w:r>
        <w:t xml:space="preserve">This is a compilation of the </w:t>
      </w:r>
      <w:r>
        <w:rPr>
          <w:i/>
          <w:noProof/>
        </w:rPr>
        <w:t>Fair Trading (Fitness Industry Interim Code) Regulations 2020</w:t>
      </w:r>
      <w:r>
        <w:t>.  For provisions that have come into operation see the compilation table.</w:t>
      </w:r>
    </w:p>
    <w:p>
      <w:pPr>
        <w:pStyle w:val="nHeading3"/>
      </w:pPr>
      <w:bookmarkStart w:id="63" w:name="_Toc43905566"/>
      <w:r>
        <w:t>Compilation table</w:t>
      </w:r>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2020</w:t>
            </w:r>
            <w:r>
              <w:rPr>
                <w:noProof/>
                <w:vertAlign w:val="superscript"/>
              </w:rPr>
              <w:t> 1</w:t>
            </w:r>
          </w:p>
        </w:tc>
        <w:tc>
          <w:tcPr>
            <w:tcW w:w="1276" w:type="dxa"/>
          </w:tcPr>
          <w:p>
            <w:pPr>
              <w:pStyle w:val="nTable"/>
              <w:spacing w:after="40"/>
              <w:jc w:val="both"/>
            </w:pPr>
            <w:r>
              <w:t>SL 2020/86</w:t>
            </w:r>
            <w:r>
              <w:br/>
              <w:t>23 Jun 2020</w:t>
            </w:r>
          </w:p>
        </w:tc>
        <w:tc>
          <w:tcPr>
            <w:tcW w:w="2693" w:type="dxa"/>
          </w:tcPr>
          <w:p>
            <w:pPr>
              <w:pStyle w:val="nTable"/>
              <w:spacing w:after="40"/>
            </w:pPr>
            <w:r>
              <w:t>r. 1 and 2: 23 Jun 2020 (see r. 2(a));</w:t>
            </w:r>
            <w:r>
              <w:br/>
              <w:t>Regulations other than r. 1 and 2: 1 Jul 2020 (see r. 2(b))</w:t>
            </w:r>
          </w:p>
        </w:tc>
      </w:tr>
    </w:tbl>
    <w:p>
      <w:pPr>
        <w:pStyle w:val="nHeading3"/>
      </w:pPr>
      <w:bookmarkStart w:id="64" w:name="_Toc43905567"/>
      <w:r>
        <w:t>Other notes</w:t>
      </w:r>
      <w:bookmarkEnd w:id="64"/>
    </w:p>
    <w:p>
      <w:pPr>
        <w:pStyle w:val="nNote"/>
      </w:pPr>
      <w:r>
        <w:rPr>
          <w:vertAlign w:val="superscript"/>
        </w:rPr>
        <w:t>1</w:t>
      </w:r>
      <w:r>
        <w:tab/>
        <w:t>These regulations expire at the end of 31 December 2020 (see r. 4).</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66" w:name="_Toc43808464"/>
      <w:bookmarkStart w:id="67" w:name="_Toc43812996"/>
      <w:bookmarkStart w:id="68" w:name="_Toc43904561"/>
      <w:bookmarkStart w:id="69" w:name="_Toc43905568"/>
      <w:r>
        <w:rPr>
          <w:sz w:val="28"/>
        </w:rPr>
        <w:t>Defined terms</w:t>
      </w:r>
      <w:bookmarkEnd w:id="66"/>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3(1), Sch. 1 cl. 2</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3(1), Sch. 1 cl.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0" w:name="DefinedTerms"/>
    <w:bookmarkEnd w:id="7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23"/>
  </w:num>
  <w:num w:numId="4">
    <w:abstractNumId w:val="12"/>
  </w:num>
  <w:num w:numId="5">
    <w:abstractNumId w:val="20"/>
  </w:num>
  <w:num w:numId="6">
    <w:abstractNumId w:val="13"/>
  </w:num>
  <w:num w:numId="7">
    <w:abstractNumId w:val="14"/>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31227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01025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0102528_GUID" w:val="e81f1965-f5dd-49b1-b4c3-ab3cd00276a6"/>
    <w:docVar w:name="WAFER_20200423143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43019_GUID" w:val="cf975b41-5607-4925-899e-5574cd9ce8a3"/>
    <w:docVar w:name="WAFER_2020062312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122725_GUID" w:val="d4c5ff42-3e77-466d-aab5-03d8257d11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C6461-FED6-4E7A-800E-F693CDB38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3001</Words>
  <Characters>15129</Characters>
  <Application>Microsoft Office Word</Application>
  <DocSecurity>0</DocSecurity>
  <Lines>432</Lines>
  <Paragraphs>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2020 - 00-a0-00</dc:title>
  <dc:subject/>
  <dc:creator/>
  <cp:keywords/>
  <dc:description/>
  <cp:lastModifiedBy>svcMRProcess</cp:lastModifiedBy>
  <cp:revision>4</cp:revision>
  <cp:lastPrinted>2020-06-19T02:06:00Z</cp:lastPrinted>
  <dcterms:created xsi:type="dcterms:W3CDTF">2020-06-24T08:20:00Z</dcterms:created>
  <dcterms:modified xsi:type="dcterms:W3CDTF">2020-06-24T08:21:00Z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52411</vt:lpwstr>
  </property>
  <property fmtid="{D5CDD505-2E9C-101B-9397-08002B2CF9AE}" pid="3" name="DocumentType">
    <vt:lpwstr>Reg</vt:lpwstr>
  </property>
  <property fmtid="{D5CDD505-2E9C-101B-9397-08002B2CF9AE}" pid="4" name="AsAtDate">
    <vt:lpwstr>01 Jul 2020</vt:lpwstr>
  </property>
  <property fmtid="{D5CDD505-2E9C-101B-9397-08002B2CF9AE}" pid="5" name="Suffix">
    <vt:lpwstr>00-a0-00</vt:lpwstr>
  </property>
  <property fmtid="{D5CDD505-2E9C-101B-9397-08002B2CF9AE}" pid="6" name="CommencementDate">
    <vt:lpwstr>20200701</vt:lpwstr>
  </property>
</Properties>
</file>