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_Toc43904234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_Toc43904235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_Toc43904236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_Toc43904237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_Toc43904238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_Toc43904239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_Toc43904240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_Toc43904241 \h </w:instrText>
      </w:r>
      <w:r>
        <w:fldChar w:fldCharType="separate"/>
      </w:r>
      <w:r>
        <w:t>3</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_Toc43904242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_Toc43904243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_Toc43904244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_Toc43904245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_Toc43904246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_Toc43904247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_Toc43904248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_Toc43904249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_Toc43904250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13A.</w:t>
      </w:r>
      <w:r>
        <w:tab/>
        <w:t>Disclosure of information about vehicle licensing (section 114(3)(g))</w:t>
      </w:r>
      <w:r>
        <w:tab/>
      </w:r>
      <w:r>
        <w:fldChar w:fldCharType="begin"/>
      </w:r>
      <w:r>
        <w:instrText xml:space="preserve"> PAGEREF _Toc43904251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_Toc43904252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_Toc43904253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_Toc43904254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_Toc43904255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_Toc43904256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_Toc43904257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_Toc43904258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_Toc43904259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_Toc43904260 \h </w:instrText>
      </w:r>
      <w:r>
        <w:fldChar w:fldCharType="separate"/>
      </w:r>
      <w:r>
        <w:t>10</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_Toc43904261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_Toc43904262 \h </w:instrText>
      </w:r>
      <w:r>
        <w:fldChar w:fldCharType="separate"/>
      </w:r>
      <w:r>
        <w:t>11</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_Toc43904263 \h </w:instrText>
      </w:r>
      <w:r>
        <w:fldChar w:fldCharType="separate"/>
      </w:r>
      <w:r>
        <w:t>12</w:t>
      </w:r>
      <w:r>
        <w:fldChar w:fldCharType="end"/>
      </w:r>
    </w:p>
    <w:p>
      <w:pPr>
        <w:pStyle w:val="TOC8"/>
        <w:rPr>
          <w:rFonts w:asciiTheme="minorHAnsi" w:eastAsiaTheme="minorEastAsia" w:hAnsiTheme="minorHAnsi" w:cstheme="minorBidi"/>
          <w:szCs w:val="22"/>
        </w:rPr>
      </w:pPr>
      <w:r>
        <w:t>14A.</w:t>
      </w:r>
      <w:r>
        <w:tab/>
        <w:t>Disclosure of information about legal practitioners and settlement agents (s. 114(3)(g))</w:t>
      </w:r>
      <w:r>
        <w:tab/>
      </w:r>
      <w:r>
        <w:fldChar w:fldCharType="begin"/>
      </w:r>
      <w:r>
        <w:instrText xml:space="preserve"> PAGEREF _Toc43904264 \h </w:instrText>
      </w:r>
      <w:r>
        <w:fldChar w:fldCharType="separate"/>
      </w:r>
      <w:r>
        <w:t>12</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_Toc43904265 \h </w:instrText>
      </w:r>
      <w:r>
        <w:fldChar w:fldCharType="separate"/>
      </w:r>
      <w:r>
        <w:t>14</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_Toc43904266 \h </w:instrText>
      </w:r>
      <w:r>
        <w:fldChar w:fldCharType="separate"/>
      </w:r>
      <w:r>
        <w:t>14</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_Toc43904267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_Toc43904269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_Toc43904270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3904234"/>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43904235"/>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43904236"/>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6" w:name="_Toc43904237"/>
      <w:r>
        <w:rPr>
          <w:rStyle w:val="CharSectno"/>
        </w:rPr>
        <w:t>3</w:t>
      </w:r>
      <w:r>
        <w:t>.</w:t>
      </w:r>
      <w:r>
        <w:tab/>
        <w:t>Rate of interest for refunds and credits resulting from objections (section 39)</w:t>
      </w:r>
      <w:bookmarkEnd w:id="6"/>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7" w:name="_Toc43904238"/>
      <w:r>
        <w:rPr>
          <w:rStyle w:val="CharSectno"/>
        </w:rPr>
        <w:t>4</w:t>
      </w:r>
      <w:r>
        <w:t>.</w:t>
      </w:r>
      <w:r>
        <w:tab/>
        <w:t>Rate of interest for overpaid amounts (section 43)</w:t>
      </w:r>
      <w:bookmarkEnd w:id="7"/>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8" w:name="_Toc43904239"/>
      <w:r>
        <w:rPr>
          <w:rStyle w:val="CharSectno"/>
        </w:rPr>
        <w:t>5</w:t>
      </w:r>
      <w:r>
        <w:t>.</w:t>
      </w:r>
      <w:r>
        <w:tab/>
        <w:t>Rate of interest for outstanding amounts (section 47)</w:t>
      </w:r>
      <w:bookmarkEnd w:id="8"/>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9" w:name="_Toc43904240"/>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43904241"/>
      <w:r>
        <w:rPr>
          <w:rStyle w:val="CharSectno"/>
        </w:rPr>
        <w:t>5B</w:t>
      </w:r>
      <w:r>
        <w:t>.</w:t>
      </w:r>
      <w:r>
        <w:tab/>
        <w:t>Rate of interest for refunds following interim assessments (section 54(2A))</w:t>
      </w:r>
      <w:bookmarkEnd w:id="10"/>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11" w:name="_Toc43904242"/>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1.7% per annum.</w:t>
      </w:r>
    </w:p>
    <w:p>
      <w:pPr>
        <w:pStyle w:val="Footnotesection"/>
      </w:pPr>
      <w:r>
        <w:tab/>
        <w:t>[Regulation 5C inserted: Gazette 13 Aug 2019 p. 3042.]</w:t>
      </w:r>
    </w:p>
    <w:p>
      <w:pPr>
        <w:pStyle w:val="Heading5"/>
      </w:pPr>
      <w:bookmarkStart w:id="12" w:name="_Toc43904243"/>
      <w:r>
        <w:rPr>
          <w:rStyle w:val="CharSectno"/>
        </w:rPr>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43904244"/>
      <w:r>
        <w:rPr>
          <w:rStyle w:val="CharSectno"/>
        </w:rPr>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43904245"/>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43904246"/>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43904247"/>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43904248"/>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43904249"/>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43904250"/>
      <w:r>
        <w:rPr>
          <w:rStyle w:val="CharSectno"/>
        </w:rPr>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43904251"/>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43904252"/>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43904253"/>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43904254"/>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24" w:name="_Toc43904255"/>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43904256"/>
      <w:r>
        <w:rPr>
          <w:rStyle w:val="CharSectno"/>
        </w:rPr>
        <w:t>13F</w:t>
      </w:r>
      <w:r>
        <w:t>.</w:t>
      </w:r>
      <w:r>
        <w:tab/>
        <w:t>Disclosure of information to Australian Border Force Commissioner (section 114(3)(g))</w:t>
      </w:r>
      <w:bookmarkEnd w:id="25"/>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6" w:name="_Toc43904257"/>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43904258"/>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8" w:name="_Toc43904259"/>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43904260"/>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0" w:name="_Toc43904261"/>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1" w:name="_Toc43904262"/>
      <w:r>
        <w:rPr>
          <w:rStyle w:val="CharSectno"/>
        </w:rPr>
        <w:t>13L</w:t>
      </w:r>
      <w:r>
        <w:t>.</w:t>
      </w:r>
      <w:r>
        <w:tab/>
        <w:t>Disclosure of information to public sector agencies for purpose of COVID</w:t>
      </w:r>
      <w:r>
        <w:noBreakHyphen/>
        <w:t>19 relief measures (section 114(3)(g))</w:t>
      </w:r>
      <w:bookmarkEnd w:id="3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 </w:t>
      </w:r>
    </w:p>
    <w:p>
      <w:pPr>
        <w:pStyle w:val="Defstart"/>
      </w:pPr>
      <w:r>
        <w:tab/>
      </w:r>
      <w:r>
        <w:rPr>
          <w:rStyle w:val="CharDefText"/>
        </w:rPr>
        <w:t>tax information</w:t>
      </w:r>
      <w:r>
        <w:t xml:space="preserve"> means information or material that was disclosed to or obtained by the Commissioner under a taxation Act.</w:t>
      </w:r>
    </w:p>
    <w:p>
      <w:pPr>
        <w:pStyle w:val="Subsection"/>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w:t>
      </w:r>
    </w:p>
    <w:p>
      <w:pPr>
        <w:pStyle w:val="Heading5"/>
        <w:spacing w:before="180"/>
      </w:pPr>
      <w:bookmarkStart w:id="32" w:name="_Toc43904263"/>
      <w:r>
        <w:rPr>
          <w:rStyle w:val="CharSectno"/>
        </w:rPr>
        <w:t>13</w:t>
      </w:r>
      <w:r>
        <w:t>.</w:t>
      </w:r>
      <w:r>
        <w:tab/>
        <w:t>Disclosure of information about pastoral lessees (section 114(3)(g))</w:t>
      </w:r>
      <w:bookmarkEnd w:id="32"/>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3" w:name="_Toc43904264"/>
      <w:r>
        <w:rPr>
          <w:rStyle w:val="CharSectno"/>
        </w:rPr>
        <w:t>14A</w:t>
      </w:r>
      <w:r>
        <w:t>.</w:t>
      </w:r>
      <w:r>
        <w:tab/>
        <w:t>Disclosure of information about legal practitioners and settlement agents (s. 114(3)(g))</w:t>
      </w:r>
      <w:bookmarkEnd w:id="33"/>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34" w:name="_Toc43904265"/>
      <w:r>
        <w:rPr>
          <w:rStyle w:val="CharSectno"/>
        </w:rPr>
        <w:t>14</w:t>
      </w:r>
      <w:r>
        <w:t>.</w:t>
      </w:r>
      <w:r>
        <w:tab/>
        <w:t>Service on Commissioner (section 115)</w:t>
      </w:r>
      <w:bookmarkEnd w:id="34"/>
    </w:p>
    <w:p>
      <w:pPr>
        <w:pStyle w:val="Ednotesubsection"/>
        <w:keepNext/>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5" w:name="_Toc43904266"/>
      <w:r>
        <w:rPr>
          <w:rStyle w:val="CharSectno"/>
        </w:rPr>
        <w:t>14AA</w:t>
      </w:r>
      <w:r>
        <w:t>.</w:t>
      </w:r>
      <w:r>
        <w:tab/>
        <w:t>When documents not served personally are taken to be served (section 117(4))</w:t>
      </w:r>
      <w:bookmarkEnd w:id="35"/>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36" w:name="_Toc43904267"/>
      <w:r>
        <w:rPr>
          <w:rStyle w:val="CharSectno"/>
        </w:rPr>
        <w:t>15</w:t>
      </w:r>
      <w:r>
        <w:t>.</w:t>
      </w:r>
      <w:r>
        <w:tab/>
        <w:t>Prescription of Commissioner as State taxation officer</w:t>
      </w:r>
      <w:bookmarkEnd w:id="36"/>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7" w:name="_Toc43301748"/>
      <w:bookmarkStart w:id="38" w:name="_Toc43302023"/>
      <w:bookmarkStart w:id="39" w:name="_Toc43904268"/>
      <w:r>
        <w:t>Notes</w:t>
      </w:r>
      <w:bookmarkEnd w:id="37"/>
      <w:bookmarkEnd w:id="38"/>
      <w:bookmarkEnd w:id="39"/>
    </w:p>
    <w:p>
      <w:pPr>
        <w:pStyle w:val="nStatement"/>
      </w:pPr>
      <w:r>
        <w:t xml:space="preserve">This is a compilation of the </w:t>
      </w:r>
      <w:r>
        <w:rPr>
          <w:i/>
          <w:noProof/>
        </w:rPr>
        <w:t>Taxation Administration Regulations 2003</w:t>
      </w:r>
      <w:r>
        <w:t xml:space="preserve"> and includes amendments made by other written laws</w:t>
      </w:r>
      <w:r>
        <w:rPr>
          <w:vertAlign w:val="superscript"/>
        </w:rPr>
        <w:t> 1M, 1MC</w:t>
      </w:r>
      <w:r>
        <w:t xml:space="preserve">. For provisions that have come into operation, and for information about any reprints, see the compilation table. </w:t>
      </w:r>
    </w:p>
    <w:p>
      <w:pPr>
        <w:pStyle w:val="nHeading3"/>
      </w:pPr>
      <w:bookmarkStart w:id="40" w:name="_Toc43904269"/>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single" w:sz="8" w:space="0" w:color="auto"/>
            </w:tcBorders>
          </w:tcPr>
          <w:p>
            <w:pPr>
              <w:pStyle w:val="nTable"/>
              <w:spacing w:after="40"/>
              <w:rPr>
                <w:i/>
              </w:rPr>
            </w:pPr>
            <w:r>
              <w:rPr>
                <w:i/>
              </w:rPr>
              <w:t>Finance Regulations Amendment (Interest Rates) Regulations 2020</w:t>
            </w:r>
            <w:r>
              <w:t xml:space="preserve"> Pt. 3</w:t>
            </w:r>
          </w:p>
        </w:tc>
        <w:tc>
          <w:tcPr>
            <w:tcW w:w="1276" w:type="dxa"/>
            <w:tcBorders>
              <w:top w:val="nil"/>
              <w:bottom w:val="single" w:sz="8" w:space="0" w:color="auto"/>
            </w:tcBorders>
          </w:tcPr>
          <w:p>
            <w:pPr>
              <w:pStyle w:val="nTable"/>
              <w:keepNext/>
              <w:spacing w:after="40"/>
            </w:pPr>
            <w:r>
              <w:t>SL 2020/71 9 Jun 2020</w:t>
            </w:r>
          </w:p>
        </w:tc>
        <w:tc>
          <w:tcPr>
            <w:tcW w:w="2693" w:type="dxa"/>
            <w:tcBorders>
              <w:top w:val="nil"/>
              <w:bottom w:val="single" w:sz="8" w:space="0" w:color="auto"/>
            </w:tcBorders>
          </w:tcPr>
          <w:p>
            <w:pPr>
              <w:pStyle w:val="nTable"/>
              <w:keepNext/>
              <w:spacing w:after="40"/>
            </w:pPr>
            <w:r>
              <w:t>1 Jul 2020 (see r. 2(b))</w:t>
            </w:r>
          </w:p>
        </w:tc>
      </w:tr>
    </w:tbl>
    <w:p>
      <w:pPr>
        <w:pStyle w:val="nHeading3"/>
      </w:pPr>
      <w:bookmarkStart w:id="41" w:name="_Toc43904270"/>
      <w:r>
        <w:t>Other notes</w:t>
      </w:r>
      <w:bookmarkEnd w:id="41"/>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3" w:name="_Toc43301752"/>
      <w:bookmarkStart w:id="44" w:name="_Toc43302026"/>
      <w:bookmarkStart w:id="45" w:name="_Toc43904271"/>
      <w:r>
        <w:rPr>
          <w:sz w:val="28"/>
        </w:rPr>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w:t>
      </w:r>
      <w:r>
        <w:noBreakHyphen/>
        <w:t>19 relief measure</w:t>
      </w:r>
      <w:r>
        <w:tab/>
        <w:t>13L(1)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settlement agent</w:t>
      </w:r>
      <w:r>
        <w:tab/>
        <w:t>14A(1)</w:t>
      </w:r>
    </w:p>
    <w:p>
      <w:pPr>
        <w:pStyle w:val="DefinedTerms"/>
      </w:pPr>
      <w:r>
        <w:t>STR arrangement</w:t>
      </w:r>
      <w:r>
        <w:tab/>
        <w:t>14A(1)</w:t>
      </w:r>
    </w:p>
    <w:p>
      <w:pPr>
        <w:pStyle w:val="DefinedTerms"/>
      </w:pPr>
      <w:r>
        <w:t>tax information</w:t>
      </w:r>
      <w:r>
        <w:tab/>
        <w:t>13L(1)</w:t>
      </w:r>
    </w:p>
    <w:p>
      <w:pPr>
        <w:pStyle w:val="DefinedTerms"/>
      </w:pPr>
      <w:r>
        <w:t>wages</w:t>
      </w:r>
      <w:r>
        <w:tab/>
        <w:t>13G(1)</w:t>
      </w:r>
    </w:p>
    <w:p>
      <w:pPr>
        <w:pStyle w:val="DefinedTerms"/>
      </w:pPr>
      <w:r>
        <w:t>WorkCover WA</w:t>
      </w:r>
      <w:r>
        <w:tab/>
        <w:t>13J(1)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154935"/>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5355</Words>
  <Characters>26993</Characters>
  <Application>Microsoft Office Word</Application>
  <DocSecurity>0</DocSecurity>
  <Lines>870</Lines>
  <Paragraphs>482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2003 - 04-j0-00</dc:title>
  <dc:subject/>
  <dc:creator/>
  <cp:keywords/>
  <dc:description/>
  <cp:lastModifiedBy>svcMRProcess</cp:lastModifiedBy>
  <cp:revision>4</cp:revision>
  <cp:lastPrinted>2019-02-12T00:58:00Z</cp:lastPrinted>
  <dcterms:created xsi:type="dcterms:W3CDTF">2020-06-30T03:07:00Z</dcterms:created>
  <dcterms:modified xsi:type="dcterms:W3CDTF">2020-06-30T03:07:00Z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01 Jul 2020</vt:lpwstr>
  </property>
  <property fmtid="{D5CDD505-2E9C-101B-9397-08002B2CF9AE}" pid="8" name="Suffix">
    <vt:lpwstr>04-j0-00</vt:lpwstr>
  </property>
  <property fmtid="{D5CDD505-2E9C-101B-9397-08002B2CF9AE}" pid="9" name="CommencementDate">
    <vt:lpwstr>20200701</vt:lpwstr>
  </property>
</Properties>
</file>