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_Toc43392154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_Toc43392155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_Toc43392156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_Toc43392157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_Toc43392158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_Toc43392159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_Toc43392160 \h </w:instrText>
      </w:r>
      <w:r>
        <w:fldChar w:fldCharType="separate"/>
      </w:r>
      <w:r>
        <w:t>4</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_Toc43392161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_Toc43392162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_Toc43392163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_Toc43392164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4"/>
        <w:tabs>
          <w:tab w:val="right" w:leader="do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_Toc43392167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_Toc43392168 \h </w:instrText>
      </w:r>
      <w:r>
        <w:fldChar w:fldCharType="separate"/>
      </w:r>
      <w:r>
        <w:t>6</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_Toc43392169 \h </w:instrText>
      </w:r>
      <w:r>
        <w:fldChar w:fldCharType="separate"/>
      </w:r>
      <w:r>
        <w:t>7</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_Toc43392170 \h </w:instrText>
      </w:r>
      <w:r>
        <w:fldChar w:fldCharType="separate"/>
      </w:r>
      <w:r>
        <w:t>7</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_Toc43392171 \h </w:instrText>
      </w:r>
      <w:r>
        <w:fldChar w:fldCharType="separate"/>
      </w:r>
      <w:r>
        <w:t>8</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_Toc43392172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_Toc43392174 \h </w:instrText>
      </w:r>
      <w:r>
        <w:fldChar w:fldCharType="separate"/>
      </w:r>
      <w:r>
        <w:t>9</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_Toc43392175 \h </w:instrText>
      </w:r>
      <w:r>
        <w:fldChar w:fldCharType="separate"/>
      </w:r>
      <w:r>
        <w:t>10</w:t>
      </w:r>
      <w:r>
        <w:fldChar w:fldCharType="end"/>
      </w:r>
    </w:p>
    <w:p>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_Toc43392176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_Toc43392180 \h </w:instrText>
      </w:r>
      <w:r>
        <w:fldChar w:fldCharType="separate"/>
      </w:r>
      <w:r>
        <w:t>16</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_Toc43392181 \h </w:instrText>
      </w:r>
      <w:r>
        <w:fldChar w:fldCharType="separate"/>
      </w:r>
      <w:r>
        <w:t>16</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_Toc43392182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_Toc43392186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43392154"/>
      <w:r>
        <w:rPr>
          <w:rStyle w:val="CharSectno"/>
        </w:rPr>
        <w:t>1</w:t>
      </w:r>
      <w:r>
        <w:t>.</w:t>
      </w:r>
      <w:r>
        <w:tab/>
        <w:t>Citation</w:t>
      </w:r>
      <w:bookmarkEnd w:id="3"/>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4" w:name="_Toc43392155"/>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43392156"/>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6" w:name="_Toc43392157"/>
      <w:r>
        <w:rPr>
          <w:rStyle w:val="CharSectno"/>
        </w:rPr>
        <w:t>4</w:t>
      </w:r>
      <w:r>
        <w:t>.</w:t>
      </w:r>
      <w:r>
        <w:tab/>
      </w:r>
      <w:r>
        <w:rPr>
          <w:snapToGrid w:val="0"/>
        </w:rPr>
        <w:t>Electricity charges</w:t>
      </w:r>
      <w:bookmarkEnd w:id="6"/>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7" w:name="_Toc43392158"/>
      <w:r>
        <w:rPr>
          <w:rStyle w:val="CharSectno"/>
        </w:rPr>
        <w:t>5</w:t>
      </w:r>
      <w:r>
        <w:t>.</w:t>
      </w:r>
      <w:r>
        <w:tab/>
        <w:t>Application of residential tariffs</w:t>
      </w:r>
      <w:bookmarkEnd w:id="7"/>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8" w:name="_Toc43392159"/>
      <w:r>
        <w:rPr>
          <w:rStyle w:val="CharSectno"/>
        </w:rPr>
        <w:t>6</w:t>
      </w:r>
      <w:r>
        <w:t>.</w:t>
      </w:r>
      <w:r>
        <w:tab/>
        <w:t>Meter rental</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9" w:name="_Toc43392160"/>
      <w:r>
        <w:rPr>
          <w:rStyle w:val="CharSectno"/>
        </w:rPr>
        <w:t>7</w:t>
      </w:r>
      <w:r>
        <w:t>.</w:t>
      </w:r>
      <w:r>
        <w:tab/>
        <w:t>Fees</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43392161"/>
      <w:r>
        <w:rPr>
          <w:rStyle w:val="CharSectno"/>
        </w:rPr>
        <w:t>8</w:t>
      </w:r>
      <w:r>
        <w:t>.</w:t>
      </w:r>
      <w:r>
        <w:tab/>
        <w:t>Payment</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1" w:name="_Toc43392162"/>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 (3)</w:t>
      </w:r>
      <w:r>
        <w:tab/>
        <w:t>deleted]</w:t>
      </w:r>
    </w:p>
    <w:p>
      <w:pPr>
        <w:pStyle w:val="Footnotesection"/>
      </w:pPr>
      <w:r>
        <w:tab/>
        <w:t>[By-law 10 amended: Gazette 27 Jun 2014 p. 2320; 21 Jun 2019 p. 2128.]</w:t>
      </w:r>
    </w:p>
    <w:p>
      <w:pPr>
        <w:pStyle w:val="Heading5"/>
      </w:pPr>
      <w:bookmarkStart w:id="12" w:name="_Toc43392163"/>
      <w:r>
        <w:rPr>
          <w:rStyle w:val="CharSectno"/>
        </w:rPr>
        <w:t>11</w:t>
      </w:r>
      <w:r>
        <w:t>.</w:t>
      </w:r>
      <w:r>
        <w:tab/>
        <w:t>Changes in rates</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43392164"/>
      <w:r>
        <w:rPr>
          <w:rStyle w:val="CharSectno"/>
        </w:rPr>
        <w:t>12</w:t>
      </w:r>
      <w:r>
        <w:t>.</w:t>
      </w:r>
      <w:r>
        <w:tab/>
        <w:t>Prescribed rate of interest for s. 62(16) of Act</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43215514"/>
      <w:bookmarkStart w:id="15" w:name="_Toc43391226"/>
      <w:bookmarkStart w:id="16" w:name="_Toc43392165"/>
      <w:bookmarkStart w:id="17" w:name="_Toc43214414"/>
      <w:r>
        <w:rPr>
          <w:rStyle w:val="CharSchNo"/>
        </w:rPr>
        <w:t>Schedule 1</w:t>
      </w:r>
      <w:r>
        <w:t> — </w:t>
      </w:r>
      <w:r>
        <w:rPr>
          <w:rStyle w:val="CharSchText"/>
        </w:rPr>
        <w:t>Supply charges</w:t>
      </w:r>
      <w:bookmarkEnd w:id="14"/>
      <w:bookmarkEnd w:id="15"/>
      <w:bookmarkEnd w:id="16"/>
    </w:p>
    <w:p>
      <w:pPr>
        <w:pStyle w:val="yShoulderClause"/>
      </w:pPr>
      <w:r>
        <w:t>[bl. 3, 4(1) and 10(1)]</w:t>
      </w:r>
    </w:p>
    <w:p>
      <w:pPr>
        <w:pStyle w:val="yFootnoteheading"/>
      </w:pPr>
      <w:r>
        <w:tab/>
        <w:t>[Heading inserted: SL 2020/78 bl. 4.]</w:t>
      </w:r>
    </w:p>
    <w:p>
      <w:pPr>
        <w:pStyle w:val="yHeading3"/>
      </w:pPr>
      <w:bookmarkStart w:id="18" w:name="_Toc43215515"/>
      <w:bookmarkStart w:id="19" w:name="_Toc43391227"/>
      <w:bookmarkStart w:id="20" w:name="_Toc43392166"/>
      <w:r>
        <w:rPr>
          <w:rStyle w:val="CharSDivNo"/>
        </w:rPr>
        <w:t>Division 1</w:t>
      </w:r>
      <w:r>
        <w:t> — </w:t>
      </w:r>
      <w:r>
        <w:rPr>
          <w:rStyle w:val="CharSDivText"/>
        </w:rPr>
        <w:t>Tariffs other than MyPower tariffs</w:t>
      </w:r>
      <w:bookmarkEnd w:id="18"/>
      <w:bookmarkEnd w:id="19"/>
      <w:bookmarkEnd w:id="20"/>
    </w:p>
    <w:p>
      <w:pPr>
        <w:pStyle w:val="yFootnoteheading"/>
      </w:pPr>
      <w:r>
        <w:tab/>
        <w:t>[Heading inserted: SL 2020/78 bl. 4.]</w:t>
      </w:r>
    </w:p>
    <w:p>
      <w:pPr>
        <w:pStyle w:val="yHeading5"/>
      </w:pPr>
      <w:bookmarkStart w:id="21" w:name="_Toc43392167"/>
      <w:r>
        <w:rPr>
          <w:rStyle w:val="CharSClsNo"/>
        </w:rPr>
        <w:t>1</w:t>
      </w:r>
      <w:r>
        <w:t>.</w:t>
      </w:r>
      <w:r>
        <w:tab/>
        <w:t>Tariff L2 (general supply — low/medium voltage tariff)</w:t>
      </w:r>
      <w:bookmarkEnd w:id="21"/>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$1.8447 per day; and</w:t>
      </w:r>
    </w:p>
    <w:p>
      <w:pPr>
        <w:pStyle w:val="yIndenta"/>
      </w:pPr>
      <w:r>
        <w:tab/>
        <w:t>(b)</w:t>
      </w:r>
      <w:r>
        <w:tab/>
        <w:t xml:space="preserve">a charge for metered consumption at the rate of — </w:t>
      </w:r>
    </w:p>
    <w:p>
      <w:pPr>
        <w:pStyle w:val="yIndenti0"/>
      </w:pPr>
      <w:r>
        <w:tab/>
        <w:t>(i)</w:t>
      </w:r>
      <w:r>
        <w:tab/>
        <w:t>28.7065 cents per unit for the first 1 650 units per day; and</w:t>
      </w:r>
    </w:p>
    <w:p>
      <w:pPr>
        <w:pStyle w:val="yIndenti0"/>
      </w:pPr>
      <w:r>
        <w:tab/>
        <w:t>(ii)</w:t>
      </w:r>
      <w:r>
        <w:tab/>
        <w:t>32.3656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2020/78 bl. 4.]</w:t>
      </w:r>
    </w:p>
    <w:p>
      <w:pPr>
        <w:pStyle w:val="yHeading5"/>
      </w:pPr>
      <w:bookmarkStart w:id="22" w:name="_Toc43392168"/>
      <w:r>
        <w:rPr>
          <w:rStyle w:val="CharSClsNo"/>
        </w:rPr>
        <w:t>2</w:t>
      </w:r>
      <w:r>
        <w:t>.</w:t>
      </w:r>
      <w:r>
        <w:tab/>
        <w:t>Tariff L4 (general supply — low/medium voltage tariff)</w:t>
      </w:r>
      <w:bookmarkEnd w:id="22"/>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$1.9747 per day; and</w:t>
      </w:r>
    </w:p>
    <w:p>
      <w:pPr>
        <w:pStyle w:val="yIndenta"/>
      </w:pPr>
      <w:r>
        <w:tab/>
        <w:t>(b)</w:t>
      </w:r>
      <w:r>
        <w:tab/>
        <w:t xml:space="preserve">a charge for metered consumption at the rate of — </w:t>
      </w:r>
    </w:p>
    <w:p>
      <w:pPr>
        <w:pStyle w:val="yIndenti0"/>
      </w:pPr>
      <w:r>
        <w:tab/>
        <w:t>(i)</w:t>
      </w:r>
      <w:r>
        <w:tab/>
        <w:t>40.1101</w:t>
      </w:r>
      <w:r>
        <w:rPr>
          <w:szCs w:val="22"/>
        </w:rPr>
        <w:t xml:space="preserve"> </w:t>
      </w:r>
      <w:r>
        <w:t>cents per unit for the first 1 650 units per day; and</w:t>
      </w:r>
    </w:p>
    <w:p>
      <w:pPr>
        <w:pStyle w:val="yIndenti0"/>
      </w:pPr>
      <w:r>
        <w:tab/>
        <w:t>(ii)</w:t>
      </w:r>
      <w:r>
        <w:tab/>
        <w:t>34</w:t>
      </w:r>
      <w:r>
        <w:rPr>
          <w:szCs w:val="22"/>
        </w:rPr>
        <w:t xml:space="preserve">.0347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2020/78 bl. 4.]</w:t>
      </w:r>
    </w:p>
    <w:p>
      <w:pPr>
        <w:pStyle w:val="yHeading5"/>
      </w:pPr>
      <w:bookmarkStart w:id="23" w:name="_Toc43392169"/>
      <w:r>
        <w:rPr>
          <w:rStyle w:val="CharSClsNo"/>
        </w:rPr>
        <w:t>3</w:t>
      </w:r>
      <w:r>
        <w:t>.</w:t>
      </w:r>
      <w:r>
        <w:tab/>
        <w:t>Tariff A2 (residential tariff)</w:t>
      </w:r>
      <w:bookmarkEnd w:id="23"/>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 3 inserted: SL 2020/78 bl. 4.]</w:t>
      </w:r>
    </w:p>
    <w:p>
      <w:pPr>
        <w:pStyle w:val="yHeading5"/>
      </w:pPr>
      <w:bookmarkStart w:id="24" w:name="_Toc43392170"/>
      <w:r>
        <w:rPr>
          <w:rStyle w:val="CharSClsNo"/>
        </w:rPr>
        <w:t>4</w:t>
      </w:r>
      <w:r>
        <w:t>.</w:t>
      </w:r>
      <w:r>
        <w:tab/>
        <w:t>Tariff C2 (special community service tariff)</w:t>
      </w:r>
      <w:bookmarkEnd w:id="24"/>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99.7104 cents per day; and</w:t>
      </w:r>
    </w:p>
    <w:p>
      <w:pPr>
        <w:pStyle w:val="yIndenta"/>
      </w:pPr>
      <w:r>
        <w:tab/>
        <w:t>(b)</w:t>
      </w:r>
      <w:r>
        <w:tab/>
        <w:t xml:space="preserve">a charge for metered consumption at the rate of — </w:t>
      </w:r>
    </w:p>
    <w:p>
      <w:pPr>
        <w:pStyle w:val="yIndenti0"/>
      </w:pPr>
      <w:r>
        <w:tab/>
        <w:t>(i)</w:t>
      </w:r>
      <w:r>
        <w:tab/>
        <w:t>23.2958 cents per unit for the first 20 units per day; and</w:t>
      </w:r>
    </w:p>
    <w:p>
      <w:pPr>
        <w:pStyle w:val="yIndenti0"/>
      </w:pPr>
      <w:r>
        <w:tab/>
        <w:t>(ii)</w:t>
      </w:r>
      <w:r>
        <w:tab/>
        <w:t>24.8550 cents per unit for the next 1 630 units per day; and</w:t>
      </w:r>
    </w:p>
    <w:p>
      <w:pPr>
        <w:pStyle w:val="yIndenti0"/>
      </w:pPr>
      <w:r>
        <w:tab/>
        <w:t>(iii)</w:t>
      </w:r>
      <w:r>
        <w:tab/>
        <w:t>23.7081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SL 2020/78 bl. 4.]</w:t>
      </w:r>
    </w:p>
    <w:p>
      <w:pPr>
        <w:pStyle w:val="yHeading5"/>
      </w:pPr>
      <w:bookmarkStart w:id="25" w:name="_Toc43392171"/>
      <w:r>
        <w:rPr>
          <w:rStyle w:val="CharSClsNo"/>
        </w:rPr>
        <w:t>5</w:t>
      </w:r>
      <w:r>
        <w:t>.</w:t>
      </w:r>
      <w:r>
        <w:tab/>
        <w:t>Tariff D2 (special tariff for certain premises)</w:t>
      </w:r>
      <w:bookmarkEnd w:id="25"/>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98.3532 cents per day; and</w:t>
      </w:r>
    </w:p>
    <w:p>
      <w:pPr>
        <w:pStyle w:val="yIndenta"/>
      </w:pPr>
      <w:r>
        <w:tab/>
        <w:t>(b)</w:t>
      </w:r>
      <w:r>
        <w:tab/>
        <w:t>if under subclause (3) there is deemed to be more than 1 equivalent domestic residence in the premises — a charge of 36.4628 cents per day for each equivalent domestic residence except the first that is deemed to be in the premises; and</w:t>
      </w:r>
    </w:p>
    <w:p>
      <w:pPr>
        <w:pStyle w:val="yIndenta"/>
      </w:pPr>
      <w:r>
        <w:tab/>
        <w:t>(c)</w:t>
      </w:r>
      <w:r>
        <w:tab/>
        <w:t>a charge for metered consumption at the rate of 24.9876 cents per unit.</w:t>
      </w:r>
    </w:p>
    <w:p>
      <w:pPr>
        <w:pStyle w:val="ySubsection"/>
        <w:keepNext/>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5 inserted: SL 2020/78 bl. 4.]</w:t>
      </w:r>
    </w:p>
    <w:p>
      <w:pPr>
        <w:pStyle w:val="yHeading5"/>
      </w:pPr>
      <w:bookmarkStart w:id="26" w:name="_Toc43392172"/>
      <w:r>
        <w:rPr>
          <w:rStyle w:val="CharSClsNo"/>
        </w:rPr>
        <w:t>6</w:t>
      </w:r>
      <w:r>
        <w:t>.</w:t>
      </w:r>
      <w:r>
        <w:tab/>
        <w:t>Tariff K2 (general supply with residential tariff)</w:t>
      </w:r>
      <w:bookmarkEnd w:id="26"/>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$1.8234 per day; and</w:t>
      </w:r>
    </w:p>
    <w:p>
      <w:pPr>
        <w:pStyle w:val="yIndenta"/>
      </w:pPr>
      <w:r>
        <w:tab/>
        <w:t>(b)</w:t>
      </w:r>
      <w:r>
        <w:tab/>
        <w:t>a charge for metered consumption at the rate of —</w:t>
      </w:r>
    </w:p>
    <w:p>
      <w:pPr>
        <w:pStyle w:val="yIndenti0"/>
      </w:pPr>
      <w:r>
        <w:tab/>
        <w:t>(i)</w:t>
      </w:r>
      <w:r>
        <w:tab/>
        <w:t>30.1107 cents per unit for the first 20 units per day; and</w:t>
      </w:r>
    </w:p>
    <w:p>
      <w:pPr>
        <w:pStyle w:val="yIndenti0"/>
      </w:pPr>
      <w:r>
        <w:tab/>
        <w:t>(ii)</w:t>
      </w:r>
      <w:r>
        <w:tab/>
        <w:t>28.3753 cents per unit for the next 1 630 units per day; and</w:t>
      </w:r>
    </w:p>
    <w:p>
      <w:pPr>
        <w:pStyle w:val="yIndenti0"/>
      </w:pPr>
      <w:r>
        <w:tab/>
        <w:t>(iii)</w:t>
      </w:r>
      <w:r>
        <w:tab/>
        <w:t>31.9921 cents per unit for all units exceeding 1 650 units per day.</w:t>
      </w:r>
    </w:p>
    <w:p>
      <w:pPr>
        <w:pStyle w:val="yFootnotesection"/>
      </w:pPr>
      <w:r>
        <w:tab/>
        <w:t>[Clause 6 inserted: SL 2020/78 bl. 4.]</w:t>
      </w:r>
    </w:p>
    <w:p>
      <w:pPr>
        <w:pStyle w:val="yHeading3"/>
      </w:pPr>
      <w:bookmarkStart w:id="27" w:name="_Toc43215522"/>
      <w:bookmarkStart w:id="28" w:name="_Toc43391234"/>
      <w:bookmarkStart w:id="29" w:name="_Toc43392173"/>
      <w:r>
        <w:rPr>
          <w:rStyle w:val="CharSDivNo"/>
        </w:rPr>
        <w:t>Division 2</w:t>
      </w:r>
      <w:r>
        <w:t> — </w:t>
      </w:r>
      <w:r>
        <w:rPr>
          <w:rStyle w:val="CharSDivText"/>
        </w:rPr>
        <w:t>MyPower tariffs</w:t>
      </w:r>
      <w:bookmarkEnd w:id="27"/>
      <w:bookmarkEnd w:id="28"/>
      <w:bookmarkEnd w:id="29"/>
    </w:p>
    <w:p>
      <w:pPr>
        <w:pStyle w:val="yFootnoteheading"/>
      </w:pPr>
      <w:r>
        <w:tab/>
        <w:t>[Heading inserted: SL 2020/78 bl. 4.]</w:t>
      </w:r>
    </w:p>
    <w:p>
      <w:pPr>
        <w:pStyle w:val="yHeading5"/>
      </w:pPr>
      <w:bookmarkStart w:id="30" w:name="_Toc43392174"/>
      <w:r>
        <w:rPr>
          <w:rStyle w:val="CharSClsNo"/>
        </w:rPr>
        <w:t>7</w:t>
      </w:r>
      <w:r>
        <w:t>.</w:t>
      </w:r>
      <w:r>
        <w:tab/>
        <w:t>Terms used</w:t>
      </w:r>
      <w:bookmarkEnd w:id="30"/>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peak day</w:t>
      </w:r>
      <w:r>
        <w:t xml:space="preserve"> means — </w:t>
      </w:r>
    </w:p>
    <w:p>
      <w:pPr>
        <w:pStyle w:val="y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yDefpara"/>
      </w:pPr>
      <w:r>
        <w:tab/>
        <w:t>(b)</w:t>
      </w:r>
      <w:r>
        <w:tab/>
        <w:t>in relation to a tariff determined under clause 9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yIndenta"/>
      </w:pPr>
      <w:r>
        <w:tab/>
        <w:t>(a)</w:t>
      </w:r>
      <w:r>
        <w:tab/>
        <w:t>the contract under which the electricity is supplied has been in force for a period of 14 days or fewer;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SL 2020/78 bl. 4.]</w:t>
      </w:r>
    </w:p>
    <w:p>
      <w:pPr>
        <w:pStyle w:val="yHeading5"/>
      </w:pPr>
      <w:bookmarkStart w:id="31" w:name="_Toc43392175"/>
      <w:r>
        <w:rPr>
          <w:rStyle w:val="CharSClsNo"/>
        </w:rPr>
        <w:t>8</w:t>
      </w:r>
      <w:r>
        <w:t>.</w:t>
      </w:r>
      <w:r>
        <w:tab/>
        <w:t>MyPower residential tariffs</w:t>
      </w:r>
      <w:bookmarkEnd w:id="31"/>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residential tariff is available subject to the condition that the consumer does not exceed the applicable peak allowance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rPr>
                <w:b/>
              </w:rPr>
            </w:pPr>
            <w:r>
              <w:rPr>
                <w:b/>
              </w:rPr>
              <w:t>Tariff name</w:t>
            </w:r>
          </w:p>
        </w:tc>
        <w:tc>
          <w:tcPr>
            <w:tcW w:w="1417" w:type="dxa"/>
          </w:tcPr>
          <w:p>
            <w:pPr>
              <w:pStyle w:val="yTableNAm"/>
              <w:keepNext/>
              <w:rPr>
                <w:b/>
              </w:rPr>
            </w:pPr>
            <w:r>
              <w:rPr>
                <w:b/>
              </w:rPr>
              <w:t>Rate of fixed charge</w:t>
            </w:r>
          </w:p>
        </w:tc>
        <w:tc>
          <w:tcPr>
            <w:tcW w:w="1560" w:type="dxa"/>
          </w:tcPr>
          <w:p>
            <w:pPr>
              <w:pStyle w:val="yTableNAm"/>
              <w:keepNext/>
              <w:rPr>
                <w:b/>
              </w:rPr>
            </w:pPr>
            <w:r>
              <w:rPr>
                <w:b/>
              </w:rPr>
              <w:t>Rate of metered consumption charge</w:t>
            </w:r>
          </w:p>
        </w:tc>
        <w:tc>
          <w:tcPr>
            <w:tcW w:w="1275" w:type="dxa"/>
          </w:tcPr>
          <w:p>
            <w:pPr>
              <w:pStyle w:val="yTableNAm"/>
              <w:keepNext/>
              <w:rPr>
                <w:b/>
              </w:rPr>
            </w:pPr>
            <w:r>
              <w:rPr>
                <w:b/>
              </w:rPr>
              <w:t>Peak allowance</w:t>
            </w:r>
          </w:p>
        </w:tc>
      </w:tr>
      <w:tr>
        <w:trPr>
          <w:cantSplit/>
        </w:trPr>
        <w:tc>
          <w:tcPr>
            <w:tcW w:w="1276" w:type="dxa"/>
          </w:tcPr>
          <w:p>
            <w:pPr>
              <w:pStyle w:val="yTableNAm"/>
            </w:pPr>
            <w:r>
              <w:t>MyPower residential 1.5 fixed plan price</w:t>
            </w:r>
          </w:p>
        </w:tc>
        <w:tc>
          <w:tcPr>
            <w:tcW w:w="1417" w:type="dxa"/>
          </w:tcPr>
          <w:p>
            <w:pPr>
              <w:pStyle w:val="yTableNAm"/>
            </w:pPr>
            <w:r>
              <w:t>$1.118275 per day</w:t>
            </w:r>
          </w:p>
        </w:tc>
        <w:tc>
          <w:tcPr>
            <w:tcW w:w="1560" w:type="dxa"/>
          </w:tcPr>
          <w:p>
            <w:pPr>
              <w:pStyle w:val="yTableNAm"/>
            </w:pPr>
            <w:r>
              <w:t>$0.100000</w:t>
            </w:r>
            <w:r>
              <w:br/>
              <w:t>per unit</w:t>
            </w:r>
          </w:p>
        </w:tc>
        <w:tc>
          <w:tcPr>
            <w:tcW w:w="1275" w:type="dxa"/>
          </w:tcPr>
          <w:p>
            <w:pPr>
              <w:pStyle w:val="yTableNAm"/>
            </w:pPr>
            <w:r>
              <w:t>1.5 units per hour</w:t>
            </w:r>
          </w:p>
        </w:tc>
      </w:tr>
      <w:tr>
        <w:trPr>
          <w:cantSplit/>
        </w:trPr>
        <w:tc>
          <w:tcPr>
            <w:tcW w:w="1276" w:type="dxa"/>
          </w:tcPr>
          <w:p>
            <w:pPr>
              <w:pStyle w:val="yTableNAm"/>
            </w:pPr>
            <w:r>
              <w:t>MyPower residential 3 fixed plan price</w:t>
            </w:r>
          </w:p>
        </w:tc>
        <w:tc>
          <w:tcPr>
            <w:tcW w:w="1417" w:type="dxa"/>
          </w:tcPr>
          <w:p>
            <w:pPr>
              <w:pStyle w:val="yTableNAm"/>
            </w:pPr>
            <w:r>
              <w:t>$2.419907 per day</w:t>
            </w:r>
          </w:p>
        </w:tc>
        <w:tc>
          <w:tcPr>
            <w:tcW w:w="1560"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276" w:type="dxa"/>
          </w:tcPr>
          <w:p>
            <w:pPr>
              <w:pStyle w:val="yTableNAm"/>
            </w:pPr>
            <w:r>
              <w:t>MyPower residential 5 fixed plan price</w:t>
            </w:r>
          </w:p>
        </w:tc>
        <w:tc>
          <w:tcPr>
            <w:tcW w:w="1417" w:type="dxa"/>
          </w:tcPr>
          <w:p>
            <w:pPr>
              <w:pStyle w:val="yTableNAm"/>
            </w:pPr>
            <w:r>
              <w:t>$4.896768 per day</w:t>
            </w:r>
          </w:p>
        </w:tc>
        <w:tc>
          <w:tcPr>
            <w:tcW w:w="1560"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276" w:type="dxa"/>
          </w:tcPr>
          <w:p>
            <w:pPr>
              <w:pStyle w:val="yTableNAm"/>
            </w:pPr>
            <w:r>
              <w:t>MyPower residential 7 fixed plan price</w:t>
            </w:r>
          </w:p>
        </w:tc>
        <w:tc>
          <w:tcPr>
            <w:tcW w:w="1417" w:type="dxa"/>
          </w:tcPr>
          <w:p>
            <w:pPr>
              <w:pStyle w:val="yTableNAm"/>
            </w:pPr>
            <w:r>
              <w:t>$8.065171 per day</w:t>
            </w:r>
          </w:p>
        </w:tc>
        <w:tc>
          <w:tcPr>
            <w:tcW w:w="1560"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276" w:type="dxa"/>
          </w:tcPr>
          <w:p>
            <w:pPr>
              <w:pStyle w:val="yTableNAm"/>
            </w:pPr>
            <w:r>
              <w:t>MyPower residential 10 fixed plan price</w:t>
            </w:r>
          </w:p>
        </w:tc>
        <w:tc>
          <w:tcPr>
            <w:tcW w:w="1417" w:type="dxa"/>
          </w:tcPr>
          <w:p>
            <w:pPr>
              <w:pStyle w:val="yTableNAm"/>
            </w:pPr>
            <w:r>
              <w:t>$12.174724 per day</w:t>
            </w:r>
          </w:p>
        </w:tc>
        <w:tc>
          <w:tcPr>
            <w:tcW w:w="1560" w:type="dxa"/>
          </w:tcPr>
          <w:p>
            <w:pPr>
              <w:pStyle w:val="yTableNAm"/>
            </w:pPr>
            <w:r>
              <w:t>$0.100000</w:t>
            </w:r>
            <w:r>
              <w:br/>
              <w:t>per unit</w:t>
            </w:r>
          </w:p>
        </w:tc>
        <w:tc>
          <w:tcPr>
            <w:tcW w:w="1275" w:type="dxa"/>
          </w:tcPr>
          <w:p>
            <w:pPr>
              <w:pStyle w:val="yTableNAm"/>
            </w:pPr>
            <w:r>
              <w:t>10 units</w:t>
            </w:r>
            <w:r>
              <w:br/>
              <w:t>per hour</w:t>
            </w:r>
          </w:p>
        </w:tc>
      </w:tr>
      <w:tr>
        <w:trPr>
          <w:cantSplit/>
        </w:trPr>
        <w:tc>
          <w:tcPr>
            <w:tcW w:w="1276" w:type="dxa"/>
          </w:tcPr>
          <w:p>
            <w:pPr>
              <w:pStyle w:val="yTableNAm"/>
            </w:pPr>
            <w:r>
              <w:t>MyPower residential 15 fixed plan price</w:t>
            </w:r>
          </w:p>
        </w:tc>
        <w:tc>
          <w:tcPr>
            <w:tcW w:w="1417" w:type="dxa"/>
          </w:tcPr>
          <w:p>
            <w:pPr>
              <w:pStyle w:val="yTableNAm"/>
            </w:pPr>
            <w:r>
              <w:t>$24.791681 per day</w:t>
            </w:r>
          </w:p>
        </w:tc>
        <w:tc>
          <w:tcPr>
            <w:tcW w:w="1560" w:type="dxa"/>
          </w:tcPr>
          <w:p>
            <w:pPr>
              <w:pStyle w:val="yTableNAm"/>
            </w:pPr>
            <w:r>
              <w:t>$0.100000</w:t>
            </w:r>
            <w:r>
              <w:br/>
              <w:t>per unit</w:t>
            </w:r>
          </w:p>
        </w:tc>
        <w:tc>
          <w:tcPr>
            <w:tcW w:w="1275" w:type="dxa"/>
          </w:tcPr>
          <w:p>
            <w:pPr>
              <w:pStyle w:val="yTableNAm"/>
            </w:pPr>
            <w:r>
              <w:t>15 units</w:t>
            </w:r>
            <w:r>
              <w:br/>
              <w:t>per hour</w:t>
            </w:r>
          </w:p>
        </w:tc>
      </w:tr>
    </w:tbl>
    <w:p>
      <w:pPr>
        <w:pStyle w:val="yFootnotesection"/>
      </w:pPr>
      <w:r>
        <w:tab/>
        <w:t>[Clause 8 inserted: SL 2020/78 bl. 4.]</w:t>
      </w:r>
    </w:p>
    <w:p>
      <w:pPr>
        <w:pStyle w:val="yHeading5"/>
      </w:pPr>
      <w:bookmarkStart w:id="32" w:name="_Toc43392176"/>
      <w:r>
        <w:rPr>
          <w:rStyle w:val="CharSClsNo"/>
        </w:rPr>
        <w:t>9</w:t>
      </w:r>
      <w:r>
        <w:t>.</w:t>
      </w:r>
      <w:r>
        <w:tab/>
        <w:t>MyPower non</w:t>
      </w:r>
      <w:r>
        <w:noBreakHyphen/>
        <w:t>residential tariffs</w:t>
      </w:r>
      <w:bookmarkEnd w:id="32"/>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Subsection"/>
      </w:pPr>
      <w:r>
        <w:rPr>
          <w:sz w:val="22"/>
        </w:rPr>
        <w:tab/>
        <w:t>(3)</w:t>
      </w:r>
      <w:r>
        <w:rPr>
          <w:sz w:val="22"/>
        </w:rPr>
        <w:tab/>
        <w:t>Each MyPower non</w:t>
      </w:r>
      <w:r>
        <w:rPr>
          <w:sz w:val="22"/>
        </w:rPr>
        <w:noBreakHyphen/>
        <w:t>residential tariff is available subject to the condition that the consumer does not exceed the applicable peak allowance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rPr>
                <w:b/>
              </w:rPr>
            </w:pPr>
            <w:r>
              <w:rPr>
                <w:b/>
              </w:rPr>
              <w:t>Tariff name</w:t>
            </w:r>
          </w:p>
        </w:tc>
        <w:tc>
          <w:tcPr>
            <w:tcW w:w="1417" w:type="dxa"/>
          </w:tcPr>
          <w:p>
            <w:pPr>
              <w:pStyle w:val="yTableNAm"/>
              <w:keepNext/>
              <w:rPr>
                <w:b/>
              </w:rPr>
            </w:pPr>
            <w:r>
              <w:rPr>
                <w:b/>
              </w:rPr>
              <w:t>Rate of fixed charge</w:t>
            </w:r>
          </w:p>
        </w:tc>
        <w:tc>
          <w:tcPr>
            <w:tcW w:w="1560" w:type="dxa"/>
          </w:tcPr>
          <w:p>
            <w:pPr>
              <w:pStyle w:val="yTableNAm"/>
              <w:keepNext/>
              <w:rPr>
                <w:b/>
              </w:rPr>
            </w:pPr>
            <w:r>
              <w:rPr>
                <w:b/>
              </w:rPr>
              <w:t>Rate of metered consumption charge</w:t>
            </w:r>
          </w:p>
        </w:tc>
        <w:tc>
          <w:tcPr>
            <w:tcW w:w="1275" w:type="dxa"/>
          </w:tcPr>
          <w:p>
            <w:pPr>
              <w:pStyle w:val="yTableNAm"/>
              <w:keepNext/>
              <w:rPr>
                <w:b/>
              </w:rPr>
            </w:pPr>
            <w:r>
              <w:rPr>
                <w:b/>
              </w:rPr>
              <w:t>Peak allowance</w:t>
            </w:r>
          </w:p>
        </w:tc>
      </w:tr>
      <w:tr>
        <w:trPr>
          <w:cantSplit/>
        </w:trPr>
        <w:tc>
          <w:tcPr>
            <w:tcW w:w="1276" w:type="dxa"/>
          </w:tcPr>
          <w:p>
            <w:pPr>
              <w:pStyle w:val="yTableNAm"/>
            </w:pPr>
            <w:r>
              <w:t>MyPower business 3 fixed plan price</w:t>
            </w:r>
          </w:p>
        </w:tc>
        <w:tc>
          <w:tcPr>
            <w:tcW w:w="1417" w:type="dxa"/>
          </w:tcPr>
          <w:p>
            <w:pPr>
              <w:pStyle w:val="yTableNAm"/>
            </w:pPr>
            <w:r>
              <w:t>$2.724663 per day</w:t>
            </w:r>
          </w:p>
        </w:tc>
        <w:tc>
          <w:tcPr>
            <w:tcW w:w="1560"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276" w:type="dxa"/>
          </w:tcPr>
          <w:p>
            <w:pPr>
              <w:pStyle w:val="yTableNAm"/>
            </w:pPr>
            <w:r>
              <w:t>MyPower business 5 fixed plan price</w:t>
            </w:r>
          </w:p>
        </w:tc>
        <w:tc>
          <w:tcPr>
            <w:tcW w:w="1417" w:type="dxa"/>
          </w:tcPr>
          <w:p>
            <w:pPr>
              <w:pStyle w:val="yTableNAm"/>
            </w:pPr>
            <w:r>
              <w:t>$6.405618 per day</w:t>
            </w:r>
          </w:p>
        </w:tc>
        <w:tc>
          <w:tcPr>
            <w:tcW w:w="1560"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276" w:type="dxa"/>
          </w:tcPr>
          <w:p>
            <w:pPr>
              <w:pStyle w:val="yTableNAm"/>
            </w:pPr>
            <w:r>
              <w:t>MyPower business 7 fixed plan price</w:t>
            </w:r>
          </w:p>
        </w:tc>
        <w:tc>
          <w:tcPr>
            <w:tcW w:w="1417" w:type="dxa"/>
          </w:tcPr>
          <w:p>
            <w:pPr>
              <w:pStyle w:val="yTableNAm"/>
            </w:pPr>
            <w:r>
              <w:t>$11.434530 per day</w:t>
            </w:r>
          </w:p>
        </w:tc>
        <w:tc>
          <w:tcPr>
            <w:tcW w:w="1560"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276" w:type="dxa"/>
          </w:tcPr>
          <w:p>
            <w:pPr>
              <w:pStyle w:val="yTableNAm"/>
            </w:pPr>
            <w:r>
              <w:t>MyPower business 10 fixed plan price</w:t>
            </w:r>
          </w:p>
        </w:tc>
        <w:tc>
          <w:tcPr>
            <w:tcW w:w="1417" w:type="dxa"/>
          </w:tcPr>
          <w:p>
            <w:pPr>
              <w:pStyle w:val="yTableNAm"/>
            </w:pPr>
            <w:r>
              <w:t>$16.979013 per day</w:t>
            </w:r>
          </w:p>
        </w:tc>
        <w:tc>
          <w:tcPr>
            <w:tcW w:w="1560" w:type="dxa"/>
          </w:tcPr>
          <w:p>
            <w:pPr>
              <w:pStyle w:val="yTableNAm"/>
            </w:pPr>
            <w:r>
              <w:t>$0.100000</w:t>
            </w:r>
            <w:r>
              <w:br/>
              <w:t>per unit</w:t>
            </w:r>
          </w:p>
        </w:tc>
        <w:tc>
          <w:tcPr>
            <w:tcW w:w="1275" w:type="dxa"/>
          </w:tcPr>
          <w:p>
            <w:pPr>
              <w:pStyle w:val="yTableNAm"/>
            </w:pPr>
            <w:r>
              <w:t>10 units</w:t>
            </w:r>
            <w:r>
              <w:br/>
              <w:t>per hour</w:t>
            </w:r>
          </w:p>
        </w:tc>
      </w:tr>
      <w:tr>
        <w:trPr>
          <w:cantSplit/>
        </w:trPr>
        <w:tc>
          <w:tcPr>
            <w:tcW w:w="1276" w:type="dxa"/>
          </w:tcPr>
          <w:p>
            <w:pPr>
              <w:pStyle w:val="yTableNAm"/>
            </w:pPr>
            <w:r>
              <w:t>MyPower business 15 fixed plan price</w:t>
            </w:r>
          </w:p>
        </w:tc>
        <w:tc>
          <w:tcPr>
            <w:tcW w:w="1417" w:type="dxa"/>
          </w:tcPr>
          <w:p>
            <w:pPr>
              <w:pStyle w:val="yTableNAm"/>
            </w:pPr>
            <w:r>
              <w:t>$26.117133 per day</w:t>
            </w:r>
          </w:p>
        </w:tc>
        <w:tc>
          <w:tcPr>
            <w:tcW w:w="1560" w:type="dxa"/>
          </w:tcPr>
          <w:p>
            <w:pPr>
              <w:pStyle w:val="yTableNAm"/>
            </w:pPr>
            <w:r>
              <w:t>$0.100000</w:t>
            </w:r>
            <w:r>
              <w:br/>
              <w:t>per unit</w:t>
            </w:r>
          </w:p>
        </w:tc>
        <w:tc>
          <w:tcPr>
            <w:tcW w:w="1275" w:type="dxa"/>
          </w:tcPr>
          <w:p>
            <w:pPr>
              <w:pStyle w:val="yTableNAm"/>
            </w:pPr>
            <w:r>
              <w:t>15 units</w:t>
            </w:r>
            <w:r>
              <w:br/>
              <w:t>per hour</w:t>
            </w:r>
          </w:p>
        </w:tc>
      </w:tr>
      <w:tr>
        <w:trPr>
          <w:cantSplit/>
        </w:trPr>
        <w:tc>
          <w:tcPr>
            <w:tcW w:w="1276" w:type="dxa"/>
          </w:tcPr>
          <w:p>
            <w:pPr>
              <w:pStyle w:val="yTableNAm"/>
            </w:pPr>
            <w:r>
              <w:t>MyPower business 20 fixed plan price</w:t>
            </w:r>
          </w:p>
        </w:tc>
        <w:tc>
          <w:tcPr>
            <w:tcW w:w="1417" w:type="dxa"/>
          </w:tcPr>
          <w:p>
            <w:pPr>
              <w:pStyle w:val="yTableNAm"/>
            </w:pPr>
            <w:r>
              <w:t>$47.858955 per day</w:t>
            </w:r>
          </w:p>
        </w:tc>
        <w:tc>
          <w:tcPr>
            <w:tcW w:w="1560" w:type="dxa"/>
          </w:tcPr>
          <w:p>
            <w:pPr>
              <w:pStyle w:val="yTableNAm"/>
            </w:pPr>
            <w:r>
              <w:t>$0.100000</w:t>
            </w:r>
            <w:r>
              <w:br/>
              <w:t>per unit</w:t>
            </w:r>
          </w:p>
        </w:tc>
        <w:tc>
          <w:tcPr>
            <w:tcW w:w="1275" w:type="dxa"/>
          </w:tcPr>
          <w:p>
            <w:pPr>
              <w:pStyle w:val="yTableNAm"/>
            </w:pPr>
            <w:r>
              <w:t>20 units</w:t>
            </w:r>
            <w:r>
              <w:br/>
              <w:t>per hour</w:t>
            </w:r>
          </w:p>
        </w:tc>
      </w:tr>
      <w:tr>
        <w:trPr>
          <w:cantSplit/>
        </w:trPr>
        <w:tc>
          <w:tcPr>
            <w:tcW w:w="1276" w:type="dxa"/>
          </w:tcPr>
          <w:p>
            <w:pPr>
              <w:pStyle w:val="yTableNAm"/>
            </w:pPr>
            <w:r>
              <w:t>MyPower business 25 fixed plan price</w:t>
            </w:r>
          </w:p>
        </w:tc>
        <w:tc>
          <w:tcPr>
            <w:tcW w:w="1417" w:type="dxa"/>
          </w:tcPr>
          <w:p>
            <w:pPr>
              <w:pStyle w:val="yTableNAm"/>
            </w:pPr>
            <w:r>
              <w:t>$49.249359 per day</w:t>
            </w:r>
          </w:p>
        </w:tc>
        <w:tc>
          <w:tcPr>
            <w:tcW w:w="1560" w:type="dxa"/>
          </w:tcPr>
          <w:p>
            <w:pPr>
              <w:pStyle w:val="yTableNAm"/>
            </w:pPr>
            <w:r>
              <w:t>$0.100000</w:t>
            </w:r>
            <w:r>
              <w:br/>
              <w:t>per unit</w:t>
            </w:r>
          </w:p>
        </w:tc>
        <w:tc>
          <w:tcPr>
            <w:tcW w:w="1275" w:type="dxa"/>
          </w:tcPr>
          <w:p>
            <w:pPr>
              <w:pStyle w:val="yTableNAm"/>
            </w:pPr>
            <w:r>
              <w:t>25 units</w:t>
            </w:r>
            <w:r>
              <w:br/>
              <w:t>per hour</w:t>
            </w:r>
          </w:p>
        </w:tc>
      </w:tr>
      <w:tr>
        <w:trPr>
          <w:cantSplit/>
        </w:trPr>
        <w:tc>
          <w:tcPr>
            <w:tcW w:w="1276" w:type="dxa"/>
          </w:tcPr>
          <w:p>
            <w:pPr>
              <w:pStyle w:val="yTableNAm"/>
            </w:pPr>
            <w:r>
              <w:t>MyPower business 30 fixed plan price</w:t>
            </w:r>
          </w:p>
        </w:tc>
        <w:tc>
          <w:tcPr>
            <w:tcW w:w="1417" w:type="dxa"/>
          </w:tcPr>
          <w:p>
            <w:pPr>
              <w:pStyle w:val="yTableNAm"/>
            </w:pPr>
            <w:r>
              <w:t>$67.793748 per day</w:t>
            </w:r>
          </w:p>
        </w:tc>
        <w:tc>
          <w:tcPr>
            <w:tcW w:w="1560" w:type="dxa"/>
          </w:tcPr>
          <w:p>
            <w:pPr>
              <w:pStyle w:val="yTableNAm"/>
            </w:pPr>
            <w:r>
              <w:t>$0.100000</w:t>
            </w:r>
            <w:r>
              <w:br/>
              <w:t>per unit</w:t>
            </w:r>
          </w:p>
        </w:tc>
        <w:tc>
          <w:tcPr>
            <w:tcW w:w="1275" w:type="dxa"/>
          </w:tcPr>
          <w:p>
            <w:pPr>
              <w:pStyle w:val="yTableNAm"/>
            </w:pPr>
            <w:r>
              <w:t>30 units</w:t>
            </w:r>
            <w:r>
              <w:br/>
              <w:t>per hour</w:t>
            </w:r>
          </w:p>
        </w:tc>
      </w:tr>
      <w:tr>
        <w:trPr>
          <w:cantSplit/>
        </w:trPr>
        <w:tc>
          <w:tcPr>
            <w:tcW w:w="1276" w:type="dxa"/>
          </w:tcPr>
          <w:p>
            <w:pPr>
              <w:pStyle w:val="yTableNAm"/>
            </w:pPr>
            <w:r>
              <w:t>MyPower business 35 fixed plan price</w:t>
            </w:r>
          </w:p>
        </w:tc>
        <w:tc>
          <w:tcPr>
            <w:tcW w:w="1417" w:type="dxa"/>
          </w:tcPr>
          <w:p>
            <w:pPr>
              <w:pStyle w:val="yTableNAm"/>
            </w:pPr>
            <w:r>
              <w:t>$72.341950 per day</w:t>
            </w:r>
          </w:p>
        </w:tc>
        <w:tc>
          <w:tcPr>
            <w:tcW w:w="1560" w:type="dxa"/>
          </w:tcPr>
          <w:p>
            <w:pPr>
              <w:pStyle w:val="yTableNAm"/>
            </w:pPr>
            <w:r>
              <w:t>$0.100000</w:t>
            </w:r>
            <w:r>
              <w:br/>
              <w:t>per unit</w:t>
            </w:r>
          </w:p>
        </w:tc>
        <w:tc>
          <w:tcPr>
            <w:tcW w:w="1275" w:type="dxa"/>
          </w:tcPr>
          <w:p>
            <w:pPr>
              <w:pStyle w:val="yTableNAm"/>
            </w:pPr>
            <w:r>
              <w:t>35 units</w:t>
            </w:r>
            <w:r>
              <w:br/>
              <w:t>per hour</w:t>
            </w:r>
          </w:p>
        </w:tc>
      </w:tr>
      <w:tr>
        <w:trPr>
          <w:cantSplit/>
        </w:trPr>
        <w:tc>
          <w:tcPr>
            <w:tcW w:w="1276" w:type="dxa"/>
          </w:tcPr>
          <w:p>
            <w:pPr>
              <w:pStyle w:val="yTableNAm"/>
            </w:pPr>
            <w:r>
              <w:t>MyPower business 40 fixed plan price</w:t>
            </w:r>
          </w:p>
        </w:tc>
        <w:tc>
          <w:tcPr>
            <w:tcW w:w="1417" w:type="dxa"/>
          </w:tcPr>
          <w:p>
            <w:pPr>
              <w:pStyle w:val="yTableNAm"/>
            </w:pPr>
            <w:r>
              <w:t>$98.815023 per day</w:t>
            </w:r>
          </w:p>
        </w:tc>
        <w:tc>
          <w:tcPr>
            <w:tcW w:w="1560" w:type="dxa"/>
          </w:tcPr>
          <w:p>
            <w:pPr>
              <w:pStyle w:val="yTableNAm"/>
            </w:pPr>
            <w:r>
              <w:t>$0.100000</w:t>
            </w:r>
            <w:r>
              <w:br/>
              <w:t>per unit</w:t>
            </w:r>
          </w:p>
        </w:tc>
        <w:tc>
          <w:tcPr>
            <w:tcW w:w="1275" w:type="dxa"/>
          </w:tcPr>
          <w:p>
            <w:pPr>
              <w:pStyle w:val="yTableNAm"/>
            </w:pPr>
            <w:r>
              <w:t>40 units</w:t>
            </w:r>
            <w:r>
              <w:br/>
              <w:t>per hour</w:t>
            </w:r>
          </w:p>
        </w:tc>
      </w:tr>
      <w:tr>
        <w:trPr>
          <w:cantSplit/>
        </w:trPr>
        <w:tc>
          <w:tcPr>
            <w:tcW w:w="1276" w:type="dxa"/>
          </w:tcPr>
          <w:p>
            <w:pPr>
              <w:pStyle w:val="yTableNAm"/>
            </w:pPr>
            <w:r>
              <w:t>MyPower business 50 fixed plan price</w:t>
            </w:r>
          </w:p>
        </w:tc>
        <w:tc>
          <w:tcPr>
            <w:tcW w:w="1417" w:type="dxa"/>
          </w:tcPr>
          <w:p>
            <w:pPr>
              <w:pStyle w:val="yTableNAm"/>
            </w:pPr>
            <w:r>
              <w:t>$136.715772 per day</w:t>
            </w:r>
          </w:p>
        </w:tc>
        <w:tc>
          <w:tcPr>
            <w:tcW w:w="1560" w:type="dxa"/>
          </w:tcPr>
          <w:p>
            <w:pPr>
              <w:pStyle w:val="yTableNAm"/>
            </w:pPr>
            <w:r>
              <w:t>$0.100000</w:t>
            </w:r>
            <w:r>
              <w:br/>
              <w:t>per unit</w:t>
            </w:r>
          </w:p>
        </w:tc>
        <w:tc>
          <w:tcPr>
            <w:tcW w:w="1275" w:type="dxa"/>
          </w:tcPr>
          <w:p>
            <w:pPr>
              <w:pStyle w:val="yTableNAm"/>
            </w:pPr>
            <w:r>
              <w:t>50 units</w:t>
            </w:r>
            <w:r>
              <w:br/>
              <w:t>per hour</w:t>
            </w:r>
          </w:p>
        </w:tc>
      </w:tr>
    </w:tbl>
    <w:p>
      <w:pPr>
        <w:pStyle w:val="yFootnotesection"/>
      </w:pPr>
      <w:r>
        <w:tab/>
        <w:t>[Clause 9 inserted: SL 2020/78 bl. 4.]</w:t>
      </w:r>
    </w:p>
    <w:p>
      <w:pPr>
        <w:pStyle w:val="yScheduleHeading"/>
      </w:pPr>
      <w:bookmarkStart w:id="33" w:name="_Toc43215526"/>
      <w:bookmarkStart w:id="34" w:name="_Toc43391238"/>
      <w:bookmarkStart w:id="35" w:name="_Toc43392177"/>
      <w:r>
        <w:rPr>
          <w:rStyle w:val="CharSchNo"/>
        </w:rPr>
        <w:t>Schedule 2</w:t>
      </w:r>
      <w:r>
        <w:t> — </w:t>
      </w:r>
      <w:r>
        <w:rPr>
          <w:rStyle w:val="CharSchText"/>
        </w:rPr>
        <w:t>Unmetered supply</w:t>
      </w:r>
      <w:bookmarkEnd w:id="33"/>
      <w:bookmarkEnd w:id="34"/>
      <w:bookmarkEnd w:id="35"/>
    </w:p>
    <w:p>
      <w:pPr>
        <w:pStyle w:val="yShoulderClause"/>
      </w:pPr>
      <w:r>
        <w:t>[bl. 4(2) and (3)]</w:t>
      </w:r>
    </w:p>
    <w:p>
      <w:pPr>
        <w:pStyle w:val="yFootnoteheading"/>
      </w:pPr>
      <w:r>
        <w:tab/>
        <w:t>[Heading inserted: SL 2020/78 bl. 4.]</w:t>
      </w:r>
    </w:p>
    <w:p>
      <w:pPr>
        <w:pStyle w:val="yHeading3"/>
      </w:pPr>
      <w:bookmarkStart w:id="36" w:name="_Toc43215527"/>
      <w:bookmarkStart w:id="37" w:name="_Toc43391239"/>
      <w:bookmarkStart w:id="38" w:name="_Toc43392178"/>
      <w:r>
        <w:rPr>
          <w:rStyle w:val="CharSDivNo"/>
        </w:rPr>
        <w:t>Division 1</w:t>
      </w:r>
      <w:r>
        <w:t> — </w:t>
      </w:r>
      <w:r>
        <w:rPr>
          <w:rStyle w:val="CharSDivText"/>
        </w:rPr>
        <w:t>Street lighting</w:t>
      </w:r>
      <w:bookmarkEnd w:id="36"/>
      <w:bookmarkEnd w:id="37"/>
      <w:bookmarkEnd w:id="38"/>
    </w:p>
    <w:p>
      <w:pPr>
        <w:pStyle w:val="yFootnoteheading"/>
        <w:spacing w:after="120"/>
      </w:pPr>
      <w:r>
        <w:tab/>
        <w:t>[Heading inserted: SL 2020/78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8"/>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709" w:type="dxa"/>
          </w:tcPr>
          <w:p>
            <w:pPr>
              <w:pStyle w:val="yTableNAm"/>
            </w:pPr>
            <w:r>
              <w:rPr>
                <w:sz w:val="16"/>
                <w:szCs w:val="16"/>
              </w:rPr>
              <w:t>50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46.8074</w:t>
            </w:r>
          </w:p>
        </w:tc>
        <w:tc>
          <w:tcPr>
            <w:tcW w:w="1512" w:type="dxa"/>
          </w:tcPr>
          <w:p>
            <w:pPr>
              <w:pStyle w:val="yTableNAm"/>
              <w:rPr>
                <w:sz w:val="16"/>
                <w:szCs w:val="16"/>
              </w:rPr>
            </w:pPr>
            <w:r>
              <w:rPr>
                <w:sz w:val="16"/>
                <w:szCs w:val="16"/>
              </w:rPr>
              <w:t>47.7438</w:t>
            </w:r>
          </w:p>
        </w:tc>
        <w:tc>
          <w:tcPr>
            <w:tcW w:w="1370" w:type="dxa"/>
          </w:tcPr>
          <w:p>
            <w:pPr>
              <w:pStyle w:val="yTableNAm"/>
              <w:rPr>
                <w:sz w:val="16"/>
                <w:szCs w:val="16"/>
              </w:rPr>
            </w:pPr>
            <w:r>
              <w:rPr>
                <w:sz w:val="16"/>
                <w:szCs w:val="16"/>
              </w:rPr>
              <w:t>51.2227</w:t>
            </w:r>
          </w:p>
        </w:tc>
      </w:tr>
      <w:tr>
        <w:trPr>
          <w:cantSplit/>
        </w:trPr>
        <w:tc>
          <w:tcPr>
            <w:tcW w:w="567" w:type="dxa"/>
          </w:tcPr>
          <w:p>
            <w:pPr>
              <w:pStyle w:val="yTableNAm"/>
            </w:pPr>
            <w:r>
              <w:rPr>
                <w:sz w:val="16"/>
                <w:szCs w:val="16"/>
              </w:rPr>
              <w:t>Z.02</w:t>
            </w:r>
          </w:p>
        </w:tc>
        <w:tc>
          <w:tcPr>
            <w:tcW w:w="709" w:type="dxa"/>
          </w:tcPr>
          <w:p>
            <w:pPr>
              <w:pStyle w:val="yTableNAm"/>
            </w:pPr>
            <w:r>
              <w:rPr>
                <w:sz w:val="16"/>
                <w:szCs w:val="16"/>
              </w:rPr>
              <w:t>80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52.6008</w:t>
            </w:r>
          </w:p>
        </w:tc>
        <w:tc>
          <w:tcPr>
            <w:tcW w:w="1512" w:type="dxa"/>
          </w:tcPr>
          <w:p>
            <w:pPr>
              <w:pStyle w:val="yTableNAm"/>
              <w:rPr>
                <w:sz w:val="16"/>
                <w:szCs w:val="16"/>
              </w:rPr>
            </w:pPr>
            <w:r>
              <w:rPr>
                <w:sz w:val="16"/>
                <w:szCs w:val="16"/>
              </w:rPr>
              <w:t>53.7701</w:t>
            </w:r>
          </w:p>
        </w:tc>
        <w:tc>
          <w:tcPr>
            <w:tcW w:w="1370" w:type="dxa"/>
          </w:tcPr>
          <w:p>
            <w:pPr>
              <w:pStyle w:val="yTableNAm"/>
              <w:rPr>
                <w:sz w:val="16"/>
                <w:szCs w:val="16"/>
              </w:rPr>
            </w:pPr>
            <w:r>
              <w:rPr>
                <w:sz w:val="16"/>
                <w:szCs w:val="16"/>
              </w:rPr>
              <w:t>58.5808</w:t>
            </w:r>
          </w:p>
        </w:tc>
      </w:tr>
      <w:tr>
        <w:trPr>
          <w:cantSplit/>
        </w:trPr>
        <w:tc>
          <w:tcPr>
            <w:tcW w:w="567" w:type="dxa"/>
          </w:tcPr>
          <w:p>
            <w:pPr>
              <w:pStyle w:val="yTableNAm"/>
            </w:pPr>
            <w:r>
              <w:rPr>
                <w:sz w:val="16"/>
                <w:szCs w:val="16"/>
              </w:rPr>
              <w:t>Z.03</w:t>
            </w:r>
          </w:p>
        </w:tc>
        <w:tc>
          <w:tcPr>
            <w:tcW w:w="709" w:type="dxa"/>
          </w:tcPr>
          <w:p>
            <w:pPr>
              <w:pStyle w:val="yTableNAm"/>
            </w:pPr>
            <w:r>
              <w:rPr>
                <w:sz w:val="16"/>
                <w:szCs w:val="16"/>
              </w:rPr>
              <w:t>125</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60.7674</w:t>
            </w:r>
          </w:p>
        </w:tc>
        <w:tc>
          <w:tcPr>
            <w:tcW w:w="1512" w:type="dxa"/>
          </w:tcPr>
          <w:p>
            <w:pPr>
              <w:pStyle w:val="yTableNAm"/>
              <w:rPr>
                <w:sz w:val="16"/>
                <w:szCs w:val="16"/>
              </w:rPr>
            </w:pPr>
            <w:r>
              <w:rPr>
                <w:sz w:val="16"/>
                <w:szCs w:val="16"/>
              </w:rPr>
              <w:t>62.6922</w:t>
            </w:r>
          </w:p>
        </w:tc>
        <w:tc>
          <w:tcPr>
            <w:tcW w:w="1370" w:type="dxa"/>
          </w:tcPr>
          <w:p>
            <w:pPr>
              <w:pStyle w:val="yTableNAm"/>
              <w:rPr>
                <w:sz w:val="16"/>
                <w:szCs w:val="16"/>
              </w:rPr>
            </w:pPr>
            <w:r>
              <w:rPr>
                <w:sz w:val="16"/>
                <w:szCs w:val="16"/>
              </w:rPr>
              <w:t>69.8311</w:t>
            </w:r>
          </w:p>
        </w:tc>
      </w:tr>
      <w:tr>
        <w:trPr>
          <w:cantSplit/>
        </w:trPr>
        <w:tc>
          <w:tcPr>
            <w:tcW w:w="567" w:type="dxa"/>
          </w:tcPr>
          <w:p>
            <w:pPr>
              <w:pStyle w:val="yTableNAm"/>
            </w:pPr>
            <w:r>
              <w:rPr>
                <w:sz w:val="16"/>
                <w:szCs w:val="16"/>
              </w:rPr>
              <w:t>Z.07</w:t>
            </w:r>
          </w:p>
        </w:tc>
        <w:tc>
          <w:tcPr>
            <w:tcW w:w="709" w:type="dxa"/>
          </w:tcPr>
          <w:p>
            <w:pPr>
              <w:pStyle w:val="yTableNAm"/>
            </w:pPr>
            <w:r>
              <w:rPr>
                <w:sz w:val="16"/>
                <w:szCs w:val="16"/>
              </w:rPr>
              <w:t>250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73.5169</w:t>
            </w:r>
          </w:p>
        </w:tc>
        <w:tc>
          <w:tcPr>
            <w:tcW w:w="1512" w:type="dxa"/>
          </w:tcPr>
          <w:p>
            <w:pPr>
              <w:pStyle w:val="yTableNAm"/>
              <w:rPr>
                <w:sz w:val="16"/>
                <w:szCs w:val="16"/>
              </w:rPr>
            </w:pPr>
            <w:r>
              <w:rPr>
                <w:sz w:val="16"/>
                <w:szCs w:val="16"/>
              </w:rPr>
              <w:t>77.1275</w:t>
            </w:r>
          </w:p>
        </w:tc>
        <w:tc>
          <w:tcPr>
            <w:tcW w:w="1370" w:type="dxa"/>
          </w:tcPr>
          <w:p>
            <w:pPr>
              <w:pStyle w:val="yTableNAm"/>
              <w:rPr>
                <w:sz w:val="16"/>
                <w:szCs w:val="16"/>
              </w:rPr>
            </w:pPr>
            <w:r>
              <w:rPr>
                <w:sz w:val="16"/>
                <w:szCs w:val="16"/>
              </w:rPr>
              <w:t>90.7128</w:t>
            </w:r>
          </w:p>
        </w:tc>
      </w:tr>
      <w:tr>
        <w:trPr>
          <w:cantSplit/>
        </w:trPr>
        <w:tc>
          <w:tcPr>
            <w:tcW w:w="567" w:type="dxa"/>
          </w:tcPr>
          <w:p>
            <w:pPr>
              <w:pStyle w:val="yTableNAm"/>
            </w:pPr>
            <w:r>
              <w:rPr>
                <w:sz w:val="16"/>
                <w:szCs w:val="16"/>
              </w:rPr>
              <w:t>Z.10</w:t>
            </w:r>
          </w:p>
        </w:tc>
        <w:tc>
          <w:tcPr>
            <w:tcW w:w="709" w:type="dxa"/>
          </w:tcPr>
          <w:p>
            <w:pPr>
              <w:pStyle w:val="yTableNAm"/>
            </w:pPr>
            <w:r>
              <w:rPr>
                <w:sz w:val="16"/>
                <w:szCs w:val="16"/>
              </w:rPr>
              <w:t>400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85.8954</w:t>
            </w:r>
          </w:p>
        </w:tc>
        <w:tc>
          <w:tcPr>
            <w:tcW w:w="1512" w:type="dxa"/>
          </w:tcPr>
          <w:p>
            <w:pPr>
              <w:pStyle w:val="yTableNAm"/>
              <w:rPr>
                <w:sz w:val="16"/>
                <w:szCs w:val="16"/>
              </w:rPr>
            </w:pPr>
            <w:r>
              <w:rPr>
                <w:sz w:val="16"/>
                <w:szCs w:val="16"/>
              </w:rPr>
              <w:t>89.5036</w:t>
            </w:r>
          </w:p>
        </w:tc>
        <w:tc>
          <w:tcPr>
            <w:tcW w:w="1370" w:type="dxa"/>
          </w:tcPr>
          <w:p>
            <w:pPr>
              <w:pStyle w:val="yTableNAm"/>
              <w:rPr>
                <w:sz w:val="16"/>
                <w:szCs w:val="16"/>
              </w:rPr>
            </w:pPr>
            <w:r>
              <w:rPr>
                <w:sz w:val="16"/>
                <w:szCs w:val="16"/>
              </w:rPr>
              <w:t>119.2782</w:t>
            </w:r>
          </w:p>
        </w:tc>
      </w:tr>
      <w:tr>
        <w:trPr>
          <w:cantSplit/>
        </w:trPr>
        <w:tc>
          <w:tcPr>
            <w:tcW w:w="567" w:type="dxa"/>
          </w:tcPr>
          <w:p>
            <w:pPr>
              <w:pStyle w:val="yTableNAm"/>
            </w:pPr>
            <w:r>
              <w:rPr>
                <w:sz w:val="16"/>
                <w:szCs w:val="16"/>
              </w:rPr>
              <w:t>Z.13</w:t>
            </w:r>
          </w:p>
        </w:tc>
        <w:tc>
          <w:tcPr>
            <w:tcW w:w="709" w:type="dxa"/>
          </w:tcPr>
          <w:p>
            <w:pPr>
              <w:pStyle w:val="yTableNAm"/>
            </w:pPr>
            <w:r>
              <w:rPr>
                <w:sz w:val="16"/>
                <w:szCs w:val="16"/>
              </w:rPr>
              <w:t>150</w:t>
            </w:r>
          </w:p>
        </w:tc>
        <w:tc>
          <w:tcPr>
            <w:tcW w:w="1276" w:type="dxa"/>
            <w:gridSpan w:val="3"/>
          </w:tcPr>
          <w:p>
            <w:pPr>
              <w:pStyle w:val="yTableNAm"/>
            </w:pPr>
            <w:r>
              <w:rPr>
                <w:sz w:val="16"/>
                <w:szCs w:val="16"/>
              </w:rPr>
              <w:t>High pressure sodium</w:t>
            </w:r>
          </w:p>
        </w:tc>
        <w:tc>
          <w:tcPr>
            <w:tcW w:w="1370" w:type="dxa"/>
          </w:tcPr>
          <w:p>
            <w:pPr>
              <w:pStyle w:val="yTableNAm"/>
              <w:rPr>
                <w:sz w:val="16"/>
                <w:szCs w:val="16"/>
              </w:rPr>
            </w:pPr>
            <w:r>
              <w:rPr>
                <w:sz w:val="16"/>
                <w:szCs w:val="16"/>
              </w:rPr>
              <w:t>60.6021</w:t>
            </w:r>
          </w:p>
        </w:tc>
        <w:tc>
          <w:tcPr>
            <w:tcW w:w="1512" w:type="dxa"/>
          </w:tcPr>
          <w:p>
            <w:pPr>
              <w:pStyle w:val="yTableNAm"/>
              <w:rPr>
                <w:sz w:val="16"/>
                <w:szCs w:val="16"/>
              </w:rPr>
            </w:pPr>
            <w:r>
              <w:rPr>
                <w:sz w:val="16"/>
                <w:szCs w:val="16"/>
              </w:rPr>
              <w:t>62.6991</w:t>
            </w:r>
          </w:p>
        </w:tc>
        <w:tc>
          <w:tcPr>
            <w:tcW w:w="1370" w:type="dxa"/>
          </w:tcPr>
          <w:p>
            <w:pPr>
              <w:pStyle w:val="yTableNAm"/>
              <w:rPr>
                <w:sz w:val="16"/>
                <w:szCs w:val="16"/>
              </w:rPr>
            </w:pPr>
            <w:r>
              <w:rPr>
                <w:sz w:val="16"/>
                <w:szCs w:val="16"/>
              </w:rPr>
              <w:t>72.2937</w:t>
            </w:r>
          </w:p>
        </w:tc>
      </w:tr>
      <w:tr>
        <w:trPr>
          <w:cantSplit/>
        </w:trPr>
        <w:tc>
          <w:tcPr>
            <w:tcW w:w="567" w:type="dxa"/>
          </w:tcPr>
          <w:p>
            <w:pPr>
              <w:pStyle w:val="yTableNAm"/>
            </w:pPr>
            <w:r>
              <w:rPr>
                <w:sz w:val="16"/>
                <w:szCs w:val="16"/>
              </w:rPr>
              <w:t>Z.15</w:t>
            </w:r>
          </w:p>
        </w:tc>
        <w:tc>
          <w:tcPr>
            <w:tcW w:w="709" w:type="dxa"/>
          </w:tcPr>
          <w:p>
            <w:pPr>
              <w:pStyle w:val="yTableNAm"/>
            </w:pPr>
            <w:r>
              <w:rPr>
                <w:sz w:val="16"/>
                <w:szCs w:val="16"/>
              </w:rPr>
              <w:t>250</w:t>
            </w:r>
          </w:p>
        </w:tc>
        <w:tc>
          <w:tcPr>
            <w:tcW w:w="1276" w:type="dxa"/>
            <w:gridSpan w:val="3"/>
          </w:tcPr>
          <w:p>
            <w:pPr>
              <w:pStyle w:val="yTableNAm"/>
            </w:pPr>
            <w:r>
              <w:rPr>
                <w:sz w:val="16"/>
                <w:szCs w:val="16"/>
              </w:rPr>
              <w:t>High pressure sodium</w:t>
            </w:r>
          </w:p>
        </w:tc>
        <w:tc>
          <w:tcPr>
            <w:tcW w:w="1370" w:type="dxa"/>
          </w:tcPr>
          <w:p>
            <w:pPr>
              <w:pStyle w:val="yTableNAm"/>
              <w:rPr>
                <w:sz w:val="16"/>
                <w:szCs w:val="16"/>
              </w:rPr>
            </w:pPr>
            <w:r>
              <w:rPr>
                <w:sz w:val="16"/>
                <w:szCs w:val="16"/>
              </w:rPr>
              <w:t>76.0201</w:t>
            </w:r>
          </w:p>
        </w:tc>
        <w:tc>
          <w:tcPr>
            <w:tcW w:w="1512" w:type="dxa"/>
          </w:tcPr>
          <w:p>
            <w:pPr>
              <w:pStyle w:val="yTableNAm"/>
              <w:rPr>
                <w:sz w:val="16"/>
                <w:szCs w:val="16"/>
              </w:rPr>
            </w:pPr>
            <w:r>
              <w:rPr>
                <w:sz w:val="16"/>
                <w:szCs w:val="16"/>
              </w:rPr>
              <w:t>79.9587</w:t>
            </w:r>
          </w:p>
        </w:tc>
        <w:tc>
          <w:tcPr>
            <w:tcW w:w="1370" w:type="dxa"/>
          </w:tcPr>
          <w:p>
            <w:pPr>
              <w:pStyle w:val="yTableNAm"/>
              <w:rPr>
                <w:sz w:val="16"/>
                <w:szCs w:val="16"/>
              </w:rPr>
            </w:pPr>
            <w:r>
              <w:rPr>
                <w:sz w:val="16"/>
                <w:szCs w:val="16"/>
              </w:rPr>
              <w:t>95.0176</w:t>
            </w:r>
          </w:p>
        </w:tc>
      </w:tr>
      <w:tr>
        <w:trPr>
          <w:cantSplit/>
        </w:trPr>
        <w:tc>
          <w:tcPr>
            <w:tcW w:w="567" w:type="dxa"/>
          </w:tcPr>
          <w:p>
            <w:pPr>
              <w:pStyle w:val="yTableNAm"/>
            </w:pPr>
            <w:r>
              <w:rPr>
                <w:sz w:val="16"/>
                <w:szCs w:val="16"/>
              </w:rPr>
              <w:t>Z.18</w:t>
            </w:r>
          </w:p>
        </w:tc>
        <w:tc>
          <w:tcPr>
            <w:tcW w:w="709" w:type="dxa"/>
          </w:tcPr>
          <w:p>
            <w:pPr>
              <w:pStyle w:val="yTableNAm"/>
            </w:pPr>
            <w:r>
              <w:rPr>
                <w:sz w:val="16"/>
                <w:szCs w:val="16"/>
              </w:rPr>
              <w:t>per kW</w:t>
            </w:r>
          </w:p>
        </w:tc>
        <w:tc>
          <w:tcPr>
            <w:tcW w:w="1276" w:type="dxa"/>
            <w:gridSpan w:val="3"/>
          </w:tcPr>
          <w:p>
            <w:pPr>
              <w:pStyle w:val="yTableNAm"/>
            </w:pPr>
            <w:r>
              <w:rPr>
                <w:sz w:val="16"/>
                <w:szCs w:val="16"/>
              </w:rPr>
              <w:t>Auxiliary lighting in public places</w:t>
            </w:r>
          </w:p>
        </w:tc>
        <w:tc>
          <w:tcPr>
            <w:tcW w:w="1370" w:type="dxa"/>
          </w:tcPr>
          <w:p>
            <w:pPr>
              <w:pStyle w:val="yTableNAm"/>
              <w:rPr>
                <w:sz w:val="16"/>
                <w:szCs w:val="16"/>
              </w:rPr>
            </w:pPr>
            <w:r>
              <w:rPr>
                <w:sz w:val="16"/>
                <w:szCs w:val="16"/>
              </w:rPr>
              <w:t>Not applicable</w:t>
            </w:r>
          </w:p>
        </w:tc>
        <w:tc>
          <w:tcPr>
            <w:tcW w:w="1512" w:type="dxa"/>
          </w:tcPr>
          <w:p>
            <w:pPr>
              <w:pStyle w:val="yTableNAm"/>
              <w:rPr>
                <w:sz w:val="16"/>
                <w:szCs w:val="16"/>
              </w:rPr>
            </w:pPr>
            <w:r>
              <w:rPr>
                <w:sz w:val="16"/>
                <w:szCs w:val="16"/>
              </w:rPr>
              <w:t>Not applicable</w:t>
            </w:r>
          </w:p>
        </w:tc>
        <w:tc>
          <w:tcPr>
            <w:tcW w:w="1370" w:type="dxa"/>
          </w:tcPr>
          <w:p>
            <w:pPr>
              <w:pStyle w:val="yTableNAm"/>
              <w:rPr>
                <w:sz w:val="16"/>
                <w:szCs w:val="16"/>
              </w:rPr>
            </w:pPr>
            <w:r>
              <w:rPr>
                <w:sz w:val="16"/>
                <w:szCs w:val="16"/>
              </w:rPr>
              <w:t>271.5837</w:t>
            </w:r>
          </w:p>
        </w:tc>
      </w:tr>
      <w:tr>
        <w:trPr>
          <w:cantSplit/>
        </w:trPr>
        <w:tc>
          <w:tcPr>
            <w:tcW w:w="567" w:type="dxa"/>
          </w:tcPr>
          <w:p>
            <w:pPr>
              <w:pStyle w:val="yTableNAm"/>
              <w:rPr>
                <w:sz w:val="16"/>
                <w:szCs w:val="16"/>
              </w:rPr>
            </w:pPr>
            <w:r>
              <w:rPr>
                <w:sz w:val="16"/>
                <w:szCs w:val="16"/>
              </w:rPr>
              <w:t>Z.59</w:t>
            </w:r>
          </w:p>
        </w:tc>
        <w:tc>
          <w:tcPr>
            <w:tcW w:w="709" w:type="dxa"/>
          </w:tcPr>
          <w:p>
            <w:pPr>
              <w:pStyle w:val="yTableNAm"/>
              <w:rPr>
                <w:sz w:val="16"/>
                <w:szCs w:val="16"/>
              </w:rPr>
            </w:pPr>
            <w:r>
              <w:rPr>
                <w:sz w:val="16"/>
                <w:szCs w:val="16"/>
              </w:rPr>
              <w:t>66</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48.4496</w:t>
            </w:r>
          </w:p>
        </w:tc>
        <w:tc>
          <w:tcPr>
            <w:tcW w:w="1512" w:type="dxa"/>
          </w:tcPr>
          <w:p>
            <w:pPr>
              <w:pStyle w:val="yTableNAm"/>
              <w:rPr>
                <w:sz w:val="16"/>
                <w:szCs w:val="16"/>
              </w:rPr>
            </w:pPr>
            <w:r>
              <w:rPr>
                <w:sz w:val="16"/>
                <w:szCs w:val="16"/>
              </w:rPr>
              <w:t>49.4980</w:t>
            </w:r>
          </w:p>
        </w:tc>
        <w:tc>
          <w:tcPr>
            <w:tcW w:w="1370" w:type="dxa"/>
          </w:tcPr>
          <w:p>
            <w:pPr>
              <w:pStyle w:val="yTableNAm"/>
              <w:rPr>
                <w:sz w:val="16"/>
                <w:szCs w:val="16"/>
              </w:rPr>
            </w:pPr>
            <w:r>
              <w:rPr>
                <w:sz w:val="16"/>
                <w:szCs w:val="16"/>
              </w:rPr>
              <w:t>52.6881</w:t>
            </w:r>
          </w:p>
        </w:tc>
      </w:tr>
      <w:tr>
        <w:trPr>
          <w:cantSplit/>
        </w:trPr>
        <w:tc>
          <w:tcPr>
            <w:tcW w:w="567" w:type="dxa"/>
          </w:tcPr>
          <w:p>
            <w:pPr>
              <w:pStyle w:val="yTableNAm"/>
              <w:rPr>
                <w:sz w:val="16"/>
                <w:szCs w:val="16"/>
              </w:rPr>
            </w:pPr>
            <w:r>
              <w:rPr>
                <w:sz w:val="16"/>
                <w:szCs w:val="16"/>
              </w:rPr>
              <w:t>Z.60</w:t>
            </w:r>
          </w:p>
        </w:tc>
        <w:tc>
          <w:tcPr>
            <w:tcW w:w="709" w:type="dxa"/>
          </w:tcPr>
          <w:p>
            <w:pPr>
              <w:pStyle w:val="yTableNAm"/>
              <w:rPr>
                <w:sz w:val="16"/>
                <w:szCs w:val="16"/>
              </w:rPr>
            </w:pPr>
            <w:r>
              <w:rPr>
                <w:sz w:val="16"/>
                <w:szCs w:val="16"/>
              </w:rPr>
              <w:t>132</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60.2062</w:t>
            </w:r>
          </w:p>
        </w:tc>
        <w:tc>
          <w:tcPr>
            <w:tcW w:w="1512" w:type="dxa"/>
          </w:tcPr>
          <w:p>
            <w:pPr>
              <w:pStyle w:val="yTableNAm"/>
              <w:rPr>
                <w:sz w:val="16"/>
                <w:szCs w:val="16"/>
              </w:rPr>
            </w:pPr>
            <w:r>
              <w:rPr>
                <w:sz w:val="16"/>
                <w:szCs w:val="16"/>
              </w:rPr>
              <w:t>62.7253</w:t>
            </w:r>
          </w:p>
        </w:tc>
        <w:tc>
          <w:tcPr>
            <w:tcW w:w="1370" w:type="dxa"/>
          </w:tcPr>
          <w:p>
            <w:pPr>
              <w:pStyle w:val="yTableNAm"/>
              <w:rPr>
                <w:sz w:val="16"/>
                <w:szCs w:val="16"/>
              </w:rPr>
            </w:pPr>
            <w:r>
              <w:rPr>
                <w:sz w:val="16"/>
                <w:szCs w:val="16"/>
              </w:rPr>
              <w:t>73.8838</w:t>
            </w:r>
          </w:p>
        </w:tc>
      </w:tr>
      <w:tr>
        <w:trPr>
          <w:cantSplit/>
        </w:trPr>
        <w:tc>
          <w:tcPr>
            <w:tcW w:w="567" w:type="dxa"/>
          </w:tcPr>
          <w:p>
            <w:pPr>
              <w:pStyle w:val="yTableNAm"/>
              <w:rPr>
                <w:sz w:val="16"/>
                <w:szCs w:val="16"/>
              </w:rPr>
            </w:pPr>
            <w:r>
              <w:rPr>
                <w:sz w:val="16"/>
                <w:szCs w:val="16"/>
              </w:rPr>
              <w:t>Z.61</w:t>
            </w:r>
          </w:p>
        </w:tc>
        <w:tc>
          <w:tcPr>
            <w:tcW w:w="709" w:type="dxa"/>
          </w:tcPr>
          <w:p>
            <w:pPr>
              <w:pStyle w:val="yTableNAm"/>
              <w:rPr>
                <w:sz w:val="16"/>
                <w:szCs w:val="16"/>
              </w:rPr>
            </w:pPr>
            <w:r>
              <w:rPr>
                <w:sz w:val="16"/>
                <w:szCs w:val="16"/>
              </w:rPr>
              <w:t>198</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63.0392</w:t>
            </w:r>
          </w:p>
        </w:tc>
        <w:tc>
          <w:tcPr>
            <w:tcW w:w="1512" w:type="dxa"/>
          </w:tcPr>
          <w:p>
            <w:pPr>
              <w:pStyle w:val="yTableNAm"/>
              <w:rPr>
                <w:sz w:val="16"/>
                <w:szCs w:val="16"/>
              </w:rPr>
            </w:pPr>
            <w:r>
              <w:rPr>
                <w:sz w:val="16"/>
                <w:szCs w:val="16"/>
              </w:rPr>
              <w:t>66.5599</w:t>
            </w:r>
          </w:p>
        </w:tc>
        <w:tc>
          <w:tcPr>
            <w:tcW w:w="1370" w:type="dxa"/>
          </w:tcPr>
          <w:p>
            <w:pPr>
              <w:pStyle w:val="yTableNAm"/>
              <w:rPr>
                <w:sz w:val="16"/>
                <w:szCs w:val="16"/>
              </w:rPr>
            </w:pPr>
            <w:r>
              <w:rPr>
                <w:sz w:val="16"/>
                <w:szCs w:val="16"/>
              </w:rPr>
              <w:t>82.0078</w:t>
            </w:r>
          </w:p>
        </w:tc>
      </w:tr>
      <w:tr>
        <w:trPr>
          <w:cantSplit/>
        </w:trPr>
        <w:tc>
          <w:tcPr>
            <w:tcW w:w="567" w:type="dxa"/>
          </w:tcPr>
          <w:p>
            <w:pPr>
              <w:pStyle w:val="yTableNAm"/>
              <w:rPr>
                <w:sz w:val="16"/>
                <w:szCs w:val="16"/>
              </w:rPr>
            </w:pPr>
            <w:r>
              <w:rPr>
                <w:sz w:val="16"/>
                <w:szCs w:val="16"/>
              </w:rPr>
              <w:t>Z.62</w:t>
            </w:r>
          </w:p>
        </w:tc>
        <w:tc>
          <w:tcPr>
            <w:tcW w:w="709" w:type="dxa"/>
          </w:tcPr>
          <w:p>
            <w:pPr>
              <w:pStyle w:val="yTableNAm"/>
              <w:rPr>
                <w:sz w:val="16"/>
                <w:szCs w:val="16"/>
              </w:rPr>
            </w:pPr>
            <w:r>
              <w:rPr>
                <w:sz w:val="16"/>
                <w:szCs w:val="16"/>
              </w:rPr>
              <w:t>25</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45.8728</w:t>
            </w:r>
          </w:p>
        </w:tc>
        <w:tc>
          <w:tcPr>
            <w:tcW w:w="1512" w:type="dxa"/>
          </w:tcPr>
          <w:p>
            <w:pPr>
              <w:pStyle w:val="yTableNAm"/>
              <w:rPr>
                <w:sz w:val="16"/>
                <w:szCs w:val="16"/>
              </w:rPr>
            </w:pPr>
            <w:r>
              <w:rPr>
                <w:sz w:val="16"/>
                <w:szCs w:val="16"/>
              </w:rPr>
              <w:t>46.2974</w:t>
            </w:r>
          </w:p>
        </w:tc>
        <w:tc>
          <w:tcPr>
            <w:tcW w:w="1370" w:type="dxa"/>
          </w:tcPr>
          <w:p>
            <w:pPr>
              <w:pStyle w:val="yTableNAm"/>
              <w:rPr>
                <w:sz w:val="16"/>
                <w:szCs w:val="16"/>
              </w:rPr>
            </w:pPr>
            <w:r>
              <w:rPr>
                <w:sz w:val="16"/>
                <w:szCs w:val="16"/>
              </w:rPr>
              <w:t>47.1214</w:t>
            </w:r>
          </w:p>
        </w:tc>
      </w:tr>
      <w:tr>
        <w:trPr>
          <w:cantSplit/>
        </w:trPr>
        <w:tc>
          <w:tcPr>
            <w:tcW w:w="567" w:type="dxa"/>
          </w:tcPr>
          <w:p>
            <w:pPr>
              <w:pStyle w:val="yTableNAm"/>
              <w:rPr>
                <w:sz w:val="16"/>
                <w:szCs w:val="16"/>
              </w:rPr>
            </w:pPr>
            <w:r>
              <w:rPr>
                <w:sz w:val="16"/>
                <w:szCs w:val="16"/>
              </w:rPr>
              <w:t>Z.63</w:t>
            </w:r>
          </w:p>
        </w:tc>
        <w:tc>
          <w:tcPr>
            <w:tcW w:w="709" w:type="dxa"/>
          </w:tcPr>
          <w:p>
            <w:pPr>
              <w:pStyle w:val="yTableNAm"/>
              <w:rPr>
                <w:sz w:val="16"/>
                <w:szCs w:val="16"/>
              </w:rPr>
            </w:pPr>
            <w:r>
              <w:rPr>
                <w:sz w:val="16"/>
                <w:szCs w:val="16"/>
              </w:rPr>
              <w:t>120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56.2409</w:t>
            </w:r>
          </w:p>
        </w:tc>
        <w:tc>
          <w:tcPr>
            <w:tcW w:w="1512" w:type="dxa"/>
          </w:tcPr>
          <w:p>
            <w:pPr>
              <w:pStyle w:val="yTableNAm"/>
              <w:rPr>
                <w:sz w:val="16"/>
                <w:szCs w:val="16"/>
              </w:rPr>
            </w:pPr>
            <w:r>
              <w:rPr>
                <w:sz w:val="16"/>
                <w:szCs w:val="16"/>
              </w:rPr>
              <w:t>57.8225</w:t>
            </w:r>
          </w:p>
        </w:tc>
        <w:tc>
          <w:tcPr>
            <w:tcW w:w="1370" w:type="dxa"/>
          </w:tcPr>
          <w:p>
            <w:pPr>
              <w:pStyle w:val="yTableNAm"/>
              <w:rPr>
                <w:sz w:val="16"/>
                <w:szCs w:val="16"/>
              </w:rPr>
            </w:pPr>
            <w:r>
              <w:rPr>
                <w:sz w:val="16"/>
                <w:szCs w:val="16"/>
              </w:rPr>
              <w:t>65.1331</w:t>
            </w:r>
          </w:p>
        </w:tc>
      </w:tr>
      <w:tr>
        <w:trPr>
          <w:cantSplit/>
        </w:trPr>
        <w:tc>
          <w:tcPr>
            <w:tcW w:w="567" w:type="dxa"/>
          </w:tcPr>
          <w:p>
            <w:pPr>
              <w:pStyle w:val="yTableNAm"/>
              <w:rPr>
                <w:sz w:val="16"/>
                <w:szCs w:val="16"/>
              </w:rPr>
            </w:pPr>
            <w:r>
              <w:rPr>
                <w:sz w:val="16"/>
                <w:szCs w:val="16"/>
              </w:rPr>
              <w:t>Z.64</w:t>
            </w:r>
          </w:p>
        </w:tc>
        <w:tc>
          <w:tcPr>
            <w:tcW w:w="709" w:type="dxa"/>
          </w:tcPr>
          <w:p>
            <w:pPr>
              <w:pStyle w:val="yTableNAm"/>
              <w:rPr>
                <w:sz w:val="16"/>
                <w:szCs w:val="16"/>
              </w:rPr>
            </w:pPr>
            <w:r>
              <w:rPr>
                <w:sz w:val="16"/>
                <w:szCs w:val="16"/>
              </w:rPr>
              <w:t>180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62.9170</w:t>
            </w:r>
          </w:p>
        </w:tc>
        <w:tc>
          <w:tcPr>
            <w:tcW w:w="1512" w:type="dxa"/>
          </w:tcPr>
          <w:p>
            <w:pPr>
              <w:pStyle w:val="yTableNAm"/>
              <w:rPr>
                <w:sz w:val="16"/>
                <w:szCs w:val="16"/>
              </w:rPr>
            </w:pPr>
            <w:r>
              <w:rPr>
                <w:sz w:val="16"/>
                <w:szCs w:val="16"/>
              </w:rPr>
              <w:t>66.4060</w:t>
            </w:r>
          </w:p>
        </w:tc>
        <w:tc>
          <w:tcPr>
            <w:tcW w:w="1370" w:type="dxa"/>
          </w:tcPr>
          <w:p>
            <w:pPr>
              <w:pStyle w:val="yTableNAm"/>
              <w:rPr>
                <w:sz w:val="16"/>
                <w:szCs w:val="16"/>
              </w:rPr>
            </w:pPr>
            <w:r>
              <w:rPr>
                <w:sz w:val="16"/>
                <w:szCs w:val="16"/>
              </w:rPr>
              <w:t>81.7158</w:t>
            </w:r>
          </w:p>
        </w:tc>
      </w:tr>
      <w:tr>
        <w:trPr>
          <w:cantSplit/>
        </w:trPr>
        <w:tc>
          <w:tcPr>
            <w:tcW w:w="567" w:type="dxa"/>
          </w:tcPr>
          <w:p>
            <w:pPr>
              <w:pStyle w:val="yTableNAm"/>
              <w:rPr>
                <w:sz w:val="16"/>
                <w:szCs w:val="16"/>
              </w:rPr>
            </w:pPr>
            <w:r>
              <w:rPr>
                <w:sz w:val="16"/>
                <w:szCs w:val="16"/>
              </w:rPr>
              <w:t>Z.65</w:t>
            </w:r>
          </w:p>
        </w:tc>
        <w:tc>
          <w:tcPr>
            <w:tcW w:w="709" w:type="dxa"/>
          </w:tcPr>
          <w:p>
            <w:pPr>
              <w:pStyle w:val="yTableNAm"/>
              <w:rPr>
                <w:sz w:val="16"/>
                <w:szCs w:val="16"/>
              </w:rPr>
            </w:pPr>
            <w:r>
              <w:rPr>
                <w:sz w:val="16"/>
                <w:szCs w:val="16"/>
              </w:rPr>
              <w:t>18</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45.0598</w:t>
            </w:r>
          </w:p>
        </w:tc>
        <w:tc>
          <w:tcPr>
            <w:tcW w:w="1512" w:type="dxa"/>
          </w:tcPr>
          <w:p>
            <w:pPr>
              <w:pStyle w:val="yTableNAm"/>
              <w:rPr>
                <w:sz w:val="16"/>
                <w:szCs w:val="16"/>
              </w:rPr>
            </w:pPr>
            <w:r>
              <w:rPr>
                <w:sz w:val="16"/>
                <w:szCs w:val="16"/>
              </w:rPr>
              <w:t>45.2992</w:t>
            </w:r>
          </w:p>
        </w:tc>
        <w:tc>
          <w:tcPr>
            <w:tcW w:w="1370" w:type="dxa"/>
          </w:tcPr>
          <w:p>
            <w:pPr>
              <w:pStyle w:val="yTableNAm"/>
              <w:rPr>
                <w:sz w:val="16"/>
                <w:szCs w:val="16"/>
              </w:rPr>
            </w:pPr>
            <w:r>
              <w:rPr>
                <w:sz w:val="16"/>
                <w:szCs w:val="16"/>
              </w:rPr>
              <w:t>45.4441</w:t>
            </w:r>
          </w:p>
        </w:tc>
      </w:tr>
      <w:tr>
        <w:trPr>
          <w:cantSplit/>
        </w:trPr>
        <w:tc>
          <w:tcPr>
            <w:tcW w:w="567" w:type="dxa"/>
          </w:tcPr>
          <w:p>
            <w:pPr>
              <w:pStyle w:val="yTableNAm"/>
              <w:rPr>
                <w:sz w:val="16"/>
                <w:szCs w:val="16"/>
              </w:rPr>
            </w:pPr>
            <w:r>
              <w:rPr>
                <w:sz w:val="16"/>
                <w:szCs w:val="16"/>
              </w:rPr>
              <w:t>Z.66</w:t>
            </w:r>
          </w:p>
        </w:tc>
        <w:tc>
          <w:tcPr>
            <w:tcW w:w="709" w:type="dxa"/>
          </w:tcPr>
          <w:p>
            <w:pPr>
              <w:pStyle w:val="yTableNAm"/>
              <w:rPr>
                <w:sz w:val="16"/>
                <w:szCs w:val="16"/>
              </w:rPr>
            </w:pPr>
            <w:r>
              <w:rPr>
                <w:sz w:val="16"/>
                <w:szCs w:val="16"/>
              </w:rPr>
              <w:t>20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45.1934</w:t>
            </w:r>
          </w:p>
        </w:tc>
        <w:tc>
          <w:tcPr>
            <w:tcW w:w="1512" w:type="dxa"/>
          </w:tcPr>
          <w:p>
            <w:pPr>
              <w:pStyle w:val="yTableNAm"/>
              <w:rPr>
                <w:sz w:val="16"/>
                <w:szCs w:val="16"/>
              </w:rPr>
            </w:pPr>
            <w:r>
              <w:rPr>
                <w:sz w:val="16"/>
                <w:szCs w:val="16"/>
              </w:rPr>
              <w:t>45.4633</w:t>
            </w:r>
          </w:p>
        </w:tc>
        <w:tc>
          <w:tcPr>
            <w:tcW w:w="1370" w:type="dxa"/>
          </w:tcPr>
          <w:p>
            <w:pPr>
              <w:pStyle w:val="yTableNAm"/>
              <w:rPr>
                <w:sz w:val="16"/>
                <w:szCs w:val="16"/>
              </w:rPr>
            </w:pPr>
            <w:r>
              <w:rPr>
                <w:sz w:val="16"/>
                <w:szCs w:val="16"/>
              </w:rPr>
              <w:t>45.7198</w:t>
            </w:r>
          </w:p>
        </w:tc>
      </w:tr>
      <w:tr>
        <w:trPr>
          <w:cantSplit/>
        </w:trPr>
        <w:tc>
          <w:tcPr>
            <w:tcW w:w="567" w:type="dxa"/>
          </w:tcPr>
          <w:p>
            <w:pPr>
              <w:pStyle w:val="yTableNAm"/>
              <w:rPr>
                <w:sz w:val="16"/>
                <w:szCs w:val="16"/>
              </w:rPr>
            </w:pPr>
            <w:r>
              <w:rPr>
                <w:sz w:val="16"/>
                <w:szCs w:val="16"/>
              </w:rPr>
              <w:t>Z.67</w:t>
            </w:r>
          </w:p>
        </w:tc>
        <w:tc>
          <w:tcPr>
            <w:tcW w:w="709" w:type="dxa"/>
          </w:tcPr>
          <w:p>
            <w:pPr>
              <w:pStyle w:val="yTableNAm"/>
              <w:rPr>
                <w:sz w:val="16"/>
                <w:szCs w:val="16"/>
              </w:rPr>
            </w:pPr>
            <w:r>
              <w:rPr>
                <w:sz w:val="16"/>
                <w:szCs w:val="16"/>
              </w:rPr>
              <w:t>53</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48.0216</w:t>
            </w:r>
          </w:p>
        </w:tc>
        <w:tc>
          <w:tcPr>
            <w:tcW w:w="1512" w:type="dxa"/>
          </w:tcPr>
          <w:p>
            <w:pPr>
              <w:pStyle w:val="yTableNAm"/>
              <w:rPr>
                <w:sz w:val="16"/>
                <w:szCs w:val="16"/>
              </w:rPr>
            </w:pPr>
            <w:r>
              <w:rPr>
                <w:sz w:val="16"/>
                <w:szCs w:val="16"/>
              </w:rPr>
              <w:t>48.9679</w:t>
            </w:r>
          </w:p>
        </w:tc>
        <w:tc>
          <w:tcPr>
            <w:tcW w:w="1370" w:type="dxa"/>
          </w:tcPr>
          <w:p>
            <w:pPr>
              <w:pStyle w:val="yTableNAm"/>
              <w:rPr>
                <w:sz w:val="16"/>
                <w:szCs w:val="16"/>
              </w:rPr>
            </w:pPr>
            <w:r>
              <w:rPr>
                <w:sz w:val="16"/>
                <w:szCs w:val="16"/>
              </w:rPr>
              <w:t>51.7685</w:t>
            </w:r>
          </w:p>
        </w:tc>
      </w:tr>
      <w:tr>
        <w:trPr>
          <w:cantSplit/>
        </w:trPr>
        <w:tc>
          <w:tcPr>
            <w:tcW w:w="567" w:type="dxa"/>
          </w:tcPr>
          <w:p>
            <w:pPr>
              <w:pStyle w:val="yTableNAm"/>
              <w:rPr>
                <w:sz w:val="16"/>
                <w:szCs w:val="16"/>
              </w:rPr>
            </w:pPr>
            <w:r>
              <w:rPr>
                <w:sz w:val="16"/>
                <w:szCs w:val="16"/>
              </w:rPr>
              <w:t>Z.68</w:t>
            </w:r>
          </w:p>
        </w:tc>
        <w:tc>
          <w:tcPr>
            <w:tcW w:w="709" w:type="dxa"/>
          </w:tcPr>
          <w:p>
            <w:pPr>
              <w:pStyle w:val="yTableNAm"/>
              <w:rPr>
                <w:sz w:val="16"/>
                <w:szCs w:val="16"/>
              </w:rPr>
            </w:pPr>
            <w:r>
              <w:rPr>
                <w:sz w:val="16"/>
                <w:szCs w:val="16"/>
              </w:rPr>
              <w:t>80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48.9586</w:t>
            </w:r>
          </w:p>
        </w:tc>
        <w:tc>
          <w:tcPr>
            <w:tcW w:w="1512" w:type="dxa"/>
          </w:tcPr>
          <w:p>
            <w:pPr>
              <w:pStyle w:val="yTableNAm"/>
              <w:rPr>
                <w:sz w:val="16"/>
                <w:szCs w:val="16"/>
              </w:rPr>
            </w:pPr>
            <w:r>
              <w:rPr>
                <w:sz w:val="16"/>
                <w:szCs w:val="16"/>
              </w:rPr>
              <w:t>50.1283</w:t>
            </w:r>
          </w:p>
        </w:tc>
        <w:tc>
          <w:tcPr>
            <w:tcW w:w="1370" w:type="dxa"/>
          </w:tcPr>
          <w:p>
            <w:pPr>
              <w:pStyle w:val="yTableNAm"/>
              <w:rPr>
                <w:sz w:val="16"/>
                <w:szCs w:val="16"/>
              </w:rPr>
            </w:pPr>
            <w:r>
              <w:rPr>
                <w:sz w:val="16"/>
                <w:szCs w:val="16"/>
              </w:rPr>
              <w:t>53.7816</w:t>
            </w:r>
          </w:p>
        </w:tc>
      </w:tr>
      <w:tr>
        <w:trPr>
          <w:cantSplit/>
        </w:trPr>
        <w:tc>
          <w:tcPr>
            <w:tcW w:w="567" w:type="dxa"/>
          </w:tcPr>
          <w:p>
            <w:pPr>
              <w:pStyle w:val="yTableNAm"/>
              <w:rPr>
                <w:sz w:val="16"/>
                <w:szCs w:val="16"/>
              </w:rPr>
            </w:pPr>
            <w:r>
              <w:rPr>
                <w:sz w:val="16"/>
                <w:szCs w:val="16"/>
              </w:rPr>
              <w:t>Z.69</w:t>
            </w:r>
          </w:p>
        </w:tc>
        <w:tc>
          <w:tcPr>
            <w:tcW w:w="709" w:type="dxa"/>
          </w:tcPr>
          <w:p>
            <w:pPr>
              <w:pStyle w:val="yTableNAm"/>
              <w:rPr>
                <w:sz w:val="16"/>
                <w:szCs w:val="16"/>
              </w:rPr>
            </w:pPr>
            <w:r>
              <w:rPr>
                <w:sz w:val="16"/>
                <w:szCs w:val="16"/>
              </w:rPr>
              <w:t>160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57.7915</w:t>
            </w:r>
          </w:p>
        </w:tc>
        <w:tc>
          <w:tcPr>
            <w:tcW w:w="1512" w:type="dxa"/>
          </w:tcPr>
          <w:p>
            <w:pPr>
              <w:pStyle w:val="yTableNAm"/>
              <w:rPr>
                <w:sz w:val="16"/>
                <w:szCs w:val="16"/>
              </w:rPr>
            </w:pPr>
            <w:r>
              <w:rPr>
                <w:sz w:val="16"/>
                <w:szCs w:val="16"/>
              </w:rPr>
              <w:t>59.7397</w:t>
            </w:r>
          </w:p>
        </w:tc>
        <w:tc>
          <w:tcPr>
            <w:tcW w:w="1370" w:type="dxa"/>
          </w:tcPr>
          <w:p>
            <w:pPr>
              <w:pStyle w:val="yTableNAm"/>
              <w:rPr>
                <w:sz w:val="16"/>
                <w:szCs w:val="16"/>
              </w:rPr>
            </w:pPr>
            <w:r>
              <w:rPr>
                <w:sz w:val="16"/>
                <w:szCs w:val="16"/>
              </w:rPr>
              <w:t>68.5551</w:t>
            </w:r>
          </w:p>
        </w:tc>
      </w:tr>
      <w:tr>
        <w:trPr>
          <w:cantSplit/>
        </w:trPr>
        <w:tc>
          <w:tcPr>
            <w:tcW w:w="6804" w:type="dxa"/>
            <w:gridSpan w:val="8"/>
          </w:tcPr>
          <w:p>
            <w:pPr>
              <w:pStyle w:val="yTableNAm"/>
              <w:keepNext/>
            </w:pPr>
            <w:r>
              <w:rPr>
                <w:b/>
                <w:i/>
                <w:iCs/>
                <w:sz w:val="16"/>
                <w:szCs w:val="16"/>
              </w:rPr>
              <w:t>Street lighting for existing services only</w:t>
            </w:r>
          </w:p>
        </w:tc>
      </w:tr>
      <w:tr>
        <w:trPr>
          <w:cantSplit/>
        </w:trPr>
        <w:tc>
          <w:tcPr>
            <w:tcW w:w="567" w:type="dxa"/>
          </w:tcPr>
          <w:p>
            <w:pPr>
              <w:pStyle w:val="yTableNAm"/>
              <w:keepNext/>
            </w:pPr>
            <w:r>
              <w:rPr>
                <w:sz w:val="16"/>
                <w:szCs w:val="16"/>
              </w:rPr>
              <w:t>Z.52</w:t>
            </w:r>
          </w:p>
        </w:tc>
        <w:tc>
          <w:tcPr>
            <w:tcW w:w="851" w:type="dxa"/>
            <w:gridSpan w:val="2"/>
          </w:tcPr>
          <w:p>
            <w:pPr>
              <w:pStyle w:val="yTableNAm"/>
              <w:keepNext/>
            </w:pPr>
            <w:r>
              <w:rPr>
                <w:sz w:val="16"/>
                <w:szCs w:val="16"/>
              </w:rPr>
              <w:t>100</w:t>
            </w:r>
          </w:p>
        </w:tc>
        <w:tc>
          <w:tcPr>
            <w:tcW w:w="1134" w:type="dxa"/>
            <w:gridSpan w:val="2"/>
          </w:tcPr>
          <w:p>
            <w:pPr>
              <w:pStyle w:val="yTableNAm"/>
              <w:keepNext/>
            </w:pPr>
            <w:r>
              <w:rPr>
                <w:sz w:val="16"/>
                <w:szCs w:val="16"/>
              </w:rPr>
              <w:t>Incandescent</w:t>
            </w:r>
          </w:p>
        </w:tc>
        <w:tc>
          <w:tcPr>
            <w:tcW w:w="1370" w:type="dxa"/>
          </w:tcPr>
          <w:p>
            <w:pPr>
              <w:pStyle w:val="yTableNAm"/>
              <w:keepNext/>
              <w:rPr>
                <w:sz w:val="16"/>
                <w:szCs w:val="16"/>
              </w:rPr>
            </w:pPr>
            <w:r>
              <w:rPr>
                <w:sz w:val="16"/>
                <w:szCs w:val="16"/>
              </w:rPr>
              <w:t>34.9771</w:t>
            </w:r>
          </w:p>
        </w:tc>
        <w:tc>
          <w:tcPr>
            <w:tcW w:w="1512" w:type="dxa"/>
          </w:tcPr>
          <w:p>
            <w:pPr>
              <w:pStyle w:val="yTableNAm"/>
              <w:keepNext/>
              <w:rPr>
                <w:sz w:val="16"/>
                <w:szCs w:val="16"/>
              </w:rPr>
            </w:pPr>
            <w:r>
              <w:rPr>
                <w:sz w:val="16"/>
                <w:szCs w:val="16"/>
              </w:rPr>
              <w:t>36.4334</w:t>
            </w:r>
          </w:p>
        </w:tc>
        <w:tc>
          <w:tcPr>
            <w:tcW w:w="1370" w:type="dxa"/>
          </w:tcPr>
          <w:p>
            <w:pPr>
              <w:pStyle w:val="yTableNAm"/>
              <w:keepNext/>
              <w:rPr>
                <w:sz w:val="16"/>
                <w:szCs w:val="16"/>
              </w:rPr>
            </w:pPr>
            <w:r>
              <w:rPr>
                <w:sz w:val="16"/>
                <w:szCs w:val="16"/>
              </w:rPr>
              <w:t>40.5008</w:t>
            </w:r>
          </w:p>
        </w:tc>
      </w:tr>
      <w:tr>
        <w:trPr>
          <w:cantSplit/>
        </w:trPr>
        <w:tc>
          <w:tcPr>
            <w:tcW w:w="567" w:type="dxa"/>
            <w:tcBorders>
              <w:bottom w:val="single" w:sz="4" w:space="0" w:color="auto"/>
            </w:tcBorders>
          </w:tcPr>
          <w:p>
            <w:pPr>
              <w:pStyle w:val="yTableNAm"/>
            </w:pPr>
            <w:r>
              <w:rPr>
                <w:sz w:val="16"/>
                <w:szCs w:val="16"/>
              </w:rPr>
              <w:t>Z.56</w:t>
            </w:r>
          </w:p>
        </w:tc>
        <w:tc>
          <w:tcPr>
            <w:tcW w:w="851" w:type="dxa"/>
            <w:gridSpan w:val="2"/>
            <w:tcBorders>
              <w:bottom w:val="single" w:sz="4" w:space="0" w:color="auto"/>
            </w:tcBorders>
          </w:tcPr>
          <w:p>
            <w:pPr>
              <w:pStyle w:val="yTableNAm"/>
            </w:pPr>
            <w:r>
              <w:rPr>
                <w:sz w:val="16"/>
                <w:szCs w:val="16"/>
              </w:rPr>
              <w:t>40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rPr>
                <w:sz w:val="16"/>
                <w:szCs w:val="16"/>
              </w:rPr>
            </w:pPr>
            <w:r>
              <w:rPr>
                <w:sz w:val="16"/>
                <w:szCs w:val="16"/>
              </w:rPr>
              <w:t>45.7632</w:t>
            </w:r>
          </w:p>
        </w:tc>
        <w:tc>
          <w:tcPr>
            <w:tcW w:w="1512" w:type="dxa"/>
            <w:tcBorders>
              <w:bottom w:val="single" w:sz="4" w:space="0" w:color="auto"/>
            </w:tcBorders>
          </w:tcPr>
          <w:p>
            <w:pPr>
              <w:pStyle w:val="yTableNAm"/>
              <w:rPr>
                <w:sz w:val="16"/>
                <w:szCs w:val="16"/>
              </w:rPr>
            </w:pPr>
            <w:r>
              <w:rPr>
                <w:sz w:val="16"/>
                <w:szCs w:val="16"/>
              </w:rPr>
              <w:t>46.4627</w:t>
            </w:r>
          </w:p>
        </w:tc>
        <w:tc>
          <w:tcPr>
            <w:tcW w:w="1370" w:type="dxa"/>
            <w:tcBorders>
              <w:bottom w:val="single" w:sz="4" w:space="0" w:color="auto"/>
            </w:tcBorders>
          </w:tcPr>
          <w:p>
            <w:pPr>
              <w:pStyle w:val="yTableNAm"/>
              <w:rPr>
                <w:sz w:val="16"/>
                <w:szCs w:val="16"/>
              </w:rPr>
            </w:pPr>
            <w:r>
              <w:rPr>
                <w:sz w:val="16"/>
                <w:szCs w:val="16"/>
              </w:rPr>
              <w:t>49.0458</w:t>
            </w:r>
          </w:p>
        </w:tc>
      </w:tr>
    </w:tbl>
    <w:p>
      <w:pPr>
        <w:pStyle w:val="yFootnotesection"/>
      </w:pPr>
      <w:r>
        <w:tab/>
        <w:t>[Division 1 inserted: SL 2020/78 bl. 4.]</w:t>
      </w:r>
    </w:p>
    <w:p>
      <w:pPr>
        <w:pStyle w:val="yHeading3"/>
      </w:pPr>
      <w:bookmarkStart w:id="39" w:name="_Toc43215528"/>
      <w:bookmarkStart w:id="40" w:name="_Toc43391240"/>
      <w:bookmarkStart w:id="41" w:name="_Toc43392179"/>
      <w:r>
        <w:rPr>
          <w:rStyle w:val="CharSDivNo"/>
        </w:rPr>
        <w:t>Division 2</w:t>
      </w:r>
      <w:r>
        <w:t> — </w:t>
      </w:r>
      <w:r>
        <w:rPr>
          <w:rStyle w:val="CharSDivText"/>
        </w:rPr>
        <w:t>Miscellaneous</w:t>
      </w:r>
      <w:bookmarkEnd w:id="39"/>
      <w:bookmarkEnd w:id="40"/>
      <w:bookmarkEnd w:id="41"/>
    </w:p>
    <w:p>
      <w:pPr>
        <w:pStyle w:val="yFootnoteheading"/>
      </w:pPr>
      <w:r>
        <w:tab/>
        <w:t>[Heading inserted: SL 2020/78 bl. 4.]</w:t>
      </w:r>
    </w:p>
    <w:p>
      <w:pPr>
        <w:pStyle w:val="yHeading5"/>
      </w:pPr>
      <w:bookmarkStart w:id="42" w:name="_Toc43392180"/>
      <w:r>
        <w:rPr>
          <w:rStyle w:val="CharSClsNo"/>
        </w:rPr>
        <w:t>1</w:t>
      </w:r>
      <w:r>
        <w:t>.</w:t>
      </w:r>
      <w:r>
        <w:tab/>
        <w:t>Traffic light installation</w:t>
      </w:r>
      <w:bookmarkEnd w:id="42"/>
    </w:p>
    <w:p>
      <w:pPr>
        <w:pStyle w:val="ySubsection"/>
      </w:pPr>
      <w:r>
        <w:tab/>
      </w:r>
      <w:r>
        <w:tab/>
        <w:t xml:space="preserve">Supply of electricity to traffic light installations comprises a charge of </w:t>
      </w:r>
      <w:r>
        <w:rPr>
          <w:szCs w:val="22"/>
        </w:rPr>
        <w:t xml:space="preserve">$7.6365 </w:t>
      </w:r>
      <w:r>
        <w:t>per day per kW of installed wattage.</w:t>
      </w:r>
    </w:p>
    <w:p>
      <w:pPr>
        <w:pStyle w:val="yFootnotesection"/>
      </w:pPr>
      <w:r>
        <w:tab/>
        <w:t>[Clause 1 inserted: SL 2020/78 bl. 4.]</w:t>
      </w:r>
    </w:p>
    <w:p>
      <w:pPr>
        <w:pStyle w:val="yHeading5"/>
      </w:pPr>
      <w:bookmarkStart w:id="43" w:name="_Toc43392181"/>
      <w:r>
        <w:rPr>
          <w:rStyle w:val="CharSClsNo"/>
        </w:rPr>
        <w:t>2</w:t>
      </w:r>
      <w:r>
        <w:t>.</w:t>
      </w:r>
      <w:r>
        <w:tab/>
        <w:t>Public telephone facility</w:t>
      </w:r>
      <w:bookmarkEnd w:id="43"/>
    </w:p>
    <w:p>
      <w:pPr>
        <w:pStyle w:val="ySubsection"/>
      </w:pPr>
      <w:r>
        <w:tab/>
      </w:r>
      <w:r>
        <w:tab/>
        <w:t>Supply of electricity to a standard public telephone facility where supply is not independently metered comprises a charge of 66.2364 cents per day.</w:t>
      </w:r>
    </w:p>
    <w:p>
      <w:pPr>
        <w:pStyle w:val="yFootnotesection"/>
      </w:pPr>
      <w:r>
        <w:tab/>
        <w:t>[Clause 2 inserted: SL 2020/78 bl. 4.]</w:t>
      </w:r>
    </w:p>
    <w:p>
      <w:pPr>
        <w:pStyle w:val="yHeading5"/>
      </w:pPr>
      <w:bookmarkStart w:id="44" w:name="_Toc43392182"/>
      <w:r>
        <w:rPr>
          <w:rStyle w:val="CharSClsNo"/>
        </w:rPr>
        <w:t>3</w:t>
      </w:r>
      <w:r>
        <w:t>.</w:t>
      </w:r>
      <w:r>
        <w:tab/>
        <w:t>Railway crossing</w:t>
      </w:r>
      <w:bookmarkEnd w:id="44"/>
    </w:p>
    <w:p>
      <w:pPr>
        <w:pStyle w:val="ySubsection"/>
      </w:pPr>
      <w:r>
        <w:tab/>
      </w:r>
      <w:r>
        <w:tab/>
        <w:t>Supply of electricity to standard railway crossing lights comprises a charge of 84.6457</w:t>
      </w:r>
      <w:r>
        <w:rPr>
          <w:szCs w:val="22"/>
        </w:rPr>
        <w:t xml:space="preserve"> </w:t>
      </w:r>
      <w:r>
        <w:t>cents per day.</w:t>
      </w:r>
    </w:p>
    <w:p>
      <w:pPr>
        <w:pStyle w:val="yFootnotesection"/>
      </w:pPr>
      <w:r>
        <w:tab/>
        <w:t>[Clause 3 inserted: SL 2020/78 bl. 4.]</w:t>
      </w:r>
    </w:p>
    <w:p>
      <w:pPr>
        <w:pStyle w:val="yScheduleHeading"/>
      </w:pPr>
      <w:bookmarkStart w:id="45" w:name="_Toc43215532"/>
      <w:bookmarkStart w:id="46" w:name="_Toc43391244"/>
      <w:bookmarkStart w:id="47" w:name="_Toc43392183"/>
      <w:r>
        <w:rPr>
          <w:rStyle w:val="CharSchNo"/>
        </w:rPr>
        <w:t>Schedule 3</w:t>
      </w:r>
      <w:r>
        <w:rPr>
          <w:rStyle w:val="CharSDivNo"/>
        </w:rPr>
        <w:t> </w:t>
      </w:r>
      <w:r>
        <w:t>—</w:t>
      </w:r>
      <w:r>
        <w:rPr>
          <w:rStyle w:val="CharSDivText"/>
        </w:rPr>
        <w:t> </w:t>
      </w:r>
      <w:r>
        <w:rPr>
          <w:rStyle w:val="CharSchText"/>
        </w:rPr>
        <w:t>Meter rentals</w:t>
      </w:r>
      <w:bookmarkEnd w:id="45"/>
      <w:bookmarkEnd w:id="46"/>
      <w:bookmarkEnd w:id="47"/>
    </w:p>
    <w:p>
      <w:pPr>
        <w:pStyle w:val="yShoulderClause"/>
      </w:pPr>
      <w:r>
        <w:t>[bl. 6(1)]</w:t>
      </w:r>
    </w:p>
    <w:p>
      <w:pPr>
        <w:pStyle w:val="yFootnoteheading"/>
      </w:pPr>
      <w:r>
        <w:tab/>
        <w:t>[Heading inserted: SL 2020/78 bl. 4.]</w:t>
      </w:r>
    </w:p>
    <w:p>
      <w:pPr>
        <w:pStyle w:val="ySubsection"/>
      </w:pPr>
      <w:r>
        <w:tab/>
      </w:r>
      <w:r>
        <w:tab/>
        <w:t>The rental payable in respect of a subsidiary meter is 16.60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w:t>
      </w:r>
    </w:p>
    <w:p>
      <w:pPr>
        <w:pStyle w:val="yScheduleHeading"/>
      </w:pPr>
      <w:bookmarkStart w:id="48" w:name="_Toc43215533"/>
      <w:bookmarkStart w:id="49" w:name="_Toc43391245"/>
      <w:bookmarkStart w:id="50" w:name="_Toc43392184"/>
      <w:r>
        <w:rPr>
          <w:rStyle w:val="CharSchNo"/>
        </w:rPr>
        <w:t>Schedule 4</w:t>
      </w:r>
      <w:r>
        <w:t> — </w:t>
      </w:r>
      <w:r>
        <w:rPr>
          <w:rStyle w:val="CharSchText"/>
        </w:rPr>
        <w:t>Fees</w:t>
      </w:r>
      <w:bookmarkEnd w:id="48"/>
      <w:bookmarkEnd w:id="49"/>
      <w:bookmarkEnd w:id="50"/>
    </w:p>
    <w:p>
      <w:pPr>
        <w:pStyle w:val="yShoulderClause"/>
      </w:pPr>
      <w:r>
        <w:t>[bl. 7]</w:t>
      </w:r>
    </w:p>
    <w:p>
      <w:pPr>
        <w:pStyle w:val="yFootnoteheading"/>
        <w:spacing w:after="120"/>
      </w:pPr>
      <w:r>
        <w:tab/>
        <w:t>[Heading inserted: SL 2020/78 bl. 4.]</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clear" w:pos="567"/>
                <w:tab w:val="right" w:leader="dot" w:pos="5160"/>
              </w:tabs>
              <w:ind w:right="-85"/>
            </w:pPr>
            <w:r>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pPr>
            <w:r>
              <w:rPr>
                <w:bCs/>
                <w:iCs/>
              </w:rPr>
              <w:t>$24.00</w:t>
            </w:r>
          </w:p>
        </w:tc>
      </w:tr>
      <w:tr>
        <w:trPr>
          <w:cantSplit/>
        </w:trPr>
        <w:tc>
          <w:tcPr>
            <w:tcW w:w="567" w:type="dxa"/>
          </w:tcPr>
          <w:p>
            <w:pPr>
              <w:pStyle w:val="yTableNAm"/>
            </w:pPr>
            <w:r>
              <w:t>2.</w:t>
            </w:r>
          </w:p>
        </w:tc>
        <w:tc>
          <w:tcPr>
            <w:tcW w:w="5245" w:type="dxa"/>
          </w:tcPr>
          <w:p>
            <w:pPr>
              <w:pStyle w:val="yTableNAm"/>
              <w:tabs>
                <w:tab w:val="clear" w:pos="567"/>
                <w:tab w:val="right" w:leader="dot" w:pos="5160"/>
              </w:tabs>
              <w:ind w:right="-85"/>
              <w:rPr>
                <w:b/>
                <w:iCs/>
              </w:rPr>
            </w:pPr>
            <w:r>
              <w:t xml:space="preserve">Three phase residential installation — new installation of three phase meter or replacement of single phase meter with three phase meter </w:t>
            </w:r>
            <w:r>
              <w:tab/>
            </w:r>
          </w:p>
        </w:tc>
        <w:tc>
          <w:tcPr>
            <w:tcW w:w="1276" w:type="dxa"/>
            <w:vAlign w:val="bottom"/>
          </w:tcPr>
          <w:p>
            <w:pPr>
              <w:pStyle w:val="yTableNAm"/>
            </w:pPr>
            <w:r>
              <w:t>$914.00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199"/>
                <w:tab w:val="left" w:pos="624"/>
                <w:tab w:val="right" w:leader="dot" w:pos="5160"/>
              </w:tabs>
              <w:ind w:left="624" w:right="-85" w:hanging="624"/>
            </w:pPr>
            <w:r>
              <w:tab/>
              <w:t>(a)</w:t>
            </w:r>
            <w:r>
              <w:tab/>
              <w:t xml:space="preserve">single phase (overhead) </w:t>
            </w:r>
            <w:r>
              <w:tab/>
            </w:r>
          </w:p>
          <w:p>
            <w:pPr>
              <w:pStyle w:val="yTableNAm"/>
              <w:tabs>
                <w:tab w:val="clear" w:pos="567"/>
                <w:tab w:val="left" w:pos="199"/>
                <w:tab w:val="left" w:pos="624"/>
                <w:tab w:val="right" w:leader="dot" w:pos="5160"/>
              </w:tabs>
              <w:ind w:left="624" w:right="-85" w:hanging="624"/>
              <w:rPr>
                <w:b/>
                <w:iCs/>
              </w:rPr>
            </w:pPr>
            <w:r>
              <w:tab/>
              <w:t>(b)</w:t>
            </w:r>
            <w:r>
              <w:tab/>
              <w:t xml:space="preserve">three phase (overhead) </w:t>
            </w:r>
            <w:r>
              <w:tab/>
            </w:r>
          </w:p>
        </w:tc>
        <w:tc>
          <w:tcPr>
            <w:tcW w:w="1276" w:type="dxa"/>
          </w:tcPr>
          <w:p>
            <w:pPr>
              <w:pStyle w:val="yTableNAm"/>
            </w:pPr>
          </w:p>
          <w:p>
            <w:pPr>
              <w:pStyle w:val="yTableNAm"/>
            </w:pPr>
            <w:r>
              <w:t>$915.00</w:t>
            </w:r>
          </w:p>
          <w:p>
            <w:pPr>
              <w:pStyle w:val="yTableNAm"/>
            </w:pPr>
            <w:r>
              <w:t>$915.00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199"/>
                <w:tab w:val="left" w:pos="624"/>
                <w:tab w:val="right" w:leader="dot" w:pos="5160"/>
              </w:tabs>
              <w:ind w:left="624" w:right="-85" w:hanging="624"/>
            </w:pPr>
            <w:r>
              <w:tab/>
              <w:t>(a)</w:t>
            </w:r>
            <w:r>
              <w:tab/>
              <w:t xml:space="preserve">standard meter testing fee </w:t>
            </w:r>
            <w:r>
              <w:tab/>
            </w:r>
          </w:p>
          <w:p>
            <w:pPr>
              <w:pStyle w:val="yTableNAm"/>
              <w:tabs>
                <w:tab w:val="clear" w:pos="567"/>
                <w:tab w:val="left" w:pos="199"/>
                <w:tab w:val="left" w:pos="624"/>
                <w:tab w:val="right" w:leader="dot" w:pos="5160"/>
              </w:tabs>
              <w:ind w:left="624" w:right="-85" w:hanging="624"/>
            </w:pPr>
            <w:r>
              <w:tab/>
              <w:t>(b)</w:t>
            </w:r>
            <w:r>
              <w:tab/>
              <w:t xml:space="preserve">reduced meter testing fee </w:t>
            </w:r>
            <w:r>
              <w:tab/>
            </w:r>
          </w:p>
        </w:tc>
        <w:tc>
          <w:tcPr>
            <w:tcW w:w="1276" w:type="dxa"/>
          </w:tcPr>
          <w:p>
            <w:pPr>
              <w:pStyle w:val="yTableNAm"/>
            </w:pPr>
          </w:p>
          <w:p>
            <w:pPr>
              <w:pStyle w:val="yTableNAm"/>
            </w:pPr>
            <w:r>
              <w:t>$247.20</w:t>
            </w:r>
          </w:p>
          <w:p>
            <w:pPr>
              <w:pStyle w:val="yTableNAm"/>
            </w:pPr>
            <w:r>
              <w:t>$154.40</w:t>
            </w:r>
          </w:p>
        </w:tc>
      </w:tr>
      <w:tr>
        <w:trPr>
          <w:cantSplit/>
        </w:trPr>
        <w:tc>
          <w:tcPr>
            <w:tcW w:w="567" w:type="dxa"/>
          </w:tcPr>
          <w:p>
            <w:pPr>
              <w:pStyle w:val="yTableNAm"/>
            </w:pPr>
            <w:r>
              <w:t>5.</w:t>
            </w:r>
          </w:p>
        </w:tc>
        <w:tc>
          <w:tcPr>
            <w:tcW w:w="5245" w:type="dxa"/>
          </w:tcPr>
          <w:p>
            <w:pPr>
              <w:pStyle w:val="yTableNAm"/>
              <w:tabs>
                <w:tab w:val="clear" w:pos="567"/>
                <w:tab w:val="right" w:leader="dot" w:pos="5160"/>
              </w:tabs>
              <w:ind w:right="-85"/>
            </w:pPr>
            <w:r>
              <w:t xml:space="preserve">Disconnection of overhead service leads following unauthorised reconnection </w:t>
            </w:r>
            <w:r>
              <w:tab/>
            </w:r>
          </w:p>
        </w:tc>
        <w:tc>
          <w:tcPr>
            <w:tcW w:w="1276" w:type="dxa"/>
            <w:vAlign w:val="bottom"/>
          </w:tcPr>
          <w:p>
            <w:pPr>
              <w:pStyle w:val="yTableNAm"/>
            </w:pPr>
            <w:r>
              <w:t>$773.50</w:t>
            </w:r>
          </w:p>
        </w:tc>
      </w:tr>
      <w:tr>
        <w:trPr>
          <w:cantSplit/>
        </w:trPr>
        <w:tc>
          <w:tcPr>
            <w:tcW w:w="567" w:type="dxa"/>
          </w:tcPr>
          <w:p>
            <w:pPr>
              <w:pStyle w:val="yTableNAm"/>
            </w:pPr>
            <w:r>
              <w:t>6.</w:t>
            </w:r>
          </w:p>
        </w:tc>
        <w:tc>
          <w:tcPr>
            <w:tcW w:w="5245" w:type="dxa"/>
          </w:tcPr>
          <w:p>
            <w:pPr>
              <w:pStyle w:val="yTableNAm"/>
              <w:tabs>
                <w:tab w:val="clear" w:pos="567"/>
                <w:tab w:val="right" w:leader="dot" w:pos="5160"/>
              </w:tabs>
              <w:ind w:right="-85"/>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clear" w:pos="567"/>
                <w:tab w:val="right" w:leader="dot" w:pos="5160"/>
              </w:tabs>
              <w:ind w:right="-85"/>
            </w:pPr>
            <w:r>
              <w:t xml:space="preserve">Rejected account payment (where payment made through Australia Post) </w:t>
            </w:r>
            <w:r>
              <w:tab/>
            </w:r>
          </w:p>
        </w:tc>
        <w:tc>
          <w:tcPr>
            <w:tcW w:w="1276" w:type="dxa"/>
            <w:vAlign w:val="bottom"/>
          </w:tcPr>
          <w:p>
            <w:pPr>
              <w:pStyle w:val="yTableNAm"/>
            </w:pPr>
            <w:r>
              <w:t>$27.50</w:t>
            </w:r>
          </w:p>
        </w:tc>
      </w:tr>
      <w:tr>
        <w:trPr>
          <w:cantSplit/>
        </w:trPr>
        <w:tc>
          <w:tcPr>
            <w:tcW w:w="567" w:type="dxa"/>
          </w:tcPr>
          <w:p>
            <w:pPr>
              <w:pStyle w:val="yTableNAm"/>
              <w:keepNext/>
            </w:pPr>
            <w:r>
              <w:t>8.</w:t>
            </w:r>
          </w:p>
        </w:tc>
        <w:tc>
          <w:tcPr>
            <w:tcW w:w="5245" w:type="dxa"/>
          </w:tcPr>
          <w:p>
            <w:pPr>
              <w:pStyle w:val="yTableNAm"/>
              <w:keepNext/>
            </w:pPr>
            <w:r>
              <w:t>A transaction fee where a consumer makes a payment to the corporation by means of a credit card or debit card</w:t>
            </w:r>
          </w:p>
        </w:tc>
        <w:tc>
          <w:tcPr>
            <w:tcW w:w="1276" w:type="dxa"/>
          </w:tcPr>
          <w:p>
            <w:pPr>
              <w:pStyle w:val="yTableNAm"/>
              <w:keepNext/>
            </w:pPr>
            <w:r>
              <w:t>The permitted surcharge for the payment</w:t>
            </w:r>
          </w:p>
        </w:tc>
      </w:tr>
      <w:tr>
        <w:trPr>
          <w:cantSplit/>
        </w:trPr>
        <w:tc>
          <w:tcPr>
            <w:tcW w:w="567" w:type="dxa"/>
          </w:tcPr>
          <w:p>
            <w:pPr>
              <w:pStyle w:val="yTableNAm"/>
            </w:pPr>
            <w:r>
              <w:t>9.</w:t>
            </w:r>
          </w:p>
        </w:tc>
        <w:tc>
          <w:tcPr>
            <w:tcW w:w="5245" w:type="dxa"/>
          </w:tcPr>
          <w:p>
            <w:pPr>
              <w:pStyle w:val="yTableNAm"/>
              <w:tabs>
                <w:tab w:val="clear" w:pos="567"/>
                <w:tab w:val="right" w:leader="dot" w:pos="5160"/>
              </w:tabs>
              <w:ind w:right="-85"/>
            </w:pPr>
            <w:r>
              <w:t xml:space="preserve">Remote configurations </w:t>
            </w:r>
            <w:r>
              <w:tab/>
            </w:r>
          </w:p>
        </w:tc>
        <w:tc>
          <w:tcPr>
            <w:tcW w:w="1276" w:type="dxa"/>
          </w:tcPr>
          <w:p>
            <w:pPr>
              <w:pStyle w:val="yTableNAm"/>
            </w:pPr>
            <w:r>
              <w:t>$26.30</w:t>
            </w:r>
          </w:p>
        </w:tc>
      </w:tr>
      <w:tr>
        <w:trPr>
          <w:cantSplit/>
        </w:trPr>
        <w:tc>
          <w:tcPr>
            <w:tcW w:w="567" w:type="dxa"/>
          </w:tcPr>
          <w:p>
            <w:pPr>
              <w:pStyle w:val="yTableNAm"/>
            </w:pPr>
            <w:r>
              <w:t>10.</w:t>
            </w:r>
          </w:p>
        </w:tc>
        <w:tc>
          <w:tcPr>
            <w:tcW w:w="5245" w:type="dxa"/>
          </w:tcPr>
          <w:p>
            <w:pPr>
              <w:pStyle w:val="yTableNAm"/>
              <w:tabs>
                <w:tab w:val="clear" w:pos="567"/>
                <w:tab w:val="right" w:leader="dot" w:pos="5160"/>
              </w:tabs>
              <w:ind w:right="-85"/>
            </w:pPr>
            <w:r>
              <w:t xml:space="preserve">Meter damage fee </w:t>
            </w:r>
            <w:r>
              <w:tab/>
            </w:r>
          </w:p>
        </w:tc>
        <w:tc>
          <w:tcPr>
            <w:tcW w:w="1276" w:type="dxa"/>
          </w:tcPr>
          <w:p>
            <w:pPr>
              <w:pStyle w:val="yTableNAm"/>
            </w:pPr>
            <w:r>
              <w:t>$851.00</w:t>
            </w:r>
          </w:p>
        </w:tc>
      </w:tr>
      <w:tr>
        <w:trPr>
          <w:cantSplit/>
        </w:trPr>
        <w:tc>
          <w:tcPr>
            <w:tcW w:w="567" w:type="dxa"/>
          </w:tcPr>
          <w:p>
            <w:pPr>
              <w:pStyle w:val="yTableNAm"/>
            </w:pPr>
            <w:r>
              <w:t>11.</w:t>
            </w:r>
          </w:p>
        </w:tc>
        <w:tc>
          <w:tcPr>
            <w:tcW w:w="5245" w:type="dxa"/>
          </w:tcPr>
          <w:p>
            <w:pPr>
              <w:pStyle w:val="yTableNAm"/>
              <w:tabs>
                <w:tab w:val="clear" w:pos="567"/>
                <w:tab w:val="right" w:leader="dot" w:pos="5160"/>
              </w:tabs>
              <w:ind w:right="-85"/>
            </w:pPr>
            <w:r>
              <w:t xml:space="preserve">Remote connection or disconnection </w:t>
            </w:r>
            <w:r>
              <w:tab/>
            </w:r>
          </w:p>
        </w:tc>
        <w:tc>
          <w:tcPr>
            <w:tcW w:w="1276" w:type="dxa"/>
          </w:tcPr>
          <w:p>
            <w:pPr>
              <w:pStyle w:val="yTableNAm"/>
            </w:pPr>
            <w:r>
              <w:t>$6.20</w:t>
            </w:r>
          </w:p>
        </w:tc>
      </w:tr>
      <w:tr>
        <w:trPr>
          <w:cantSplit/>
        </w:trPr>
        <w:tc>
          <w:tcPr>
            <w:tcW w:w="567" w:type="dxa"/>
          </w:tcPr>
          <w:p>
            <w:pPr>
              <w:pStyle w:val="yTableNAm"/>
            </w:pPr>
            <w:r>
              <w:t>12.</w:t>
            </w:r>
          </w:p>
        </w:tc>
        <w:tc>
          <w:tcPr>
            <w:tcW w:w="5245" w:type="dxa"/>
          </w:tcPr>
          <w:p>
            <w:pPr>
              <w:pStyle w:val="yTableNAm"/>
              <w:tabs>
                <w:tab w:val="clear" w:pos="567"/>
                <w:tab w:val="right" w:leader="dot" w:pos="5160"/>
              </w:tabs>
              <w:ind w:right="-85"/>
            </w:pPr>
            <w:r>
              <w:t xml:space="preserve">Paper bill fee </w:t>
            </w:r>
            <w:r>
              <w:tab/>
            </w:r>
          </w:p>
        </w:tc>
        <w:tc>
          <w:tcPr>
            <w:tcW w:w="1276" w:type="dxa"/>
          </w:tcPr>
          <w:p>
            <w:pPr>
              <w:pStyle w:val="yTableNAm"/>
            </w:pPr>
            <w:r>
              <w:t>$1.20</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clear" w:pos="567"/>
                <w:tab w:val="right" w:leader="dot" w:pos="5160"/>
              </w:tabs>
              <w:ind w:right="-85"/>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$2.54</w:t>
            </w:r>
          </w:p>
        </w:tc>
      </w:tr>
    </w:tbl>
    <w:p>
      <w:pPr>
        <w:pStyle w:val="yFootnotesection"/>
      </w:pPr>
      <w:r>
        <w:tab/>
        <w:t>[Schedule 4 inserted: SL 2020/78 bl. 4.]</w:t>
      </w:r>
    </w:p>
    <w:bookmarkEnd w:id="1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1" w:name="_Toc43214434"/>
      <w:bookmarkStart w:id="52" w:name="_Toc43215534"/>
      <w:bookmarkStart w:id="53" w:name="_Toc43391246"/>
      <w:bookmarkStart w:id="54" w:name="_Toc43392185"/>
      <w:r>
        <w:t>Notes</w:t>
      </w:r>
      <w:bookmarkEnd w:id="51"/>
      <w:bookmarkEnd w:id="52"/>
      <w:bookmarkEnd w:id="53"/>
      <w:bookmarkEnd w:id="54"/>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 </w:t>
      </w:r>
    </w:p>
    <w:p>
      <w:pPr>
        <w:pStyle w:val="nHeading3"/>
      </w:pPr>
      <w:bookmarkStart w:id="55" w:name="_Toc43392186"/>
      <w:r>
        <w:t>Compilation table</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0"/>
      </w:tblGrid>
      <w:tr>
        <w:trPr>
          <w:gridAfter w:val="1"/>
          <w:wAfter w:w="30" w:type="dxa"/>
          <w:cantSplit/>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gridSpan w:val="2"/>
          </w:tcPr>
          <w:p>
            <w:pPr>
              <w:pStyle w:val="nTable"/>
              <w:keepNext/>
              <w:keepLines/>
              <w:spacing w:after="40"/>
            </w:pPr>
            <w:r>
              <w:t>31 Mar 2006 p. 1279</w:t>
            </w:r>
            <w:r>
              <w:noBreakHyphen/>
              <w:t>97</w:t>
            </w:r>
          </w:p>
        </w:tc>
        <w:tc>
          <w:tcPr>
            <w:tcW w:w="2694" w:type="dxa"/>
            <w:gridSpan w:val="2"/>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gridSpan w:val="2"/>
          </w:tcPr>
          <w:p>
            <w:pPr>
              <w:pStyle w:val="nTable"/>
              <w:keepLines/>
              <w:spacing w:after="40"/>
            </w:pPr>
            <w:r>
              <w:t>29 Jun 2007 p. 3192</w:t>
            </w:r>
            <w:r>
              <w:noBreakHyphen/>
              <w:t>3</w:t>
            </w:r>
          </w:p>
        </w:tc>
        <w:tc>
          <w:tcPr>
            <w:tcW w:w="2694" w:type="dxa"/>
            <w:gridSpan w:val="2"/>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gridSpan w:val="2"/>
          </w:tcPr>
          <w:p>
            <w:pPr>
              <w:pStyle w:val="nTable"/>
              <w:keepLines/>
              <w:spacing w:after="40"/>
            </w:pPr>
            <w:r>
              <w:t>30 </w:t>
            </w:r>
            <w:r>
              <w:rPr>
                <w:noProof/>
                <w:snapToGrid w:val="0"/>
              </w:rPr>
              <w:t>Mar</w:t>
            </w:r>
            <w:r>
              <w:t> 2009 p. 997</w:t>
            </w:r>
            <w:r>
              <w:noBreakHyphen/>
              <w:t>1017</w:t>
            </w:r>
          </w:p>
        </w:tc>
        <w:tc>
          <w:tcPr>
            <w:tcW w:w="2694" w:type="dxa"/>
            <w:gridSpan w:val="2"/>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6"/>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gridSpan w:val="2"/>
          </w:tcPr>
          <w:p>
            <w:pPr>
              <w:pStyle w:val="nTable"/>
              <w:keepLines/>
              <w:spacing w:after="40"/>
            </w:pPr>
            <w:r>
              <w:t>26 Mar 2010 p. 1171-89</w:t>
            </w:r>
          </w:p>
        </w:tc>
        <w:tc>
          <w:tcPr>
            <w:tcW w:w="2694" w:type="dxa"/>
            <w:gridSpan w:val="2"/>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gridSpan w:val="2"/>
          </w:tcPr>
          <w:p>
            <w:pPr>
              <w:pStyle w:val="nTable"/>
              <w:keepLines/>
              <w:spacing w:after="40"/>
            </w:pPr>
            <w:r>
              <w:t>24 Jun 2011 p. 2495</w:t>
            </w:r>
            <w:r>
              <w:noBreakHyphen/>
              <w:t>8</w:t>
            </w:r>
          </w:p>
        </w:tc>
        <w:tc>
          <w:tcPr>
            <w:tcW w:w="2694" w:type="dxa"/>
            <w:gridSpan w:val="2"/>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 laws 2012</w:t>
            </w:r>
          </w:p>
        </w:tc>
        <w:tc>
          <w:tcPr>
            <w:tcW w:w="1276" w:type="dxa"/>
            <w:gridSpan w:val="2"/>
          </w:tcPr>
          <w:p>
            <w:pPr>
              <w:pStyle w:val="nTable"/>
              <w:keepLines/>
              <w:spacing w:after="40"/>
            </w:pPr>
            <w:r>
              <w:t>29 Jun 2012 p. 2899-911</w:t>
            </w:r>
          </w:p>
        </w:tc>
        <w:tc>
          <w:tcPr>
            <w:tcW w:w="2694" w:type="dxa"/>
            <w:gridSpan w:val="2"/>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 laws (No. 2) 2012</w:t>
            </w:r>
          </w:p>
        </w:tc>
        <w:tc>
          <w:tcPr>
            <w:tcW w:w="1276" w:type="dxa"/>
            <w:gridSpan w:val="2"/>
          </w:tcPr>
          <w:p>
            <w:pPr>
              <w:pStyle w:val="nTable"/>
              <w:keepLines/>
              <w:spacing w:after="40"/>
            </w:pPr>
            <w:r>
              <w:t>21 Sep 2012 p. 4423</w:t>
            </w:r>
          </w:p>
        </w:tc>
        <w:tc>
          <w:tcPr>
            <w:tcW w:w="2694" w:type="dxa"/>
            <w:gridSpan w:val="2"/>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By-laws 2013</w:t>
            </w:r>
          </w:p>
        </w:tc>
        <w:tc>
          <w:tcPr>
            <w:tcW w:w="1276" w:type="dxa"/>
            <w:gridSpan w:val="2"/>
          </w:tcPr>
          <w:p>
            <w:pPr>
              <w:pStyle w:val="nTable"/>
              <w:keepLines/>
              <w:spacing w:after="40"/>
            </w:pPr>
            <w:r>
              <w:t>14 Jun 2013 p. 2223-7</w:t>
            </w:r>
          </w:p>
        </w:tc>
        <w:tc>
          <w:tcPr>
            <w:tcW w:w="2694" w:type="dxa"/>
            <w:gridSpan w:val="2"/>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gridSpan w:val="2"/>
            <w:shd w:val="clear" w:color="auto" w:fill="auto"/>
          </w:tcPr>
          <w:p>
            <w:pPr>
              <w:pStyle w:val="nTable"/>
              <w:keepLines/>
              <w:spacing w:after="40"/>
            </w:pPr>
            <w:r>
              <w:t>30 Aug 2013 p. 4093-6</w:t>
            </w:r>
          </w:p>
        </w:tc>
        <w:tc>
          <w:tcPr>
            <w:tcW w:w="2694" w:type="dxa"/>
            <w:gridSpan w:val="2"/>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gridSpan w:val="2"/>
            <w:shd w:val="clear" w:color="auto" w:fill="auto"/>
          </w:tcPr>
          <w:p>
            <w:pPr>
              <w:pStyle w:val="nTable"/>
              <w:keepLines/>
              <w:spacing w:after="40"/>
            </w:pPr>
            <w:r>
              <w:t>27 Jun 2014 p. 2319-26</w:t>
            </w:r>
          </w:p>
        </w:tc>
        <w:tc>
          <w:tcPr>
            <w:tcW w:w="2694" w:type="dxa"/>
            <w:gridSpan w:val="2"/>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gridSpan w:val="2"/>
            <w:shd w:val="clear" w:color="auto" w:fill="auto"/>
          </w:tcPr>
          <w:p>
            <w:pPr>
              <w:pStyle w:val="nTable"/>
              <w:keepLines/>
              <w:spacing w:after="40"/>
            </w:pPr>
            <w:r>
              <w:t>22 Aug 2014 p. 3017</w:t>
            </w:r>
            <w:r>
              <w:noBreakHyphen/>
              <w:t>23</w:t>
            </w:r>
          </w:p>
        </w:tc>
        <w:tc>
          <w:tcPr>
            <w:tcW w:w="2694" w:type="dxa"/>
            <w:gridSpan w:val="2"/>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6"/>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gridSpan w:val="2"/>
            <w:shd w:val="clear" w:color="auto" w:fill="auto"/>
          </w:tcPr>
          <w:p>
            <w:pPr>
              <w:pStyle w:val="nTable"/>
              <w:keepLines/>
              <w:spacing w:after="40"/>
              <w:rPr>
                <w:b/>
                <w:bCs/>
                <w:iCs/>
                <w:noProof/>
                <w:snapToGrid w:val="0"/>
              </w:rPr>
            </w:pPr>
            <w:r>
              <w:t>26 Jun 2015 p. 2247</w:t>
            </w:r>
            <w:r>
              <w:noBreakHyphen/>
              <w:t>52</w:t>
            </w:r>
          </w:p>
        </w:tc>
        <w:tc>
          <w:tcPr>
            <w:tcW w:w="2694" w:type="dxa"/>
            <w:gridSpan w:val="2"/>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gridSpan w:val="2"/>
            <w:shd w:val="clear" w:color="auto" w:fill="auto"/>
          </w:tcPr>
          <w:p>
            <w:pPr>
              <w:pStyle w:val="nTable"/>
              <w:keepLines/>
              <w:spacing w:after="40"/>
            </w:pPr>
            <w:r>
              <w:t>28 Jun 2016 p. 2626</w:t>
            </w:r>
            <w:r>
              <w:noBreakHyphen/>
              <w:t>8</w:t>
            </w:r>
          </w:p>
        </w:tc>
        <w:tc>
          <w:tcPr>
            <w:tcW w:w="2694" w:type="dxa"/>
            <w:gridSpan w:val="2"/>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gridSpan w:val="2"/>
            <w:shd w:val="clear" w:color="auto" w:fill="auto"/>
          </w:tcPr>
          <w:p>
            <w:pPr>
              <w:pStyle w:val="nTable"/>
              <w:keepLines/>
              <w:spacing w:after="40"/>
            </w:pPr>
            <w:r>
              <w:t>31 Aug 2016 p. 3707</w:t>
            </w:r>
            <w:r>
              <w:noBreakHyphen/>
              <w:t>10</w:t>
            </w:r>
          </w:p>
        </w:tc>
        <w:tc>
          <w:tcPr>
            <w:tcW w:w="2694" w:type="dxa"/>
            <w:gridSpan w:val="2"/>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gridSpan w:val="2"/>
            <w:shd w:val="clear" w:color="auto" w:fill="auto"/>
          </w:tcPr>
          <w:p>
            <w:pPr>
              <w:pStyle w:val="nTable"/>
              <w:keepLines/>
              <w:spacing w:after="40"/>
            </w:pPr>
            <w:r>
              <w:t>27 Jun 2017 p. 3419</w:t>
            </w:r>
            <w:r>
              <w:noBreakHyphen/>
              <w:t>24</w:t>
            </w:r>
          </w:p>
        </w:tc>
        <w:tc>
          <w:tcPr>
            <w:tcW w:w="2694" w:type="dxa"/>
            <w:gridSpan w:val="2"/>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gridSpan w:val="2"/>
            <w:shd w:val="clear" w:color="auto" w:fill="auto"/>
          </w:tcPr>
          <w:p>
            <w:pPr>
              <w:pStyle w:val="nTable"/>
              <w:keepLines/>
              <w:spacing w:after="40"/>
            </w:pPr>
            <w:r>
              <w:t>30 Jun 2017 p. 3562</w:t>
            </w:r>
            <w:r>
              <w:noBreakHyphen/>
              <w:t>4</w:t>
            </w:r>
          </w:p>
        </w:tc>
        <w:tc>
          <w:tcPr>
            <w:tcW w:w="2694" w:type="dxa"/>
            <w:gridSpan w:val="2"/>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gridSpan w:val="2"/>
            <w:shd w:val="clear" w:color="auto" w:fill="auto"/>
          </w:tcPr>
          <w:p>
            <w:pPr>
              <w:pStyle w:val="nTable"/>
              <w:keepLines/>
              <w:spacing w:after="40"/>
            </w:pPr>
            <w:r>
              <w:t>22 Dec 2017 p. 5978</w:t>
            </w:r>
            <w:r>
              <w:noBreakHyphen/>
              <w:t>83</w:t>
            </w:r>
          </w:p>
        </w:tc>
        <w:tc>
          <w:tcPr>
            <w:tcW w:w="2694" w:type="dxa"/>
            <w:gridSpan w:val="2"/>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gridSpan w:val="2"/>
            <w:shd w:val="clear" w:color="auto" w:fill="auto"/>
          </w:tcPr>
          <w:p>
            <w:pPr>
              <w:pStyle w:val="nTable"/>
              <w:keepLines/>
              <w:spacing w:after="40"/>
            </w:pPr>
            <w:r>
              <w:t>26 Jun 2018 p. 2361</w:t>
            </w:r>
            <w:r>
              <w:noBreakHyphen/>
              <w:t>71</w:t>
            </w:r>
          </w:p>
        </w:tc>
        <w:tc>
          <w:tcPr>
            <w:tcW w:w="2694" w:type="dxa"/>
            <w:gridSpan w:val="2"/>
            <w:shd w:val="clear" w:color="auto" w:fill="auto"/>
          </w:tcPr>
          <w:p>
            <w:pPr>
              <w:pStyle w:val="nTable"/>
              <w:keepLines/>
              <w:spacing w:after="40"/>
            </w:pPr>
            <w:r>
              <w:t>bl. 1 and 2: 26 Jun 2018 (see bl. 2(a));</w:t>
            </w:r>
            <w:r>
              <w:br/>
              <w:t>By-laws other than bl. 1 and 2: 1 Jul 2018 (see bl. 2(b))</w:t>
            </w:r>
          </w:p>
        </w:tc>
      </w:tr>
      <w:tr>
        <w:trPr>
          <w:gridBefore w:val="1"/>
          <w:wBefore w:w="28" w:type="dxa"/>
          <w:cantSplit/>
        </w:trPr>
        <w:tc>
          <w:tcPr>
            <w:tcW w:w="3119" w:type="dxa"/>
            <w:gridSpan w:val="2"/>
            <w:tcBorders>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gridSpan w:val="2"/>
            <w:tcBorders>
              <w:bottom w:val="nil"/>
            </w:tcBorders>
            <w:shd w:val="clear" w:color="auto" w:fill="auto"/>
          </w:tcPr>
          <w:p>
            <w:pPr>
              <w:pStyle w:val="nTable"/>
              <w:keepLines/>
              <w:spacing w:after="40"/>
            </w:pPr>
            <w:r>
              <w:t>21 Jun 2019 p. 2127</w:t>
            </w:r>
            <w:r>
              <w:noBreakHyphen/>
              <w:t>36</w:t>
            </w:r>
          </w:p>
        </w:tc>
        <w:tc>
          <w:tcPr>
            <w:tcW w:w="2694" w:type="dxa"/>
            <w:gridSpan w:val="2"/>
            <w:tcBorders>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Borders>
              <w:bottom w:val="single" w:sz="8" w:space="0" w:color="auto"/>
            </w:tcBorders>
            <w:shd w:val="clear" w:color="auto" w:fill="auto"/>
          </w:tcPr>
          <w:p>
            <w:pPr>
              <w:pStyle w:val="nTable"/>
              <w:keepLines/>
              <w:spacing w:after="40"/>
              <w:rPr>
                <w:i/>
              </w:rPr>
            </w:pPr>
            <w:r>
              <w:rPr>
                <w:i/>
              </w:rPr>
              <w:t>Energy Operators (Regional Power Corporation) (Charges) Amendment By-laws 2020</w:t>
            </w:r>
          </w:p>
        </w:tc>
        <w:tc>
          <w:tcPr>
            <w:tcW w:w="1276" w:type="dxa"/>
            <w:gridSpan w:val="2"/>
            <w:tcBorders>
              <w:bottom w:val="single" w:sz="8" w:space="0" w:color="auto"/>
            </w:tcBorders>
            <w:shd w:val="clear" w:color="auto" w:fill="auto"/>
          </w:tcPr>
          <w:p>
            <w:pPr>
              <w:pStyle w:val="nTable"/>
              <w:keepLines/>
              <w:spacing w:after="40"/>
            </w:pPr>
            <w:r>
              <w:t>SL 2020/78 9 Jun 2020</w:t>
            </w:r>
          </w:p>
        </w:tc>
        <w:tc>
          <w:tcPr>
            <w:tcW w:w="2694" w:type="dxa"/>
            <w:gridSpan w:val="2"/>
            <w:tcBorders>
              <w:bottom w:val="single" w:sz="8" w:space="0" w:color="auto"/>
            </w:tcBorders>
            <w:shd w:val="clear" w:color="auto" w:fill="auto"/>
          </w:tcPr>
          <w:p>
            <w:pPr>
              <w:pStyle w:val="nTable"/>
              <w:keepLines/>
              <w:spacing w:after="40"/>
            </w:pPr>
            <w:r>
              <w:t>bl. 1 and 2: 9 Jun 2020 (see bl. 2(a));</w:t>
            </w:r>
            <w:r>
              <w:br/>
              <w:t>By-laws other than bl. 1 and 2: 1 Jul 2020 (see bl.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57" w:name="_Toc43392187"/>
      <w:r>
        <w:rPr>
          <w:sz w:val="28"/>
        </w:rPr>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Esperance network</w:t>
      </w:r>
      <w:r>
        <w:tab/>
        <w:t>Sch. 1 cl. 7(1)</w:t>
      </w:r>
    </w:p>
    <w:p>
      <w:pPr>
        <w:pStyle w:val="DefinedTerms"/>
      </w:pPr>
      <w:r>
        <w:t>exceeds the applicable peak allowance</w:t>
      </w:r>
      <w:r>
        <w:tab/>
        <w:t>Sch. 1 cl. 7(2)</w:t>
      </w:r>
    </w:p>
    <w:p>
      <w:pPr>
        <w:pStyle w:val="DefinedTerms"/>
      </w:pPr>
      <w:r>
        <w:t>interest period</w:t>
      </w:r>
      <w:r>
        <w:tab/>
        <w:t>12(1)</w:t>
      </w:r>
    </w:p>
    <w:p>
      <w:pPr>
        <w:pStyle w:val="DefinedTerms"/>
      </w:pPr>
      <w:r>
        <w:t>MyPower non</w:t>
      </w:r>
      <w:r>
        <w:noBreakHyphen/>
        <w:t>residential tariff</w:t>
      </w:r>
      <w:r>
        <w:tab/>
        <w:t>Sch. 1 cl. 9(1)</w:t>
      </w:r>
    </w:p>
    <w:p>
      <w:pPr>
        <w:pStyle w:val="DefinedTerms"/>
      </w:pPr>
      <w:r>
        <w:t>MyPower residential tariff</w:t>
      </w:r>
      <w:r>
        <w:tab/>
        <w:t>Sch. 1 cl. 8(1)</w:t>
      </w:r>
    </w:p>
    <w:p>
      <w:pPr>
        <w:pStyle w:val="DefinedTerms"/>
      </w:pPr>
      <w:r>
        <w:t>North West interconnected system</w:t>
      </w:r>
      <w:r>
        <w:tab/>
        <w:t>4(1A), 4(2A)</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regional non</w:t>
      </w:r>
      <w:r>
        <w:noBreakHyphen/>
        <w:t>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lvlText w:val="%1."/>
      <w:lvlJc w:val="left"/>
      <w:pPr>
        <w:tabs>
          <w:tab w:val="num" w:pos="1492"/>
        </w:tabs>
        <w:ind w:left="1492" w:hanging="360"/>
      </w:pPr>
    </w:lvl>
  </w:abstractNum>
  <w:abstractNum w:abstractNumId="1">
    <w:nsid w:val="FFFFFF7D"/>
    <w:multiLevelType w:val="singleLevel"/>
    <w:tmpl w:val="5596F45C"/>
    <w:lvl w:ilvl="0">
      <w:start w:val="1"/>
      <w:numFmt w:val="decimal"/>
      <w:lvlText w:val="%1."/>
      <w:lvlJc w:val="left"/>
      <w:pPr>
        <w:tabs>
          <w:tab w:val="num" w:pos="1209"/>
        </w:tabs>
        <w:ind w:left="1209" w:hanging="360"/>
      </w:pPr>
    </w:lvl>
  </w:abstractNum>
  <w:abstractNum w:abstractNumId="2">
    <w:nsid w:val="FFFFFF7E"/>
    <w:multiLevelType w:val="singleLevel"/>
    <w:tmpl w:val="3BE2AE3A"/>
    <w:lvl w:ilvl="0">
      <w:start w:val="1"/>
      <w:numFmt w:val="decimal"/>
      <w:lvlText w:val="%1."/>
      <w:lvlJc w:val="left"/>
      <w:pPr>
        <w:tabs>
          <w:tab w:val="num" w:pos="926"/>
        </w:tabs>
        <w:ind w:left="926" w:hanging="360"/>
      </w:pPr>
    </w:lvl>
  </w:abstractNum>
  <w:abstractNum w:abstractNumId="3">
    <w:nsid w:val="FFFFFF7F"/>
    <w:multiLevelType w:val="singleLevel"/>
    <w:tmpl w:val="0E6ED0DC"/>
    <w:lvl w:ilvl="0">
      <w:start w:val="1"/>
      <w:numFmt w:val="decimal"/>
      <w:lvlText w:val="%1."/>
      <w:lvlJc w:val="left"/>
      <w:pPr>
        <w:tabs>
          <w:tab w:val="num" w:pos="643"/>
        </w:tabs>
        <w:ind w:left="643" w:hanging="360"/>
      </w:pPr>
    </w:lvl>
  </w:abstractNum>
  <w:abstractNum w:abstractNumId="4">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lvlText w:val="%1."/>
      <w:lvlJc w:val="left"/>
      <w:pPr>
        <w:tabs>
          <w:tab w:val="num" w:pos="360"/>
        </w:tabs>
        <w:ind w:left="360" w:hanging="360"/>
      </w:pPr>
    </w:lvl>
  </w:abstractNum>
  <w:abstractNum w:abstractNumId="9">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6153643"/>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3A71D-B0B9-4160-9D7B-C315722CC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4788</Words>
  <Characters>23464</Characters>
  <Application>Microsoft Office Word</Application>
  <DocSecurity>0</DocSecurity>
  <Lines>1117</Lines>
  <Paragraphs>724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2006 - 02-l0-00</dc:title>
  <dc:subject/>
  <dc:creator/>
  <cp:keywords/>
  <dc:description/>
  <cp:lastModifiedBy>svcMRProcess</cp:lastModifiedBy>
  <cp:revision>4</cp:revision>
  <cp:lastPrinted>2019-06-24T07:21:00Z</cp:lastPrinted>
  <dcterms:created xsi:type="dcterms:W3CDTF">2020-06-30T03:21:00Z</dcterms:created>
  <dcterms:modified xsi:type="dcterms:W3CDTF">2020-06-30T03:21:00Z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Jul 2020</vt:lpwstr>
  </property>
  <property fmtid="{D5CDD505-2E9C-101B-9397-08002B2CF9AE}" pid="8" name="Suffix">
    <vt:lpwstr>02-l0-00</vt:lpwstr>
  </property>
  <property fmtid="{D5CDD505-2E9C-101B-9397-08002B2CF9AE}" pid="9" name="CommencementDate">
    <vt:lpwstr>20200701</vt:lpwstr>
  </property>
</Properties>
</file>