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_Toc43908700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_Toc43908701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_Toc43908702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_Toc43908703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_Toc43908704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_Toc43908705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_Toc43908706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_Toc43908707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_Toc43908708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_Toc43908712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3" w:name="_Toc43908700"/>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Police (Fees and Charges) Regulations 2018</w:t>
      </w:r>
      <w:r>
        <w:t>.</w:t>
      </w:r>
    </w:p>
    <w:p>
      <w:pPr>
        <w:pStyle w:val="Heading5"/>
        <w:rPr>
          <w:spacing w:val="-2"/>
        </w:rPr>
      </w:pPr>
      <w:bookmarkStart w:id="5" w:name="_Toc4390870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6" w:name="_Toc43908702"/>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7" w:name="_Toc43908703"/>
      <w:r>
        <w:rPr>
          <w:rStyle w:val="CharSectno"/>
        </w:rPr>
        <w:t>4</w:t>
      </w:r>
      <w:r>
        <w:t>.</w:t>
      </w:r>
      <w:r>
        <w:tab/>
        <w:t>Fees</w:t>
      </w:r>
      <w:bookmarkEnd w:id="7"/>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8" w:name="_Toc43908704"/>
      <w:r>
        <w:rPr>
          <w:rStyle w:val="CharSectno"/>
        </w:rPr>
        <w:t>5</w:t>
      </w:r>
      <w:r>
        <w:t>.</w:t>
      </w:r>
      <w:r>
        <w:tab/>
        <w:t>Exempt events</w:t>
      </w:r>
      <w:bookmarkEnd w:id="8"/>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9" w:name="_Toc43908705"/>
      <w:r>
        <w:rPr>
          <w:rStyle w:val="CharSectno"/>
        </w:rPr>
        <w:t>6</w:t>
      </w:r>
      <w:r>
        <w:t>.</w:t>
      </w:r>
      <w:r>
        <w:tab/>
        <w:t>Charges for police services at major event</w:t>
      </w:r>
      <w:bookmarkEnd w:id="9"/>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0" w:name="_Toc43908706"/>
      <w:r>
        <w:rPr>
          <w:rStyle w:val="CharSectno"/>
        </w:rPr>
        <w:t>7</w:t>
      </w:r>
      <w:r>
        <w:t>.</w:t>
      </w:r>
      <w:r>
        <w:tab/>
        <w:t>Charges for police services if major event cancelled</w:t>
      </w:r>
      <w:bookmarkEnd w:id="10"/>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1" w:name="_Toc43908707"/>
      <w:r>
        <w:rPr>
          <w:rStyle w:val="CharSectno"/>
        </w:rPr>
        <w:t>8</w:t>
      </w:r>
      <w:r>
        <w:t>.</w:t>
      </w:r>
      <w:r>
        <w:tab/>
        <w:t>Amounts inclusive of GST</w:t>
      </w:r>
      <w:bookmarkEnd w:id="11"/>
    </w:p>
    <w:p>
      <w:pPr>
        <w:pStyle w:val="Subsection"/>
        <w:keepNext/>
      </w:pPr>
      <w:r>
        <w:tab/>
      </w:r>
      <w:r>
        <w:tab/>
        <w:t>The amounts specified in Schedule 2 are inclusive of GST.</w:t>
      </w:r>
    </w:p>
    <w:p>
      <w:pPr>
        <w:pStyle w:val="Heading5"/>
      </w:pPr>
      <w:bookmarkStart w:id="12" w:name="_Toc43908708"/>
      <w:r>
        <w:rPr>
          <w:rStyle w:val="CharSectno"/>
        </w:rPr>
        <w:t>9</w:t>
      </w:r>
      <w:r>
        <w:t>.</w:t>
      </w:r>
      <w:r>
        <w:tab/>
      </w:r>
      <w:r>
        <w:rPr>
          <w:i/>
        </w:rPr>
        <w:t xml:space="preserve">Police (Fees) Regulations 1981 </w:t>
      </w:r>
      <w:r>
        <w:t>repealed</w:t>
      </w:r>
      <w:bookmarkEnd w:id="12"/>
    </w:p>
    <w:p>
      <w:pPr>
        <w:pStyle w:val="Subsection"/>
      </w:pPr>
      <w:r>
        <w:tab/>
      </w:r>
      <w:r>
        <w:tab/>
        <w:t xml:space="preserve">The </w:t>
      </w:r>
      <w:r>
        <w:rPr>
          <w:i/>
        </w:rPr>
        <w:t xml:space="preserve">Police (Fees) Regulations 1981 </w:t>
      </w:r>
      <w:r>
        <w:t>are repealed.</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 w:name="_Toc43798719"/>
      <w:bookmarkStart w:id="14" w:name="_Toc43908709"/>
      <w:bookmarkStart w:id="15" w:name="_Toc43798408"/>
      <w:r>
        <w:rPr>
          <w:rStyle w:val="CharSchNo"/>
        </w:rPr>
        <w:t>Schedule 1</w:t>
      </w:r>
      <w:r>
        <w:t> — </w:t>
      </w:r>
      <w:r>
        <w:rPr>
          <w:rStyle w:val="CharSchText"/>
        </w:rPr>
        <w:t>Fees</w:t>
      </w:r>
      <w:bookmarkEnd w:id="13"/>
      <w:bookmarkEnd w:id="14"/>
    </w:p>
    <w:p>
      <w:pPr>
        <w:pStyle w:val="yShoulderClause"/>
      </w:pPr>
      <w:r>
        <w:t>[r. 4(1)]</w:t>
      </w:r>
    </w:p>
    <w:p>
      <w:pPr>
        <w:pStyle w:val="yFootnoteheading"/>
        <w:spacing w:after="120"/>
      </w:pPr>
      <w:r>
        <w:tab/>
        <w:t>[Heading inserted: SL 2020/82 r. 9.]</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yTableNAm"/>
            </w:pPr>
          </w:p>
        </w:tc>
        <w:tc>
          <w:tcPr>
            <w:tcW w:w="3969" w:type="dxa"/>
          </w:tcPr>
          <w:p>
            <w:pPr>
              <w:pStyle w:val="yTableNAm"/>
              <w:rPr>
                <w:b/>
              </w:rPr>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$31.50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vAlign w:val="bottom"/>
          </w:tcPr>
          <w:p>
            <w:pPr>
              <w:pStyle w:val="yTableNAm"/>
            </w:pPr>
            <w:r>
              <w:t>$127.50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pPr>
            <w:r>
              <w:t>(a)</w:t>
            </w:r>
            <w:r>
              <w:tab/>
              <w:t>issued to a volunteer organisation</w:t>
            </w:r>
          </w:p>
        </w:tc>
        <w:tc>
          <w:tcPr>
            <w:tcW w:w="1097" w:type="dxa"/>
            <w:tcBorders>
              <w:top w:val="nil"/>
              <w:bottom w:val="nil"/>
            </w:tcBorders>
          </w:tcPr>
          <w:p>
            <w:pPr>
              <w:pStyle w:val="yTableNAm"/>
            </w:pPr>
            <w:r>
              <w:t>$16.70</w:t>
            </w:r>
          </w:p>
        </w:tc>
      </w:tr>
      <w:tr>
        <w:trPr>
          <w:cantSplit/>
        </w:trPr>
        <w:tc>
          <w:tcPr>
            <w:tcW w:w="851" w:type="dxa"/>
            <w:tcBorders>
              <w:top w:val="nil"/>
            </w:tcBorders>
          </w:tcPr>
          <w:p>
            <w:pPr>
              <w:pStyle w:val="yTableNAm"/>
            </w:pPr>
          </w:p>
        </w:tc>
        <w:tc>
          <w:tcPr>
            <w:tcW w:w="3969" w:type="dxa"/>
            <w:tcBorders>
              <w:top w:val="nil"/>
            </w:tcBorders>
          </w:tcPr>
          <w:p>
            <w:pPr>
              <w:pStyle w:val="yTableNAm"/>
            </w:pPr>
            <w:r>
              <w:t>(b)</w:t>
            </w:r>
            <w:r>
              <w:tab/>
              <w:t>issued to a public sector body</w:t>
            </w:r>
          </w:p>
        </w:tc>
        <w:tc>
          <w:tcPr>
            <w:tcW w:w="1097" w:type="dxa"/>
            <w:tcBorders>
              <w:top w:val="nil"/>
            </w:tcBorders>
          </w:tcPr>
          <w:p>
            <w:pPr>
              <w:pStyle w:val="yTableNAm"/>
            </w:pPr>
            <w:r>
              <w:t>$32.50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$55.80</w:t>
            </w:r>
          </w:p>
        </w:tc>
      </w:tr>
      <w:tr>
        <w:trPr>
          <w:cantSplit/>
        </w:trPr>
        <w:tc>
          <w:tcPr>
            <w:tcW w:w="851" w:type="dxa"/>
            <w:tcBorders>
              <w:bottom w:val="nil"/>
            </w:tcBorders>
          </w:tcPr>
          <w:p>
            <w:pPr>
              <w:pStyle w:val="yTableNAm"/>
              <w:keepNext/>
            </w:pPr>
            <w:r>
              <w:t>6.</w:t>
            </w:r>
          </w:p>
        </w:tc>
        <w:tc>
          <w:tcPr>
            <w:tcW w:w="3969" w:type="dxa"/>
            <w:tcBorders>
              <w:bottom w:val="nil"/>
            </w:tcBorders>
          </w:tcPr>
          <w:p>
            <w:pPr>
              <w:pStyle w:val="yTableNAm"/>
              <w:keepNext/>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keepNext/>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ind w:left="567" w:hanging="567"/>
            </w:pPr>
            <w:r>
              <w:t>(a)</w:t>
            </w:r>
            <w:r>
              <w:tab/>
              <w:t>to those involved or their representatives (outlining certain accident details)</w:t>
            </w:r>
          </w:p>
        </w:tc>
        <w:tc>
          <w:tcPr>
            <w:tcW w:w="1097" w:type="dxa"/>
            <w:tcBorders>
              <w:top w:val="nil"/>
              <w:bottom w:val="nil"/>
            </w:tcBorders>
            <w:vAlign w:val="bottom"/>
          </w:tcPr>
          <w:p>
            <w:pPr>
              <w:pStyle w:val="yTableNAm"/>
            </w:pPr>
            <w:r>
              <w:t>$46.90</w:t>
            </w:r>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ind w:left="567" w:hanging="567"/>
            </w:pPr>
            <w:r>
              <w:t>(b)</w:t>
            </w:r>
            <w:r>
              <w:tab/>
              <w:t>to the Insurance Commission of Western Australia for third party insurance purposes</w:t>
            </w:r>
          </w:p>
        </w:tc>
        <w:tc>
          <w:tcPr>
            <w:tcW w:w="1097" w:type="dxa"/>
            <w:tcBorders>
              <w:top w:val="nil"/>
              <w:bottom w:val="single" w:sz="4" w:space="0" w:color="auto"/>
            </w:tcBorders>
            <w:vAlign w:val="bottom"/>
          </w:tcPr>
          <w:p>
            <w:pPr>
              <w:pStyle w:val="yTableNAm"/>
            </w:pPr>
            <w:r>
              <w:t>$46.90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vAlign w:val="bottom"/>
          </w:tcPr>
          <w:p>
            <w:pPr>
              <w:pStyle w:val="yTableNAm"/>
            </w:pPr>
            <w:r>
              <w:t>$47.40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ind w:left="567" w:hanging="567"/>
            </w:pPr>
            <w:r>
              <w:t>(a)</w:t>
            </w:r>
            <w:r>
              <w:tab/>
              <w:t>a statement of the material facts of a charge, which has already been served (per hour or part of an hour)</w:t>
            </w:r>
          </w:p>
        </w:tc>
        <w:tc>
          <w:tcPr>
            <w:tcW w:w="1097" w:type="dxa"/>
            <w:tcBorders>
              <w:top w:val="nil"/>
              <w:bottom w:val="nil"/>
            </w:tcBorders>
            <w:vAlign w:val="bottom"/>
          </w:tcPr>
          <w:p>
            <w:pPr>
              <w:pStyle w:val="yTableNAm"/>
            </w:pPr>
            <w:r>
              <w:t>$98.00</w:t>
            </w:r>
          </w:p>
        </w:tc>
      </w:tr>
      <w:tr>
        <w:trPr>
          <w:cantSplit/>
        </w:trPr>
        <w:tc>
          <w:tcPr>
            <w:tcW w:w="851" w:type="dxa"/>
            <w:tcBorders>
              <w:top w:val="nil"/>
            </w:tcBorders>
          </w:tcPr>
          <w:p>
            <w:pPr>
              <w:pStyle w:val="yTableNAm"/>
            </w:pPr>
          </w:p>
        </w:tc>
        <w:tc>
          <w:tcPr>
            <w:tcW w:w="3969" w:type="dxa"/>
            <w:tcBorders>
              <w:top w:val="nil"/>
            </w:tcBorders>
          </w:tcPr>
          <w:p>
            <w:pPr>
              <w:pStyle w:val="yTableNAm"/>
              <w:ind w:left="567" w:hanging="567"/>
            </w:pPr>
            <w:r>
              <w:t>(b)</w:t>
            </w:r>
            <w:r>
              <w:tab/>
              <w:t>additional copy of documents already disclosed (per hour or part of an hour)</w:t>
            </w:r>
          </w:p>
        </w:tc>
        <w:tc>
          <w:tcPr>
            <w:tcW w:w="1097" w:type="dxa"/>
            <w:tcBorders>
              <w:top w:val="nil"/>
            </w:tcBorders>
            <w:vAlign w:val="bottom"/>
          </w:tcPr>
          <w:p>
            <w:pPr>
              <w:pStyle w:val="yTableNAm"/>
            </w:pPr>
            <w:r>
              <w:t>$98.00</w:t>
            </w:r>
          </w:p>
        </w:tc>
      </w:tr>
    </w:tbl>
    <w:p>
      <w:pPr>
        <w:pStyle w:val="yFootnotesection"/>
      </w:pPr>
      <w:r>
        <w:tab/>
        <w:t>[Schedule 1 inserted: SL 2020/82 r. 9.]</w:t>
      </w:r>
    </w:p>
    <w:p>
      <w:pPr>
        <w:pStyle w:val="yScheduleHeading"/>
      </w:pPr>
      <w:bookmarkStart w:id="16" w:name="_Toc43798720"/>
      <w:bookmarkStart w:id="17" w:name="_Toc43908710"/>
      <w:bookmarkStart w:id="18" w:name="_Toc43798409"/>
      <w:bookmarkEnd w:id="15"/>
      <w:r>
        <w:rPr>
          <w:rStyle w:val="CharSchNo"/>
        </w:rPr>
        <w:t>Schedule 2</w:t>
      </w:r>
      <w:r>
        <w:t> — </w:t>
      </w:r>
      <w:r>
        <w:rPr>
          <w:rStyle w:val="CharSchText"/>
        </w:rPr>
        <w:t>Charges for major events</w:t>
      </w:r>
      <w:bookmarkEnd w:id="16"/>
      <w:bookmarkEnd w:id="17"/>
    </w:p>
    <w:p>
      <w:pPr>
        <w:pStyle w:val="yShoulderClause"/>
      </w:pPr>
      <w:r>
        <w:t>[r. 6 and 8]</w:t>
      </w:r>
    </w:p>
    <w:p>
      <w:pPr>
        <w:pStyle w:val="yFootnoteheading"/>
        <w:spacing w:after="120"/>
      </w:pPr>
      <w:r>
        <w:tab/>
        <w:t>[Heading inserted: SL 2020/82 r. 10.]</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yTableNAm"/>
              <w:keepNext/>
              <w:keepLines/>
            </w:pPr>
          </w:p>
        </w:tc>
        <w:tc>
          <w:tcPr>
            <w:tcW w:w="3827" w:type="dxa"/>
          </w:tcPr>
          <w:p>
            <w:pPr>
              <w:pStyle w:val="yTableNAm"/>
              <w:keepNext/>
              <w:keepLines/>
              <w:rPr>
                <w:b/>
              </w:rPr>
            </w:pPr>
            <w:r>
              <w:rPr>
                <w:b/>
              </w:rPr>
              <w:t>Rate/hour</w:t>
            </w:r>
          </w:p>
        </w:tc>
        <w:tc>
          <w:tcPr>
            <w:tcW w:w="1239" w:type="dxa"/>
          </w:tcPr>
          <w:p>
            <w:pPr>
              <w:pStyle w:val="yTableNAm"/>
              <w:keepNext/>
              <w:keepLines/>
              <w:rPr>
                <w:b/>
              </w:rPr>
            </w:pPr>
            <w:r>
              <w:rPr>
                <w:b/>
              </w:rPr>
              <w:t>Amount</w:t>
            </w:r>
          </w:p>
        </w:tc>
      </w:tr>
      <w:tr>
        <w:tc>
          <w:tcPr>
            <w:tcW w:w="851" w:type="dxa"/>
          </w:tcPr>
          <w:p>
            <w:pPr>
              <w:pStyle w:val="yTableNAm"/>
              <w:keepNext/>
              <w:keepLines/>
            </w:pPr>
            <w:r>
              <w:t>1.</w:t>
            </w:r>
          </w:p>
        </w:tc>
        <w:tc>
          <w:tcPr>
            <w:tcW w:w="3827" w:type="dxa"/>
          </w:tcPr>
          <w:p>
            <w:pPr>
              <w:pStyle w:val="yTableNAm"/>
              <w:keepNext/>
              <w:keepLines/>
            </w:pPr>
            <w:r>
              <w:t>Planning rate</w:t>
            </w:r>
          </w:p>
        </w:tc>
        <w:tc>
          <w:tcPr>
            <w:tcW w:w="1239" w:type="dxa"/>
          </w:tcPr>
          <w:p>
            <w:pPr>
              <w:pStyle w:val="yTableNAm"/>
              <w:keepNext/>
              <w:keepLines/>
            </w:pPr>
            <w:r>
              <w:t>$61.00</w:t>
            </w:r>
          </w:p>
        </w:tc>
      </w:tr>
      <w:tr>
        <w:tc>
          <w:tcPr>
            <w:tcW w:w="851" w:type="dxa"/>
          </w:tcPr>
          <w:p>
            <w:pPr>
              <w:pStyle w:val="yTableNAm"/>
              <w:keepNext/>
              <w:keepLines/>
            </w:pPr>
            <w:r>
              <w:t>2.</w:t>
            </w:r>
          </w:p>
        </w:tc>
        <w:tc>
          <w:tcPr>
            <w:tcW w:w="3827" w:type="dxa"/>
          </w:tcPr>
          <w:p>
            <w:pPr>
              <w:pStyle w:val="yTableNAm"/>
              <w:keepNext/>
              <w:keepLines/>
            </w:pPr>
            <w:r>
              <w:t>Attendance rate</w:t>
            </w:r>
          </w:p>
        </w:tc>
        <w:tc>
          <w:tcPr>
            <w:tcW w:w="1239" w:type="dxa"/>
          </w:tcPr>
          <w:p>
            <w:pPr>
              <w:pStyle w:val="yTableNAm"/>
              <w:keepNext/>
              <w:keepLines/>
            </w:pPr>
            <w:r>
              <w:t>$108.00</w:t>
            </w:r>
          </w:p>
        </w:tc>
      </w:tr>
      <w:tr>
        <w:tc>
          <w:tcPr>
            <w:tcW w:w="851" w:type="dxa"/>
          </w:tcPr>
          <w:p>
            <w:pPr>
              <w:pStyle w:val="yTableNAm"/>
              <w:keepNext/>
              <w:keepLines/>
            </w:pPr>
            <w:r>
              <w:t>3.</w:t>
            </w:r>
          </w:p>
        </w:tc>
        <w:tc>
          <w:tcPr>
            <w:tcW w:w="3827" w:type="dxa"/>
          </w:tcPr>
          <w:p>
            <w:pPr>
              <w:pStyle w:val="yTableNAm"/>
              <w:keepNext/>
              <w:keepLines/>
            </w:pPr>
            <w:r>
              <w:t>General overhead expenses rate</w:t>
            </w:r>
          </w:p>
        </w:tc>
        <w:tc>
          <w:tcPr>
            <w:tcW w:w="1239" w:type="dxa"/>
          </w:tcPr>
          <w:p>
            <w:pPr>
              <w:pStyle w:val="yTableNAm"/>
              <w:keepNext/>
              <w:keepLines/>
            </w:pPr>
            <w:r>
              <w:t>$15.00</w:t>
            </w:r>
          </w:p>
        </w:tc>
      </w:tr>
      <w:tr>
        <w:tc>
          <w:tcPr>
            <w:tcW w:w="851" w:type="dxa"/>
          </w:tcPr>
          <w:p>
            <w:pPr>
              <w:pStyle w:val="yTableNAm"/>
              <w:keepNext/>
              <w:keepLines/>
            </w:pPr>
            <w:r>
              <w:t>4.</w:t>
            </w:r>
          </w:p>
        </w:tc>
        <w:tc>
          <w:tcPr>
            <w:tcW w:w="3827" w:type="dxa"/>
          </w:tcPr>
          <w:p>
            <w:pPr>
              <w:pStyle w:val="yTableNAm"/>
              <w:keepNext/>
              <w:keepLines/>
            </w:pPr>
            <w:r>
              <w:t>Overhead expenses rate for air support — helicopter</w:t>
            </w:r>
          </w:p>
        </w:tc>
        <w:tc>
          <w:tcPr>
            <w:tcW w:w="1239" w:type="dxa"/>
            <w:vAlign w:val="bottom"/>
          </w:tcPr>
          <w:p>
            <w:pPr>
              <w:pStyle w:val="yTableNAm"/>
              <w:keepNext/>
              <w:keepLines/>
            </w:pPr>
            <w:r>
              <w:t>$2 857.00</w:t>
            </w:r>
          </w:p>
        </w:tc>
      </w:tr>
      <w:tr>
        <w:tc>
          <w:tcPr>
            <w:tcW w:w="851" w:type="dxa"/>
          </w:tcPr>
          <w:p>
            <w:pPr>
              <w:pStyle w:val="yTableNAm"/>
              <w:keepNext/>
              <w:keepLines/>
            </w:pPr>
            <w:r>
              <w:t>5.</w:t>
            </w:r>
          </w:p>
        </w:tc>
        <w:tc>
          <w:tcPr>
            <w:tcW w:w="3827" w:type="dxa"/>
          </w:tcPr>
          <w:p>
            <w:pPr>
              <w:pStyle w:val="yTableNAm"/>
              <w:keepNext/>
              <w:keepLines/>
            </w:pPr>
            <w:r>
              <w:t>Overhead expenses rate for air support — fixed wing aircraft</w:t>
            </w:r>
          </w:p>
        </w:tc>
        <w:tc>
          <w:tcPr>
            <w:tcW w:w="1239" w:type="dxa"/>
            <w:vAlign w:val="bottom"/>
          </w:tcPr>
          <w:p>
            <w:pPr>
              <w:pStyle w:val="yTableNAm"/>
              <w:keepNext/>
              <w:keepLines/>
            </w:pPr>
            <w:r>
              <w:t>$1 721.00</w:t>
            </w:r>
          </w:p>
        </w:tc>
      </w:tr>
    </w:tbl>
    <w:p>
      <w:pPr>
        <w:pStyle w:val="yFootnotesection"/>
      </w:pPr>
      <w:r>
        <w:tab/>
        <w:t>[Schedule 2 inserted: SL 2020/82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bookmarkEnd w:id="18"/>
    <w:p>
      <w:pPr>
        <w:pStyle w:val="yFootnotesection"/>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0" w:name="_Toc43798410"/>
      <w:bookmarkStart w:id="21" w:name="_Toc43798721"/>
      <w:bookmarkStart w:id="22" w:name="_Toc43908711"/>
      <w:r>
        <w:t>Notes</w:t>
      </w:r>
      <w:bookmarkEnd w:id="20"/>
      <w:bookmarkEnd w:id="21"/>
      <w:bookmarkEnd w:id="22"/>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w:t>
      </w:r>
    </w:p>
    <w:p>
      <w:pPr>
        <w:pStyle w:val="nHeading3"/>
      </w:pPr>
      <w:bookmarkStart w:id="23" w:name="_Toc43908712"/>
      <w:r>
        <w:t>Compilation table</w:t>
      </w:r>
      <w:bookmarkEnd w:id="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single" w:sz="4" w:space="0" w:color="auto"/>
            </w:tcBorders>
          </w:tcPr>
          <w:p>
            <w:pPr>
              <w:pStyle w:val="nTable"/>
              <w:spacing w:after="40"/>
              <w:rPr>
                <w:i/>
              </w:rPr>
            </w:pPr>
            <w:r>
              <w:rPr>
                <w:i/>
              </w:rPr>
              <w:t>Police Regulations Amendment (Fees and Charges) Regulations 2020</w:t>
            </w:r>
            <w:r>
              <w:t xml:space="preserve"> Pt. 4</w:t>
            </w:r>
          </w:p>
        </w:tc>
        <w:tc>
          <w:tcPr>
            <w:tcW w:w="1276" w:type="dxa"/>
            <w:tcBorders>
              <w:top w:val="nil"/>
              <w:bottom w:val="single" w:sz="4" w:space="0" w:color="auto"/>
            </w:tcBorders>
          </w:tcPr>
          <w:p>
            <w:pPr>
              <w:pStyle w:val="nTable"/>
              <w:spacing w:after="40"/>
            </w:pPr>
            <w:r>
              <w:t xml:space="preserve">SL 2020/82 19 Jun 2020 </w:t>
            </w:r>
          </w:p>
        </w:tc>
        <w:tc>
          <w:tcPr>
            <w:tcW w:w="2693" w:type="dxa"/>
            <w:tcBorders>
              <w:top w:val="nil"/>
              <w:bottom w:val="single" w:sz="4" w:space="0" w:color="auto"/>
            </w:tcBorders>
          </w:tcPr>
          <w:p>
            <w:pPr>
              <w:pStyle w:val="nTable"/>
              <w:spacing w:after="40"/>
            </w:pPr>
            <w:r>
              <w:t>1 Jul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5" w:name="_Toc43798413"/>
      <w:bookmarkStart w:id="26" w:name="_Toc43798723"/>
      <w:bookmarkStart w:id="27" w:name="_Toc43908713"/>
      <w:r>
        <w:rPr>
          <w:sz w:val="28"/>
        </w:rPr>
        <w:t>Defined terms</w:t>
      </w:r>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30952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251B4-8FAC-4559-9194-2597BCD33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1379</Words>
  <Characters>6869</Characters>
  <Application>Microsoft Office Word</Application>
  <DocSecurity>0</DocSecurity>
  <Lines>298</Lines>
  <Paragraphs>206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2018 - 00-g0-01</dc:title>
  <dc:subject/>
  <dc:creator/>
  <cp:keywords/>
  <dc:description/>
  <cp:lastModifiedBy>svcMRProcess</cp:lastModifiedBy>
  <cp:revision>4</cp:revision>
  <cp:lastPrinted>2019-06-25T00:38:00Z</cp:lastPrinted>
  <dcterms:created xsi:type="dcterms:W3CDTF">2020-06-30T04:42:00Z</dcterms:created>
  <dcterms:modified xsi:type="dcterms:W3CDTF">2020-06-30T04:42:00Z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2020</vt:lpwstr>
  </property>
  <property fmtid="{D5CDD505-2E9C-101B-9397-08002B2CF9AE}" pid="4" name="Suffix">
    <vt:lpwstr>00-g0-01</vt:lpwstr>
  </property>
  <property fmtid="{D5CDD505-2E9C-101B-9397-08002B2CF9AE}" pid="5" name="CommencementDate">
    <vt:lpwstr>20200701</vt:lpwstr>
  </property>
</Properties>
</file>