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_Toc43909107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_Toc43909108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_Toc43909109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_Toc43909110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_Toc43909112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_Toc43909113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_Toc43909114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_Toc43909116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_Toc43909117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_Toc43909118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_Toc43909119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_Toc43909120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_Toc43909121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_Toc43909122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_Toc43909123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_Toc43909125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_Toc43909128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_Toc43909129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_Toc43909130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_Toc43909131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_Toc43909132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_Toc43909133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_Toc43909134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_Toc43909135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_Toc43909136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_Toc43909137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_Toc43909139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_Toc43909140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_Toc43909142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_Toc43909143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_Toc43909145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_Toc43909146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_Toc43909148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_Toc43909149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_Toc43909150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_Toc43909151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_Toc43909152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_Toc43909153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_Toc43909154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_Toc43909155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_Toc43909156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_Toc43909157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_Toc43909158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_Toc43909160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_Toc43909161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_Toc43909162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_Toc43909163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_Toc43909164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_Toc43909165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_Toc43909166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_Toc43909167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_Toc43909168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_Toc43909169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_Toc43909170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_Toc43909172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_Toc43909173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_Toc43909174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_Toc43909175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_Toc43909176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_Toc43909177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_Toc43909178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_Toc43909181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_Toc43909182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_Toc43909183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_Toc43909184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_Toc43909185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_Toc43909186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_Toc43909187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_Toc43909189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_Toc43909190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_Toc43909191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_Toc43909192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_Toc43909193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_Toc43909194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_Toc43909196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_Toc43909198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_Toc43909199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_Toc43909201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_Toc43909203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_Toc43909204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_Toc43909205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_Toc43909206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_Toc43909207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_Toc43909208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_Toc43909210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_Toc43909211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_Toc43909212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_Toc43909213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_Toc43909215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_Toc43909226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_Toc43909227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798852"/>
      <w:bookmarkStart w:id="4" w:name="_Toc43799153"/>
      <w:bookmarkStart w:id="5" w:name="_Toc43909106"/>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43909107"/>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4390910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8" w:name="_Toc4390910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9" w:name="_Toc43909110"/>
      <w:r>
        <w:rPr>
          <w:rStyle w:val="CharSectno"/>
        </w:rPr>
        <w:t>4A</w:t>
      </w:r>
      <w:r>
        <w:t>.</w:t>
      </w:r>
      <w:r>
        <w:tab/>
        <w:t>Method of giving things to Commissioner, Superintendent or licensing officer</w:t>
      </w:r>
      <w:bookmarkEnd w:id="9"/>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0" w:name="_Toc43798857"/>
      <w:bookmarkStart w:id="11" w:name="_Toc43799158"/>
      <w:bookmarkStart w:id="12" w:name="_Toc43909111"/>
      <w:r>
        <w:rPr>
          <w:rStyle w:val="CharPartNo"/>
        </w:rPr>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43909112"/>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4" w:name="_Toc43909113"/>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5" w:name="_Toc43909114"/>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6" w:name="_Toc43798861"/>
      <w:bookmarkStart w:id="17" w:name="_Toc43799162"/>
      <w:bookmarkStart w:id="18" w:name="_Toc43909115"/>
      <w:r>
        <w:rPr>
          <w:rStyle w:val="CharPartNo"/>
        </w:rPr>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43909116"/>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0" w:name="_Toc43909117"/>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1" w:name="_Toc43909118"/>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2" w:name="_Toc43909119"/>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3" w:name="_Toc43909120"/>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4" w:name="_Toc43909121"/>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5" w:name="_Toc43909122"/>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6" w:name="_Toc43909123"/>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43798870"/>
      <w:bookmarkStart w:id="28" w:name="_Toc43799171"/>
      <w:bookmarkStart w:id="29" w:name="_Toc43909124"/>
      <w:r>
        <w:rPr>
          <w:rStyle w:val="CharPartNo"/>
        </w:rPr>
        <w:t>Part 3A</w:t>
      </w:r>
      <w:r>
        <w:t xml:space="preserve"> — </w:t>
      </w:r>
      <w:r>
        <w:rPr>
          <w:rStyle w:val="CharPartText"/>
        </w:rPr>
        <w:t>Inquiry activities</w:t>
      </w:r>
      <w:bookmarkEnd w:id="27"/>
      <w:bookmarkEnd w:id="28"/>
      <w:bookmarkEnd w:id="29"/>
    </w:p>
    <w:p>
      <w:pPr>
        <w:pStyle w:val="Footnoteheading"/>
      </w:pPr>
      <w:r>
        <w:tab/>
        <w:t>[Heading inserted: Gazette 10 Mar 2000 p. 1124.]</w:t>
      </w:r>
    </w:p>
    <w:p>
      <w:pPr>
        <w:pStyle w:val="Heading5"/>
      </w:pPr>
      <w:bookmarkStart w:id="30" w:name="_Toc43909125"/>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1" w:name="_Toc43798872"/>
      <w:bookmarkStart w:id="32" w:name="_Toc43799173"/>
      <w:bookmarkStart w:id="33" w:name="_Toc43909126"/>
      <w:r>
        <w:rPr>
          <w:rStyle w:val="CharPartNo"/>
        </w:rPr>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43798873"/>
      <w:bookmarkStart w:id="35" w:name="_Toc43799174"/>
      <w:bookmarkStart w:id="36" w:name="_Toc43909127"/>
      <w:r>
        <w:rPr>
          <w:rStyle w:val="CharDivNo"/>
        </w:rPr>
        <w:t>Division 1</w:t>
      </w:r>
      <w:r>
        <w:t> — </w:t>
      </w:r>
      <w:r>
        <w:rPr>
          <w:rStyle w:val="CharDivText"/>
        </w:rPr>
        <w:t>Licences other than temporary licences</w:t>
      </w:r>
      <w:bookmarkEnd w:id="34"/>
      <w:bookmarkEnd w:id="35"/>
      <w:bookmarkEnd w:id="36"/>
    </w:p>
    <w:p>
      <w:pPr>
        <w:pStyle w:val="Footnoteheading"/>
      </w:pPr>
      <w:r>
        <w:tab/>
        <w:t>[Heading inserted: Gazette 4 Dec 2009 p. 4893.]</w:t>
      </w:r>
    </w:p>
    <w:p>
      <w:pPr>
        <w:pStyle w:val="Heading5"/>
        <w:spacing w:before="180"/>
        <w:rPr>
          <w:snapToGrid w:val="0"/>
        </w:rPr>
      </w:pPr>
      <w:bookmarkStart w:id="37" w:name="_Toc43909128"/>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8" w:name="_Toc43909129"/>
      <w:r>
        <w:rPr>
          <w:rStyle w:val="CharSectno"/>
        </w:rPr>
        <w:t>14A</w:t>
      </w:r>
      <w:r>
        <w:t>.</w:t>
      </w:r>
      <w:r>
        <w:tab/>
        <w:t>Training course in firearms discharge, approval of providers of</w:t>
      </w:r>
      <w:bookmarkEnd w:id="3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9" w:name="_Toc43909130"/>
      <w:r>
        <w:rPr>
          <w:rStyle w:val="CharSectno"/>
        </w:rPr>
        <w:t>15</w:t>
      </w:r>
      <w:r>
        <w:t>.</w:t>
      </w:r>
      <w:r>
        <w:tab/>
        <w:t>Medical examination prescribed for security officers authorised to possess firearm (Act s. 47(1)(d) and 52(1)(h))</w:t>
      </w:r>
      <w:bookmarkEnd w:id="39"/>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0" w:name="_Toc43909131"/>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1" w:name="_Toc43909132"/>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2" w:name="_Toc43909133"/>
      <w:r>
        <w:rPr>
          <w:rStyle w:val="CharSectno"/>
        </w:rPr>
        <w:t>17</w:t>
      </w:r>
      <w:r>
        <w:rPr>
          <w:snapToGrid w:val="0"/>
        </w:rPr>
        <w:t>.</w:t>
      </w:r>
      <w:r>
        <w:rPr>
          <w:snapToGrid w:val="0"/>
        </w:rPr>
        <w:tab/>
        <w:t>Examinations prescribed (Act s. 47(1)(f)(ii) and 52(1)(g)(ii))</w:t>
      </w:r>
      <w:bookmarkEnd w:id="4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3" w:name="_Toc43909134"/>
      <w:r>
        <w:rPr>
          <w:rStyle w:val="CharSectno"/>
        </w:rPr>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4" w:name="_Toc43909135"/>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5" w:name="_Toc43909136"/>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43909137"/>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7" w:name="_Toc43798884"/>
      <w:bookmarkStart w:id="48" w:name="_Toc43799185"/>
      <w:bookmarkStart w:id="49" w:name="_Toc43909138"/>
      <w:r>
        <w:rPr>
          <w:rStyle w:val="CharDivNo"/>
        </w:rPr>
        <w:t>Division 2</w:t>
      </w:r>
      <w:r>
        <w:t> — </w:t>
      </w:r>
      <w:r>
        <w:rPr>
          <w:rStyle w:val="CharDivText"/>
        </w:rPr>
        <w:t>Temporary licences</w:t>
      </w:r>
      <w:bookmarkEnd w:id="47"/>
      <w:bookmarkEnd w:id="48"/>
      <w:bookmarkEnd w:id="49"/>
    </w:p>
    <w:p>
      <w:pPr>
        <w:pStyle w:val="Footnoteheading"/>
      </w:pPr>
      <w:r>
        <w:tab/>
        <w:t>[Heading inserted: Gazette 4 Dec 2009 p. 4898.]</w:t>
      </w:r>
    </w:p>
    <w:p>
      <w:pPr>
        <w:pStyle w:val="Heading5"/>
        <w:spacing w:before="240"/>
      </w:pPr>
      <w:bookmarkStart w:id="50" w:name="_Toc43909139"/>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1" w:name="_Toc43909140"/>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2" w:name="_Toc43798887"/>
      <w:bookmarkStart w:id="53" w:name="_Toc43799188"/>
      <w:bookmarkStart w:id="54" w:name="_Toc43909141"/>
      <w:r>
        <w:rPr>
          <w:rStyle w:val="CharPartNo"/>
        </w:rPr>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Gazette 4 Dec 2009 p. 4900.]</w:t>
      </w:r>
    </w:p>
    <w:p>
      <w:pPr>
        <w:pStyle w:val="Heading5"/>
      </w:pPr>
      <w:bookmarkStart w:id="55" w:name="_Toc43909142"/>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6" w:name="_Toc43909143"/>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7" w:name="_Toc43798890"/>
      <w:bookmarkStart w:id="58" w:name="_Toc43799191"/>
      <w:bookmarkStart w:id="59" w:name="_Toc43909144"/>
      <w:r>
        <w:rPr>
          <w:rStyle w:val="CharPartNo"/>
        </w:rPr>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Gazette 4 Dec 2009 p. 4901.]</w:t>
      </w:r>
    </w:p>
    <w:p>
      <w:pPr>
        <w:pStyle w:val="Heading5"/>
      </w:pPr>
      <w:bookmarkStart w:id="60" w:name="_Toc43909145"/>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1" w:name="_Toc43909146"/>
      <w:r>
        <w:rPr>
          <w:rStyle w:val="CharSectno"/>
        </w:rPr>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62" w:name="_Toc43798893"/>
      <w:bookmarkStart w:id="63" w:name="_Toc43799194"/>
      <w:bookmarkStart w:id="64" w:name="_Toc43909147"/>
      <w:r>
        <w:rPr>
          <w:rStyle w:val="CharPartNo"/>
        </w:rPr>
        <w:t>Part 6</w:t>
      </w:r>
      <w:r>
        <w:rPr>
          <w:rStyle w:val="CharDivNo"/>
        </w:rPr>
        <w:t> </w:t>
      </w:r>
      <w:r>
        <w:t>—</w:t>
      </w:r>
      <w:r>
        <w:rPr>
          <w:rStyle w:val="CharDivText"/>
        </w:rPr>
        <w:t> </w:t>
      </w:r>
      <w:r>
        <w:rPr>
          <w:rStyle w:val="CharPartText"/>
        </w:rPr>
        <w:t>Records</w:t>
      </w:r>
      <w:bookmarkEnd w:id="62"/>
      <w:bookmarkEnd w:id="63"/>
      <w:bookmarkEnd w:id="64"/>
      <w:r>
        <w:rPr>
          <w:rStyle w:val="CharPartText"/>
        </w:rPr>
        <w:t xml:space="preserve"> </w:t>
      </w:r>
    </w:p>
    <w:p>
      <w:pPr>
        <w:pStyle w:val="Heading5"/>
        <w:rPr>
          <w:snapToGrid w:val="0"/>
        </w:rPr>
      </w:pPr>
      <w:bookmarkStart w:id="65" w:name="_Toc43909148"/>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6" w:name="_Toc43909149"/>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7" w:name="_Toc43909150"/>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8" w:name="_Toc43909151"/>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9" w:name="_Toc43909152"/>
      <w:r>
        <w:rPr>
          <w:rStyle w:val="CharSectno"/>
        </w:rPr>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70" w:name="_Toc43909153"/>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1" w:name="_Toc43909154"/>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2" w:name="_Toc43909155"/>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3" w:name="_Toc43909156"/>
      <w:r>
        <w:rPr>
          <w:rStyle w:val="CharSectno"/>
        </w:rPr>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4" w:name="_Toc43909157"/>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5" w:name="_Toc43909158"/>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6" w:name="_Toc43798905"/>
      <w:bookmarkStart w:id="77" w:name="_Toc43799206"/>
      <w:bookmarkStart w:id="78" w:name="_Toc43909159"/>
      <w:r>
        <w:rPr>
          <w:rStyle w:val="CharPartNo"/>
        </w:rPr>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43909160"/>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80" w:name="_Toc43909161"/>
      <w:r>
        <w:rPr>
          <w:rStyle w:val="CharSectno"/>
        </w:rPr>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43909162"/>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2" w:name="_Toc43909163"/>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3" w:name="_Toc43909164"/>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4" w:name="_Toc43909165"/>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85" w:name="_Toc43909166"/>
      <w:r>
        <w:rPr>
          <w:rStyle w:val="CharSectno"/>
        </w:rPr>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43909167"/>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7" w:name="_Toc43909168"/>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8" w:name="_Toc43909169"/>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43909170"/>
      <w:r>
        <w:rPr>
          <w:rStyle w:val="CharSectno"/>
        </w:rPr>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90" w:name="_Toc43798917"/>
      <w:bookmarkStart w:id="91" w:name="_Toc43799218"/>
      <w:bookmarkStart w:id="92" w:name="_Toc43909171"/>
      <w:r>
        <w:rPr>
          <w:rStyle w:val="CharPartNo"/>
        </w:rPr>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43909172"/>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43909173"/>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5" w:name="_Toc43909174"/>
      <w:r>
        <w:rPr>
          <w:rStyle w:val="CharSectno"/>
        </w:rPr>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6" w:name="_Toc43909175"/>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7" w:name="_Toc43909176"/>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8" w:name="_Toc43909177"/>
      <w:r>
        <w:rPr>
          <w:rStyle w:val="CharSectno"/>
        </w:rPr>
        <w:t>58</w:t>
      </w:r>
      <w:r>
        <w:t>.</w:t>
      </w:r>
      <w:r>
        <w:tab/>
        <w:t>Prescribed offences and modified penalties</w:t>
      </w:r>
      <w:bookmarkEnd w:id="9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9" w:name="_Toc43909178"/>
      <w:r>
        <w:rPr>
          <w:rStyle w:val="CharSectno"/>
        </w:rPr>
        <w:t>59</w:t>
      </w:r>
      <w:r>
        <w:t>.</w:t>
      </w:r>
      <w:r>
        <w:tab/>
        <w:t>Forms</w:t>
      </w:r>
      <w:bookmarkEnd w:id="99"/>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0" w:name="_Toc43798925"/>
      <w:bookmarkStart w:id="101" w:name="_Toc43799226"/>
      <w:bookmarkStart w:id="102" w:name="_Toc43909179"/>
      <w:r>
        <w:rPr>
          <w:rStyle w:val="CharSchNo"/>
        </w:rPr>
        <w:t>Schedule 1</w:t>
      </w:r>
      <w:r>
        <w:t> — </w:t>
      </w:r>
      <w:r>
        <w:rPr>
          <w:rStyle w:val="CharSchText"/>
        </w:rPr>
        <w:t>Conditions and restrictions attached to licences</w:t>
      </w:r>
      <w:bookmarkEnd w:id="100"/>
      <w:bookmarkEnd w:id="101"/>
      <w:bookmarkEnd w:id="102"/>
    </w:p>
    <w:p>
      <w:pPr>
        <w:pStyle w:val="yShoulderClause"/>
        <w:rPr>
          <w:snapToGrid w:val="0"/>
        </w:rPr>
      </w:pPr>
      <w:r>
        <w:rPr>
          <w:snapToGrid w:val="0"/>
        </w:rPr>
        <w:t>[Regulation 21]</w:t>
      </w:r>
    </w:p>
    <w:p>
      <w:pPr>
        <w:pStyle w:val="yHeading3"/>
        <w:rPr>
          <w:snapToGrid w:val="0"/>
        </w:rPr>
      </w:pPr>
      <w:bookmarkStart w:id="103" w:name="_Toc43798926"/>
      <w:bookmarkStart w:id="104" w:name="_Toc43799227"/>
      <w:bookmarkStart w:id="105" w:name="_Toc43909180"/>
      <w:r>
        <w:rPr>
          <w:rStyle w:val="CharSDivNo"/>
        </w:rPr>
        <w:t>Division 1</w:t>
      </w:r>
      <w:r>
        <w:rPr>
          <w:snapToGrid w:val="0"/>
        </w:rPr>
        <w:t> — </w:t>
      </w:r>
      <w:r>
        <w:rPr>
          <w:rStyle w:val="CharSDivText"/>
        </w:rPr>
        <w:t>Security agent’s licence</w:t>
      </w:r>
      <w:bookmarkEnd w:id="103"/>
      <w:bookmarkEnd w:id="104"/>
      <w:bookmarkEnd w:id="105"/>
    </w:p>
    <w:p>
      <w:pPr>
        <w:pStyle w:val="yHeading5"/>
        <w:rPr>
          <w:snapToGrid w:val="0"/>
        </w:rPr>
      </w:pPr>
      <w:bookmarkStart w:id="106" w:name="_Toc43909181"/>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43909182"/>
      <w:r>
        <w:rPr>
          <w:rStyle w:val="CharSClsNo"/>
        </w:rPr>
        <w:t>2</w:t>
      </w:r>
      <w:r>
        <w:t>.</w:t>
      </w:r>
      <w:r>
        <w:tab/>
        <w:t>Uniforms to be worn by security officers</w:t>
      </w:r>
      <w:bookmarkEnd w:id="10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08" w:name="_Toc43909183"/>
      <w:r>
        <w:rPr>
          <w:rStyle w:val="CharSClsNo"/>
        </w:rPr>
        <w:t>3</w:t>
      </w:r>
      <w:r>
        <w:t>.</w:t>
      </w:r>
      <w:r>
        <w:tab/>
        <w:t>Markings on vehicles used by security officers</w:t>
      </w:r>
      <w:bookmarkEnd w:id="10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09" w:name="_Toc43909184"/>
      <w:r>
        <w:rPr>
          <w:rStyle w:val="CharSClsNo"/>
        </w:rPr>
        <w:t>4A</w:t>
      </w:r>
      <w:r>
        <w:t>.</w:t>
      </w:r>
      <w:r>
        <w:rPr>
          <w:b w:val="0"/>
        </w:rPr>
        <w:tab/>
      </w:r>
      <w:r>
        <w:t>Dogs not to be used without training</w:t>
      </w:r>
      <w:bookmarkEnd w:id="10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10" w:name="_Toc43909185"/>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11" w:name="_Toc43909186"/>
      <w:r>
        <w:rPr>
          <w:rStyle w:val="CharSClsNo"/>
        </w:rPr>
        <w:t>5</w:t>
      </w:r>
      <w:r>
        <w:rPr>
          <w:snapToGrid w:val="0"/>
        </w:rPr>
        <w:t>.</w:t>
      </w:r>
      <w:r>
        <w:rPr>
          <w:snapToGrid w:val="0"/>
        </w:rPr>
        <w:tab/>
        <w:t>Firearm security</w:t>
      </w:r>
      <w:bookmarkEnd w:id="1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12" w:name="_Toc43909187"/>
      <w:r>
        <w:rPr>
          <w:rStyle w:val="CharSClsNo"/>
        </w:rPr>
        <w:t>6</w:t>
      </w:r>
      <w:r>
        <w:t>.</w:t>
      </w:r>
      <w:r>
        <w:rPr>
          <w:b w:val="0"/>
        </w:rPr>
        <w:tab/>
      </w:r>
      <w:r>
        <w:rPr>
          <w:rStyle w:val="CharSClsNo"/>
        </w:rPr>
        <w:t>Weapons</w:t>
      </w:r>
      <w:r>
        <w:t xml:space="preserve"> training required for certain security officers</w:t>
      </w:r>
      <w:bookmarkEnd w:id="11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13" w:name="_Toc43798934"/>
      <w:bookmarkStart w:id="114" w:name="_Toc43799235"/>
      <w:bookmarkStart w:id="115" w:name="_Toc43909188"/>
      <w:r>
        <w:rPr>
          <w:rStyle w:val="CharSDivNo"/>
        </w:rPr>
        <w:t>Division 2</w:t>
      </w:r>
      <w:r>
        <w:rPr>
          <w:snapToGrid w:val="0"/>
        </w:rPr>
        <w:t> — </w:t>
      </w:r>
      <w:r>
        <w:rPr>
          <w:rStyle w:val="CharSDivText"/>
        </w:rPr>
        <w:t>Security officer’s licence</w:t>
      </w:r>
      <w:bookmarkEnd w:id="113"/>
      <w:bookmarkEnd w:id="114"/>
      <w:bookmarkEnd w:id="115"/>
      <w:r>
        <w:rPr>
          <w:snapToGrid w:val="0"/>
        </w:rPr>
        <w:t xml:space="preserve"> </w:t>
      </w:r>
    </w:p>
    <w:p>
      <w:pPr>
        <w:pStyle w:val="yHeading5"/>
        <w:rPr>
          <w:snapToGrid w:val="0"/>
        </w:rPr>
      </w:pPr>
      <w:bookmarkStart w:id="116" w:name="_Toc4390918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17" w:name="_Toc43909190"/>
      <w:r>
        <w:rPr>
          <w:rStyle w:val="CharSClsNo"/>
        </w:rPr>
        <w:t>8</w:t>
      </w:r>
      <w:r>
        <w:t>.</w:t>
      </w:r>
      <w:r>
        <w:tab/>
        <w:t>M</w:t>
      </w:r>
      <w:r>
        <w:rPr>
          <w:snapToGrid w:val="0"/>
        </w:rPr>
        <w:t>arkings on vehicles used by security officers</w:t>
      </w:r>
      <w:bookmarkEnd w:id="11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18" w:name="_Toc43909191"/>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9" w:name="_Toc43909192"/>
      <w:r>
        <w:rPr>
          <w:rStyle w:val="CharSClsNo"/>
        </w:rPr>
        <w:t>10</w:t>
      </w:r>
      <w:r>
        <w:t>.</w:t>
      </w:r>
      <w:r>
        <w:rPr>
          <w:rStyle w:val="CharSClsNo"/>
        </w:rPr>
        <w:tab/>
        <w:t>Firearm</w:t>
      </w:r>
      <w:r>
        <w:rPr>
          <w:snapToGrid w:val="0"/>
        </w:rPr>
        <w:t xml:space="preserve"> security</w:t>
      </w:r>
      <w:bookmarkEnd w:id="1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20" w:name="_Toc43909193"/>
      <w:r>
        <w:rPr>
          <w:rStyle w:val="CharSClsNo"/>
        </w:rPr>
        <w:t>11A</w:t>
      </w:r>
      <w:r>
        <w:t>.</w:t>
      </w:r>
      <w:r>
        <w:rPr>
          <w:b w:val="0"/>
        </w:rPr>
        <w:tab/>
      </w:r>
      <w:r>
        <w:t>Dogs not to be used without training</w:t>
      </w:r>
      <w:bookmarkEnd w:id="12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21" w:name="_Toc43909194"/>
      <w:r>
        <w:rPr>
          <w:rStyle w:val="CharSClsNo"/>
        </w:rPr>
        <w:t>11B</w:t>
      </w:r>
      <w:r>
        <w:t>.</w:t>
      </w:r>
      <w:r>
        <w:rPr>
          <w:b w:val="0"/>
        </w:rPr>
        <w:tab/>
      </w:r>
      <w:r>
        <w:t>First aid certificate</w:t>
      </w:r>
      <w:bookmarkEnd w:id="12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2" w:name="_Toc43798941"/>
      <w:bookmarkStart w:id="123" w:name="_Toc43799242"/>
      <w:bookmarkStart w:id="124" w:name="_Toc43909195"/>
      <w:r>
        <w:rPr>
          <w:rStyle w:val="CharSDivNo"/>
        </w:rPr>
        <w:t>Division 2A</w:t>
      </w:r>
      <w:r>
        <w:rPr>
          <w:b w:val="0"/>
        </w:rPr>
        <w:t> — </w:t>
      </w:r>
      <w:r>
        <w:rPr>
          <w:rStyle w:val="CharSDivText"/>
        </w:rPr>
        <w:t>Security officer’s licence endorsement</w:t>
      </w:r>
      <w:bookmarkEnd w:id="122"/>
      <w:bookmarkEnd w:id="123"/>
      <w:bookmarkEnd w:id="124"/>
    </w:p>
    <w:p>
      <w:pPr>
        <w:pStyle w:val="yFootnoteheading"/>
      </w:pPr>
      <w:r>
        <w:tab/>
        <w:t>[Heading inserted: Gazette 3 Oct 2006 p. 4347.]</w:t>
      </w:r>
    </w:p>
    <w:p>
      <w:pPr>
        <w:pStyle w:val="yHeading5"/>
        <w:rPr>
          <w:rStyle w:val="CharSClsNo"/>
        </w:rPr>
      </w:pPr>
      <w:bookmarkStart w:id="125" w:name="_Toc43909196"/>
      <w:r>
        <w:rPr>
          <w:rStyle w:val="CharSClsNo"/>
        </w:rPr>
        <w:t>11.</w:t>
      </w:r>
      <w:r>
        <w:rPr>
          <w:rStyle w:val="CharSClsNo"/>
        </w:rPr>
        <w:tab/>
        <w:t>Weapons</w:t>
      </w:r>
      <w:r>
        <w:rPr>
          <w:snapToGrid w:val="0"/>
        </w:rPr>
        <w:t xml:space="preserve"> training</w:t>
      </w:r>
      <w:bookmarkEnd w:id="12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26" w:name="_Toc43798943"/>
      <w:bookmarkStart w:id="127" w:name="_Toc43799244"/>
      <w:bookmarkStart w:id="128" w:name="_Toc43909197"/>
      <w:r>
        <w:rPr>
          <w:rStyle w:val="CharSDivNo"/>
        </w:rPr>
        <w:t>Division 2B</w:t>
      </w:r>
      <w:r>
        <w:rPr>
          <w:b w:val="0"/>
        </w:rPr>
        <w:t> — </w:t>
      </w:r>
      <w:r>
        <w:rPr>
          <w:rStyle w:val="CharSDivText"/>
        </w:rPr>
        <w:t>Security bodyguard’s licence</w:t>
      </w:r>
      <w:bookmarkEnd w:id="126"/>
      <w:bookmarkEnd w:id="127"/>
      <w:bookmarkEnd w:id="128"/>
    </w:p>
    <w:p>
      <w:pPr>
        <w:pStyle w:val="yFootnoteheading"/>
      </w:pPr>
      <w:r>
        <w:tab/>
        <w:t>[Heading inserted: Gazette 4 Dec 2009 p. 4912.]</w:t>
      </w:r>
    </w:p>
    <w:p>
      <w:pPr>
        <w:pStyle w:val="yHeading5"/>
      </w:pPr>
      <w:bookmarkStart w:id="129" w:name="_Toc43909198"/>
      <w:r>
        <w:rPr>
          <w:rStyle w:val="CharSClsNo"/>
        </w:rPr>
        <w:t>12A</w:t>
      </w:r>
      <w:r>
        <w:t>.</w:t>
      </w:r>
      <w:r>
        <w:rPr>
          <w:b w:val="0"/>
        </w:rPr>
        <w:tab/>
      </w:r>
      <w:r>
        <w:t>No weapons to be carried by security bodyguard</w:t>
      </w:r>
      <w:bookmarkEnd w:id="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30" w:name="_Toc43909199"/>
      <w:r>
        <w:rPr>
          <w:rStyle w:val="CharSClsNo"/>
        </w:rPr>
        <w:t>12B</w:t>
      </w:r>
      <w:r>
        <w:t>.</w:t>
      </w:r>
      <w:r>
        <w:rPr>
          <w:b w:val="0"/>
        </w:rPr>
        <w:tab/>
      </w:r>
      <w:r>
        <w:t>First aid certificate</w:t>
      </w:r>
      <w:bookmarkEnd w:id="13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1" w:name="_Toc43798946"/>
      <w:bookmarkStart w:id="132" w:name="_Toc43799247"/>
      <w:bookmarkStart w:id="133" w:name="_Toc43909200"/>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pPr>
        <w:pStyle w:val="yHeading5"/>
        <w:rPr>
          <w:rStyle w:val="CharSClsNo"/>
        </w:rPr>
      </w:pPr>
      <w:bookmarkStart w:id="134" w:name="_Toc43909201"/>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5" w:name="_Toc43798948"/>
      <w:bookmarkStart w:id="136" w:name="_Toc43799249"/>
      <w:bookmarkStart w:id="137" w:name="_Toc43909202"/>
      <w:r>
        <w:rPr>
          <w:rStyle w:val="CharSDivNo"/>
        </w:rPr>
        <w:t>Division 4</w:t>
      </w:r>
      <w:r>
        <w:rPr>
          <w:snapToGrid w:val="0"/>
        </w:rPr>
        <w:t> — </w:t>
      </w:r>
      <w:r>
        <w:rPr>
          <w:rStyle w:val="CharSDivText"/>
        </w:rPr>
        <w:t>Crowd control agent’s licence</w:t>
      </w:r>
      <w:bookmarkEnd w:id="135"/>
      <w:bookmarkEnd w:id="136"/>
      <w:bookmarkEnd w:id="137"/>
      <w:r>
        <w:rPr>
          <w:snapToGrid w:val="0"/>
        </w:rPr>
        <w:t xml:space="preserve"> </w:t>
      </w:r>
    </w:p>
    <w:p>
      <w:pPr>
        <w:pStyle w:val="yHeading5"/>
        <w:rPr>
          <w:rStyle w:val="CharSClsNo"/>
        </w:rPr>
      </w:pPr>
      <w:bookmarkStart w:id="138" w:name="_Toc43909203"/>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9" w:name="_Toc43909204"/>
      <w:r>
        <w:rPr>
          <w:rStyle w:val="CharSClsNo"/>
        </w:rPr>
        <w:t>14</w:t>
      </w:r>
      <w:r>
        <w:t>.</w:t>
      </w:r>
      <w:r>
        <w:rPr>
          <w:rStyle w:val="CharSClsNo"/>
        </w:rPr>
        <w:tab/>
        <w:t>I</w:t>
      </w:r>
      <w:r>
        <w:rPr>
          <w:snapToGrid w:val="0"/>
        </w:rPr>
        <w:t>dentification cards</w:t>
      </w:r>
      <w:r>
        <w:rPr>
          <w:rStyle w:val="CharSClsNo"/>
        </w:rPr>
        <w:t xml:space="preserve"> to be worn</w:t>
      </w:r>
      <w:bookmarkEnd w:id="13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40" w:name="_Toc43909205"/>
      <w:r>
        <w:rPr>
          <w:rStyle w:val="CharSClsNo"/>
        </w:rPr>
        <w:t>15</w:t>
      </w:r>
      <w:r>
        <w:t>.</w:t>
      </w:r>
      <w:r>
        <w:rPr>
          <w:rStyle w:val="CharSClsNo"/>
        </w:rPr>
        <w:tab/>
        <w:t>Information</w:t>
      </w:r>
      <w:r>
        <w:rPr>
          <w:snapToGrid w:val="0"/>
        </w:rPr>
        <w:t xml:space="preserve"> to clients</w:t>
      </w:r>
      <w:bookmarkEnd w:id="14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1" w:name="_Toc43909206"/>
      <w:r>
        <w:rPr>
          <w:rStyle w:val="CharSClsNo"/>
        </w:rPr>
        <w:t>15A</w:t>
      </w:r>
      <w:r>
        <w:t>.</w:t>
      </w:r>
      <w:r>
        <w:rPr>
          <w:b w:val="0"/>
        </w:rPr>
        <w:tab/>
      </w:r>
      <w:r>
        <w:t>Information to licensing officer</w:t>
      </w:r>
      <w:bookmarkEnd w:id="1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2" w:name="_Toc43909207"/>
      <w:r>
        <w:rPr>
          <w:rStyle w:val="CharSClsNo"/>
        </w:rPr>
        <w:t>16</w:t>
      </w:r>
      <w:r>
        <w:t>.</w:t>
      </w:r>
      <w:r>
        <w:rPr>
          <w:rStyle w:val="CharSClsNo"/>
        </w:rPr>
        <w:tab/>
      </w:r>
      <w:r>
        <w:rPr>
          <w:snapToGrid w:val="0"/>
        </w:rPr>
        <w:t>No weapons to be carried by crowd controllers</w:t>
      </w:r>
      <w:bookmarkEnd w:id="1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3" w:name="_Toc43909208"/>
      <w:r>
        <w:rPr>
          <w:rStyle w:val="CharSClsNo"/>
        </w:rPr>
        <w:t>16A</w:t>
      </w:r>
      <w:r>
        <w:t>.</w:t>
      </w:r>
      <w:r>
        <w:rPr>
          <w:rStyle w:val="CharSClsNo"/>
        </w:rPr>
        <w:tab/>
        <w:t>Incident</w:t>
      </w:r>
      <w:r>
        <w:rPr>
          <w:snapToGrid w:val="0"/>
        </w:rPr>
        <w:t xml:space="preserve"> register, duties as to</w:t>
      </w:r>
      <w:bookmarkEnd w:id="14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4" w:name="_Toc43798955"/>
      <w:bookmarkStart w:id="145" w:name="_Toc43799256"/>
      <w:bookmarkStart w:id="146" w:name="_Toc43909209"/>
      <w:r>
        <w:rPr>
          <w:rStyle w:val="CharSDivNo"/>
        </w:rPr>
        <w:t>Division 5</w:t>
      </w:r>
      <w:r>
        <w:rPr>
          <w:snapToGrid w:val="0"/>
        </w:rPr>
        <w:t> — </w:t>
      </w:r>
      <w:r>
        <w:rPr>
          <w:rStyle w:val="CharSDivText"/>
        </w:rPr>
        <w:t>Crowd controller’s licence</w:t>
      </w:r>
      <w:bookmarkEnd w:id="144"/>
      <w:bookmarkEnd w:id="145"/>
      <w:bookmarkEnd w:id="146"/>
    </w:p>
    <w:p>
      <w:pPr>
        <w:pStyle w:val="yHeading5"/>
        <w:rPr>
          <w:snapToGrid w:val="0"/>
        </w:rPr>
      </w:pPr>
      <w:bookmarkStart w:id="147" w:name="_Toc43909210"/>
      <w:r>
        <w:rPr>
          <w:rStyle w:val="CharSClsNo"/>
        </w:rPr>
        <w:t>17</w:t>
      </w:r>
      <w:r>
        <w:t>.</w:t>
      </w:r>
      <w:r>
        <w:rPr>
          <w:rStyle w:val="CharSClsNo"/>
        </w:rPr>
        <w:tab/>
        <w:t>I</w:t>
      </w:r>
      <w:r>
        <w:rPr>
          <w:snapToGrid w:val="0"/>
        </w:rPr>
        <w:t>dentification card to be worn</w:t>
      </w:r>
      <w:bookmarkEnd w:id="14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8" w:name="_Toc439092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9" w:name="_Toc43909212"/>
      <w:r>
        <w:rPr>
          <w:rStyle w:val="CharSClsNo"/>
        </w:rPr>
        <w:t>19A</w:t>
      </w:r>
      <w:r>
        <w:t>.</w:t>
      </w:r>
      <w:r>
        <w:rPr>
          <w:b w:val="0"/>
        </w:rPr>
        <w:tab/>
      </w:r>
      <w:r>
        <w:t>First aid certificate</w:t>
      </w:r>
      <w:bookmarkEnd w:id="14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50" w:name="_Toc43909213"/>
      <w:r>
        <w:rPr>
          <w:rStyle w:val="CharSClsNo"/>
        </w:rPr>
        <w:t>19</w:t>
      </w:r>
      <w:r>
        <w:t>.</w:t>
      </w:r>
      <w:r>
        <w:rPr>
          <w:rStyle w:val="CharSClsNo"/>
        </w:rPr>
        <w:tab/>
        <w:t>Incident</w:t>
      </w:r>
      <w:r>
        <w:rPr>
          <w:snapToGrid w:val="0"/>
        </w:rPr>
        <w:t xml:space="preserve"> register, duties as to</w:t>
      </w:r>
      <w:bookmarkEnd w:id="15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1" w:name="_Toc43798960"/>
      <w:bookmarkStart w:id="152" w:name="_Toc43799261"/>
      <w:bookmarkStart w:id="153" w:name="_Toc43909214"/>
      <w:r>
        <w:rPr>
          <w:rStyle w:val="CharSDivNo"/>
        </w:rPr>
        <w:t>Division 6 </w:t>
      </w:r>
      <w:r>
        <w:t>— </w:t>
      </w:r>
      <w:r>
        <w:rPr>
          <w:rStyle w:val="CharSDivText"/>
        </w:rPr>
        <w:t>All licences</w:t>
      </w:r>
      <w:bookmarkEnd w:id="151"/>
      <w:bookmarkEnd w:id="152"/>
      <w:bookmarkEnd w:id="153"/>
    </w:p>
    <w:p>
      <w:pPr>
        <w:pStyle w:val="yFootnoteheading"/>
      </w:pPr>
      <w:r>
        <w:tab/>
        <w:t>[Heading inserted: Gazette 1 Sep 2005 p. 4091.]</w:t>
      </w:r>
    </w:p>
    <w:p>
      <w:pPr>
        <w:pStyle w:val="yHeading5"/>
      </w:pPr>
      <w:bookmarkStart w:id="154" w:name="_Toc43909215"/>
      <w:r>
        <w:rPr>
          <w:rStyle w:val="CharSClsNo"/>
        </w:rPr>
        <w:t>20</w:t>
      </w:r>
      <w:r>
        <w:t>.</w:t>
      </w:r>
      <w:r>
        <w:tab/>
        <w:t>Identity cards, duties of people holding</w:t>
      </w:r>
      <w:bookmarkEnd w:id="1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56" w:name="_Toc43798962"/>
      <w:bookmarkStart w:id="157" w:name="_Toc43799263"/>
      <w:bookmarkStart w:id="158" w:name="_Toc43909216"/>
      <w:r>
        <w:rPr>
          <w:rStyle w:val="CharSchNo"/>
        </w:rPr>
        <w:t>Schedule 2</w:t>
      </w:r>
      <w:r>
        <w:t> — </w:t>
      </w:r>
      <w:r>
        <w:rPr>
          <w:rStyle w:val="CharSchText"/>
        </w:rPr>
        <w:t>Disqualifying offences</w:t>
      </w:r>
      <w:bookmarkEnd w:id="156"/>
      <w:bookmarkEnd w:id="157"/>
      <w:bookmarkEnd w:id="158"/>
    </w:p>
    <w:p>
      <w:pPr>
        <w:pStyle w:val="yShoulderClause"/>
      </w:pPr>
      <w:r>
        <w:t>[r. 24]</w:t>
      </w:r>
    </w:p>
    <w:p>
      <w:pPr>
        <w:pStyle w:val="yFootnoteheading"/>
      </w:pPr>
      <w:r>
        <w:tab/>
        <w:t>[Heading inserted: Gazette 4 Dec 2009 p. 4914.]</w:t>
      </w:r>
    </w:p>
    <w:p>
      <w:pPr>
        <w:pStyle w:val="yHeading3"/>
      </w:pPr>
      <w:bookmarkStart w:id="159" w:name="_Toc43798963"/>
      <w:bookmarkStart w:id="160" w:name="_Toc43799264"/>
      <w:bookmarkStart w:id="161" w:name="_Toc43909217"/>
      <w:r>
        <w:rPr>
          <w:rStyle w:val="CharSDivNo"/>
        </w:rPr>
        <w:t>Division 1</w:t>
      </w:r>
      <w:r>
        <w:rPr>
          <w:b w:val="0"/>
        </w:rPr>
        <w:t> — </w:t>
      </w:r>
      <w:r>
        <w:rPr>
          <w:rStyle w:val="CharSDivText"/>
        </w:rPr>
        <w:t>Division 1 offences</w:t>
      </w:r>
      <w:bookmarkEnd w:id="159"/>
      <w:bookmarkEnd w:id="160"/>
      <w:bookmarkEnd w:id="161"/>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2" w:name="_Toc43798964"/>
      <w:bookmarkStart w:id="163" w:name="_Toc43799265"/>
      <w:bookmarkStart w:id="164" w:name="_Toc43909218"/>
      <w:r>
        <w:rPr>
          <w:rStyle w:val="CharSDivNo"/>
        </w:rPr>
        <w:t>Division 2</w:t>
      </w:r>
      <w:r>
        <w:rPr>
          <w:b w:val="0"/>
        </w:rPr>
        <w:t> — </w:t>
      </w:r>
      <w:r>
        <w:rPr>
          <w:rStyle w:val="CharSDivText"/>
        </w:rPr>
        <w:t>Division 2 offences</w:t>
      </w:r>
      <w:bookmarkEnd w:id="162"/>
      <w:bookmarkEnd w:id="163"/>
      <w:bookmarkEnd w:id="16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65" w:name="_Toc43798965"/>
      <w:bookmarkStart w:id="166" w:name="_Toc43799266"/>
      <w:bookmarkStart w:id="167" w:name="_Toc43909219"/>
      <w:r>
        <w:rPr>
          <w:rStyle w:val="CharSchNo"/>
        </w:rPr>
        <w:t>Schedule 3</w:t>
      </w:r>
      <w:r>
        <w:rPr>
          <w:rStyle w:val="CharSDivText"/>
        </w:rPr>
        <w:t> </w:t>
      </w:r>
      <w:r>
        <w:t>—</w:t>
      </w:r>
      <w:r>
        <w:rPr>
          <w:rStyle w:val="CharSDivNo"/>
        </w:rPr>
        <w:t> </w:t>
      </w:r>
      <w:r>
        <w:rPr>
          <w:rStyle w:val="CharSchText"/>
        </w:rPr>
        <w:t>Prescribed drugs</w:t>
      </w:r>
      <w:bookmarkEnd w:id="165"/>
      <w:bookmarkEnd w:id="166"/>
      <w:bookmarkEnd w:id="167"/>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68" w:name="_Toc43799267"/>
      <w:bookmarkStart w:id="169" w:name="_Toc43909220"/>
      <w:bookmarkStart w:id="170" w:name="_Toc43798966"/>
      <w:r>
        <w:rPr>
          <w:rStyle w:val="CharSchNo"/>
        </w:rPr>
        <w:t>Schedule 4</w:t>
      </w:r>
      <w:r>
        <w:t> — </w:t>
      </w:r>
      <w:r>
        <w:rPr>
          <w:rStyle w:val="CharSchText"/>
        </w:rPr>
        <w:t>Fees</w:t>
      </w:r>
      <w:bookmarkEnd w:id="168"/>
      <w:bookmarkEnd w:id="169"/>
    </w:p>
    <w:p>
      <w:pPr>
        <w:pStyle w:val="yShoulderClause"/>
      </w:pPr>
      <w:r>
        <w:t>[r. 54]</w:t>
      </w:r>
    </w:p>
    <w:p>
      <w:pPr>
        <w:pStyle w:val="yFootnoteheading"/>
        <w:spacing w:after="120"/>
      </w:pPr>
      <w:r>
        <w:tab/>
        <w:t>[Heading inserted: SL 2020/82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p>
          <w:p>
            <w:pPr>
              <w:pStyle w:val="yTableNAm"/>
            </w:pPr>
            <w:r>
              <w:t>1 219</w:t>
            </w:r>
          </w:p>
          <w:p>
            <w:pPr>
              <w:pStyle w:val="yTableNAm"/>
            </w:pPr>
            <w:r>
              <w:br/>
              <w:t>1 228</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agent’s licence (each licence) </w:t>
            </w:r>
            <w:r>
              <w:tab/>
            </w:r>
          </w:p>
        </w:tc>
        <w:tc>
          <w:tcPr>
            <w:tcW w:w="1276" w:type="dxa"/>
            <w:vAlign w:val="bottom"/>
          </w:tcPr>
          <w:p>
            <w:pPr>
              <w:pStyle w:val="yTableNAm"/>
            </w:pPr>
            <w:r>
              <w:t>799</w:t>
            </w:r>
          </w:p>
        </w:tc>
      </w:tr>
      <w:tr>
        <w:trPr>
          <w:cantSplit/>
        </w:trPr>
        <w:tc>
          <w:tcPr>
            <w:tcW w:w="1985" w:type="dxa"/>
          </w:tcPr>
          <w:p>
            <w:pPr>
              <w:pStyle w:val="yTableNAm"/>
            </w:pPr>
            <w:r>
              <w:t>s. 49(1)(c)</w:t>
            </w:r>
          </w:p>
        </w:tc>
        <w:tc>
          <w:tcPr>
            <w:tcW w:w="3543" w:type="dxa"/>
          </w:tcPr>
          <w:p>
            <w:pPr>
              <w:pStyle w:val="yTableNAm"/>
            </w:pPr>
            <w:r>
              <w:t xml:space="preserve">Application for renewal of agent’s licence — for 3 years (each licence) </w:t>
            </w:r>
          </w:p>
        </w:tc>
        <w:tc>
          <w:tcPr>
            <w:tcW w:w="1276" w:type="dxa"/>
            <w:vAlign w:val="bottom"/>
          </w:tcPr>
          <w:p>
            <w:pPr>
              <w:pStyle w:val="yTableNAm"/>
            </w:pPr>
            <w:r>
              <w:t>862</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pPr>
            <w:r>
              <w:t>1 219</w:t>
            </w:r>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r>
              <w:br/>
            </w:r>
          </w:p>
          <w:p>
            <w:pPr>
              <w:pStyle w:val="yTableNAm"/>
            </w:pPr>
            <w:r>
              <w:t>331</w:t>
            </w:r>
          </w:p>
          <w:p>
            <w:pPr>
              <w:pStyle w:val="yTableNAm"/>
            </w:pPr>
            <w:r>
              <w:br/>
              <w:t>340</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vAlign w:val="bottom"/>
          </w:tcPr>
          <w:p>
            <w:pPr>
              <w:pStyle w:val="yTableNAm"/>
            </w:pPr>
            <w:r>
              <w:t>199</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pPr>
            <w:r>
              <w:t>213</w:t>
            </w:r>
          </w:p>
        </w:tc>
      </w:tr>
      <w:tr>
        <w:trPr>
          <w:cantSplit/>
        </w:trPr>
        <w:tc>
          <w:tcPr>
            <w:tcW w:w="1985" w:type="dxa"/>
          </w:tcPr>
          <w:p>
            <w:pPr>
              <w:pStyle w:val="yTableNAm"/>
            </w:pPr>
            <w:r>
              <w:t>r. 10(b)</w:t>
            </w:r>
          </w:p>
        </w:tc>
        <w:tc>
          <w:tcPr>
            <w:tcW w:w="3543" w:type="dxa"/>
          </w:tcPr>
          <w:p>
            <w:pPr>
              <w:pStyle w:val="yTableNAm"/>
              <w:tabs>
                <w:tab w:val="right" w:leader="dot" w:pos="567"/>
                <w:tab w:val="right" w:leader="dot" w:pos="3328"/>
              </w:tabs>
            </w:pPr>
            <w:r>
              <w:t xml:space="preserve">Application for endorsement under s. 24 </w:t>
            </w:r>
            <w:r>
              <w:tab/>
            </w:r>
            <w:r>
              <w:tab/>
            </w:r>
          </w:p>
        </w:tc>
        <w:tc>
          <w:tcPr>
            <w:tcW w:w="1276" w:type="dxa"/>
            <w:vAlign w:val="bottom"/>
          </w:tcPr>
          <w:p>
            <w:pPr>
              <w:pStyle w:val="yTableNAm"/>
            </w:pPr>
            <w:r>
              <w:t>181</w:t>
            </w:r>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tcPr>
          <w:p>
            <w:pPr>
              <w:pStyle w:val="yTableNAm"/>
            </w:pPr>
            <w:r>
              <w:t>216</w:t>
            </w:r>
          </w:p>
        </w:tc>
      </w:tr>
      <w:tr>
        <w:trPr>
          <w:cantSplit/>
        </w:trPr>
        <w:tc>
          <w:tcPr>
            <w:tcW w:w="1985" w:type="dxa"/>
          </w:tcPr>
          <w:p>
            <w:pPr>
              <w:pStyle w:val="yTableNAm"/>
            </w:pPr>
            <w:r>
              <w:t>r. 13(b)</w:t>
            </w:r>
          </w:p>
        </w:tc>
        <w:tc>
          <w:tcPr>
            <w:tcW w:w="3543" w:type="dxa"/>
          </w:tcPr>
          <w:p>
            <w:pPr>
              <w:pStyle w:val="yTableNAm"/>
              <w:tabs>
                <w:tab w:val="right" w:leader="dot" w:pos="567"/>
                <w:tab w:val="right" w:leader="dot" w:pos="3328"/>
              </w:tabs>
            </w:pPr>
            <w:r>
              <w:t xml:space="preserve">Application for endorsement under s. 26 </w:t>
            </w:r>
            <w:r>
              <w:tab/>
            </w:r>
            <w:r>
              <w:tab/>
            </w:r>
          </w:p>
        </w:tc>
        <w:tc>
          <w:tcPr>
            <w:tcW w:w="1276" w:type="dxa"/>
            <w:vAlign w:val="bottom"/>
          </w:tcPr>
          <w:p>
            <w:pPr>
              <w:pStyle w:val="yTableNAm"/>
            </w:pPr>
            <w:r>
              <w:t>181</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pPr>
            <w:r>
              <w:t>331</w:t>
            </w:r>
          </w:p>
        </w:tc>
      </w:tr>
      <w:tr>
        <w:trPr>
          <w:cantSplit/>
        </w:trPr>
        <w:tc>
          <w:tcPr>
            <w:tcW w:w="6804" w:type="dxa"/>
            <w:gridSpan w:val="3"/>
          </w:tcPr>
          <w:p>
            <w:pPr>
              <w:pStyle w:val="yTableNAm"/>
              <w:rPr>
                <w:b/>
              </w:rPr>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567"/>
                <w:tab w:val="right" w:leader="dot" w:pos="3328"/>
              </w:tabs>
            </w:pPr>
            <w:r>
              <w:t xml:space="preserve">Application to inspect register </w:t>
            </w:r>
            <w:r>
              <w:tab/>
            </w:r>
          </w:p>
        </w:tc>
        <w:tc>
          <w:tcPr>
            <w:tcW w:w="1276" w:type="dxa"/>
          </w:tcPr>
          <w:p>
            <w:pPr>
              <w:pStyle w:val="yTableNAm"/>
            </w:pPr>
            <w:r>
              <w:t>43</w:t>
            </w:r>
          </w:p>
        </w:tc>
      </w:tr>
      <w:tr>
        <w:trPr>
          <w:cantSplit/>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tcPr>
          <w:p>
            <w:pPr>
              <w:pStyle w:val="yTableNAm"/>
            </w:pPr>
            <w:r>
              <w:t>45</w:t>
            </w:r>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vAlign w:val="bottom"/>
          </w:tcPr>
          <w:p>
            <w:pPr>
              <w:pStyle w:val="yTableNAm"/>
            </w:pPr>
            <w:r>
              <w:t>113</w:t>
            </w:r>
          </w:p>
        </w:tc>
      </w:tr>
    </w:tbl>
    <w:p>
      <w:pPr>
        <w:pStyle w:val="yFootnotesection"/>
        <w:rPr>
          <w:rStyle w:val="CharSchNo"/>
          <w:b/>
        </w:rPr>
      </w:pPr>
      <w:r>
        <w:rPr>
          <w:rStyle w:val="CharSchNo"/>
        </w:rPr>
        <w:tab/>
        <w:t>[Schedule 4 inserted: SL 2020/82 r. 12.]</w:t>
      </w:r>
    </w:p>
    <w:p>
      <w:pPr>
        <w:pStyle w:val="yScheduleHeading"/>
      </w:pPr>
      <w:bookmarkStart w:id="171" w:name="_Toc43798967"/>
      <w:bookmarkStart w:id="172" w:name="_Toc43799268"/>
      <w:bookmarkStart w:id="173" w:name="_Toc43909221"/>
      <w:bookmarkEnd w:id="170"/>
      <w:r>
        <w:rPr>
          <w:rStyle w:val="CharSchNo"/>
        </w:rPr>
        <w:t>Schedule 5</w:t>
      </w:r>
      <w:r>
        <w:t> — </w:t>
      </w:r>
      <w:r>
        <w:rPr>
          <w:rStyle w:val="CharSchText"/>
        </w:rPr>
        <w:t>Prescribed offences and modified penalties for infringement notices</w:t>
      </w:r>
      <w:bookmarkEnd w:id="171"/>
      <w:bookmarkEnd w:id="172"/>
      <w:bookmarkEnd w:id="173"/>
    </w:p>
    <w:p>
      <w:pPr>
        <w:pStyle w:val="yShoulderClause"/>
        <w:rPr>
          <w:szCs w:val="22"/>
        </w:rPr>
      </w:pPr>
      <w:r>
        <w:rPr>
          <w:szCs w:val="22"/>
        </w:rPr>
        <w:t>[r. 58]</w:t>
      </w:r>
    </w:p>
    <w:p>
      <w:pPr>
        <w:pStyle w:val="yFootnoteheading"/>
      </w:pPr>
      <w:r>
        <w:tab/>
        <w:t>[Heading inserted: Gazette 29 Jul 2016 p. 3249.]</w:t>
      </w:r>
    </w:p>
    <w:p>
      <w:pPr>
        <w:pStyle w:val="yHeading3"/>
      </w:pPr>
      <w:bookmarkStart w:id="174" w:name="_Toc43798968"/>
      <w:bookmarkStart w:id="175" w:name="_Toc43799269"/>
      <w:bookmarkStart w:id="176" w:name="_Toc43909222"/>
      <w:r>
        <w:rPr>
          <w:rStyle w:val="CharSDivNo"/>
        </w:rPr>
        <w:t>Division 1</w:t>
      </w:r>
      <w:r>
        <w:t> — </w:t>
      </w:r>
      <w:r>
        <w:rPr>
          <w:rStyle w:val="CharSDivText"/>
        </w:rPr>
        <w:t>Offences under the Act</w:t>
      </w:r>
      <w:bookmarkEnd w:id="174"/>
      <w:bookmarkEnd w:id="175"/>
      <w:bookmarkEnd w:id="176"/>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7" w:name="_Toc43798969"/>
      <w:bookmarkStart w:id="178" w:name="_Toc43799270"/>
      <w:bookmarkStart w:id="179" w:name="_Toc43909223"/>
      <w:r>
        <w:rPr>
          <w:rStyle w:val="CharSDivNo"/>
        </w:rPr>
        <w:t>Division 2</w:t>
      </w:r>
      <w:r>
        <w:rPr>
          <w:b w:val="0"/>
        </w:rPr>
        <w:t> — </w:t>
      </w:r>
      <w:r>
        <w:rPr>
          <w:rStyle w:val="CharSDivText"/>
        </w:rPr>
        <w:t>Offence under these regulations</w:t>
      </w:r>
      <w:bookmarkEnd w:id="177"/>
      <w:bookmarkEnd w:id="178"/>
      <w:bookmarkEnd w:id="179"/>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80" w:name="_Toc43798970"/>
      <w:bookmarkStart w:id="181" w:name="_Toc43799271"/>
      <w:bookmarkStart w:id="182" w:name="_Toc43909224"/>
      <w:r>
        <w:rPr>
          <w:rStyle w:val="CharSchNo"/>
        </w:rPr>
        <w:t>Schedule 6</w:t>
      </w:r>
      <w:r>
        <w:t> — </w:t>
      </w:r>
      <w:r>
        <w:rPr>
          <w:rStyle w:val="CharSchText"/>
        </w:rPr>
        <w:t>Forms</w:t>
      </w:r>
      <w:bookmarkEnd w:id="180"/>
      <w:bookmarkEnd w:id="181"/>
      <w:bookmarkEnd w:id="182"/>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183" w:name="_Toc43798971"/>
      <w:bookmarkStart w:id="184" w:name="_Toc43799272"/>
      <w:bookmarkStart w:id="185" w:name="_Toc43909225"/>
      <w:r>
        <w:t>Notes</w:t>
      </w:r>
      <w:bookmarkEnd w:id="183"/>
      <w:bookmarkEnd w:id="184"/>
      <w:bookmarkEnd w:id="185"/>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6" w:name="_Toc43909226"/>
      <w:r>
        <w:t>Compilation table</w:t>
      </w:r>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single" w:sz="8" w:space="0" w:color="auto"/>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single" w:sz="8" w:space="0" w:color="auto"/>
            </w:tcBorders>
            <w:shd w:val="clear" w:color="auto" w:fill="auto"/>
          </w:tcPr>
          <w:p>
            <w:pPr>
              <w:pStyle w:val="nTable"/>
              <w:spacing w:after="40"/>
            </w:pPr>
            <w:r>
              <w:t>21 Jun 2019 p. 2141</w:t>
            </w:r>
            <w:r>
              <w:noBreakHyphen/>
              <w:t>50</w:t>
            </w:r>
          </w:p>
        </w:tc>
        <w:tc>
          <w:tcPr>
            <w:tcW w:w="2693" w:type="dxa"/>
            <w:tcBorders>
              <w:top w:val="nil"/>
              <w:bottom w:val="single" w:sz="8" w:space="0" w:color="auto"/>
            </w:tcBorders>
            <w:shd w:val="clear" w:color="auto" w:fill="auto"/>
          </w:tcPr>
          <w:p>
            <w:pPr>
              <w:pStyle w:val="nTable"/>
              <w:spacing w:after="40"/>
            </w:pPr>
            <w:r>
              <w:t>1 Jul 2019 (see r. 2(b))</w:t>
            </w:r>
          </w:p>
        </w:tc>
      </w:tr>
      <w:tr>
        <w:trPr>
          <w:cantSplit/>
        </w:trPr>
        <w:tc>
          <w:tcPr>
            <w:tcW w:w="3119" w:type="dxa"/>
            <w:tcBorders>
              <w:bottom w:val="single" w:sz="4" w:space="0" w:color="auto"/>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bottom w:val="single" w:sz="4" w:space="0" w:color="auto"/>
            </w:tcBorders>
            <w:shd w:val="clear" w:color="auto" w:fill="auto"/>
          </w:tcPr>
          <w:p>
            <w:pPr>
              <w:pStyle w:val="nTable"/>
              <w:spacing w:after="40"/>
            </w:pPr>
            <w:r>
              <w:t xml:space="preserve">SL 2020/82 19 Jun 2020 </w:t>
            </w:r>
          </w:p>
        </w:tc>
        <w:tc>
          <w:tcPr>
            <w:tcW w:w="2693" w:type="dxa"/>
            <w:tcBorders>
              <w:bottom w:val="single" w:sz="4" w:space="0" w:color="auto"/>
            </w:tcBorders>
            <w:shd w:val="clear" w:color="auto" w:fill="auto"/>
          </w:tcPr>
          <w:p>
            <w:pPr>
              <w:pStyle w:val="nTable"/>
              <w:spacing w:after="40"/>
            </w:pPr>
            <w:r>
              <w:t>1 Jul 2020 (see r. 2(b))</w:t>
            </w:r>
          </w:p>
        </w:tc>
      </w:tr>
    </w:tbl>
    <w:p>
      <w:pPr>
        <w:pStyle w:val="nHeading3"/>
      </w:pPr>
      <w:bookmarkStart w:id="187" w:name="_Toc43909227"/>
      <w:r>
        <w:t>Other notes</w:t>
      </w:r>
      <w:bookmarkEnd w:id="187"/>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89" w:name="_Toc43798975"/>
      <w:bookmarkStart w:id="190" w:name="_Toc43799275"/>
      <w:bookmarkStart w:id="191" w:name="_Toc43909228"/>
      <w:r>
        <w:rPr>
          <w:sz w:val="28"/>
        </w:rPr>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3095946"/>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E7FC4-A0E8-424B-A945-8C1606E48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18263</Words>
  <Characters>89308</Characters>
  <Application>Microsoft Office Word</Application>
  <DocSecurity>0</DocSecurity>
  <Lines>2976</Lines>
  <Paragraphs>1823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1997 - 07-m0-00</dc:title>
  <dc:subject/>
  <dc:creator/>
  <cp:keywords/>
  <dc:description/>
  <cp:lastModifiedBy>svcMRProcess</cp:lastModifiedBy>
  <cp:revision>4</cp:revision>
  <cp:lastPrinted>2016-07-28T08:24:00Z</cp:lastPrinted>
  <dcterms:created xsi:type="dcterms:W3CDTF">2020-06-30T04:24:00Z</dcterms:created>
  <dcterms:modified xsi:type="dcterms:W3CDTF">2020-06-30T04:25:00Z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2020</vt:lpwstr>
  </property>
  <property fmtid="{D5CDD505-2E9C-101B-9397-08002B2CF9AE}" pid="9" name="Suffix">
    <vt:lpwstr>07-m0-00</vt:lpwstr>
  </property>
  <property fmtid="{D5CDD505-2E9C-101B-9397-08002B2CF9AE}" pid="10" name="CommencementDate">
    <vt:lpwstr>20200701</vt:lpwstr>
  </property>
</Properties>
</file>