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_Toc43906215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_Toc43906216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Categories of events</w:t>
      </w:r>
      <w:r>
        <w:tab/>
      </w:r>
      <w:r>
        <w:fldChar w:fldCharType="begin"/>
      </w:r>
      <w:r>
        <w:instrText xml:space="preserve"> PAGEREF _Toc43906217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Approvals</w:t>
      </w:r>
      <w:r>
        <w:tab/>
      </w:r>
      <w:r>
        <w:fldChar w:fldCharType="begin"/>
      </w:r>
      <w:r>
        <w:instrText xml:space="preserve"> PAGEREF _Toc43906218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Occupier’s consent</w:t>
      </w:r>
      <w:r>
        <w:tab/>
      </w:r>
      <w:r>
        <w:fldChar w:fldCharType="begin"/>
      </w:r>
      <w:r>
        <w:instrText xml:space="preserve"> PAGEREF _Toc43906219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order</w:t>
      </w:r>
      <w:r>
        <w:tab/>
      </w:r>
      <w:r>
        <w:fldChar w:fldCharType="begin"/>
      </w:r>
      <w:r>
        <w:instrText xml:space="preserve"> PAGEREF _Toc43906220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making application</w:t>
      </w:r>
      <w:r>
        <w:tab/>
      </w:r>
      <w:r>
        <w:fldChar w:fldCharType="begin"/>
      </w:r>
      <w:r>
        <w:instrText xml:space="preserve"> PAGEREF _Toc43906221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w:t>
      </w:r>
      <w:r>
        <w:tab/>
      </w:r>
      <w:r>
        <w:fldChar w:fldCharType="begin"/>
      </w:r>
      <w:r>
        <w:instrText xml:space="preserve"> PAGEREF _Toc43906222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Erection of barriers, signs and other equipment</w:t>
      </w:r>
      <w:r>
        <w:tab/>
      </w:r>
      <w:r>
        <w:fldChar w:fldCharType="begin"/>
      </w:r>
      <w:r>
        <w:instrText xml:space="preserve"> PAGEREF _Toc43906223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_Toc43906224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_Toc43906227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Act 1974</w:t>
      </w:r>
    </w:p>
    <w:p>
      <w:pPr>
        <w:pStyle w:val="NameofActReg"/>
      </w:pPr>
      <w:r>
        <w:t>Road Traffic (Events on Roads) Regulations 1991</w:t>
      </w:r>
    </w:p>
    <w:p>
      <w:pPr>
        <w:pStyle w:val="Heading5"/>
        <w:rPr>
          <w:snapToGrid w:val="0"/>
        </w:rPr>
      </w:pPr>
      <w:bookmarkStart w:id="3" w:name="_Toc43906215"/>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4" w:name="_Toc4390621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43906217"/>
      <w:r>
        <w:rPr>
          <w:rStyle w:val="CharSectno"/>
        </w:rPr>
        <w:t>3</w:t>
      </w:r>
      <w:r>
        <w:rPr>
          <w:snapToGrid w:val="0"/>
        </w:rPr>
        <w:t>.</w:t>
      </w:r>
      <w:r>
        <w:rPr>
          <w:snapToGrid w:val="0"/>
        </w:rPr>
        <w:tab/>
        <w:t>Categories of events</w:t>
      </w:r>
      <w:bookmarkEnd w:id="5"/>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6" w:name="_Toc43906218"/>
      <w:r>
        <w:rPr>
          <w:rStyle w:val="CharSectno"/>
        </w:rPr>
        <w:t>4</w:t>
      </w:r>
      <w:r>
        <w:rPr>
          <w:snapToGrid w:val="0"/>
        </w:rPr>
        <w:t>.</w:t>
      </w:r>
      <w:r>
        <w:rPr>
          <w:snapToGrid w:val="0"/>
        </w:rPr>
        <w:tab/>
        <w:t>Approvals</w:t>
      </w:r>
      <w:bookmarkEnd w:id="6"/>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r>
        <w:tab/>
        <w:t>[Regulation 4 amended: Gazette 23 Dec 2014 p. 4931 and 4932.]</w:t>
      </w:r>
    </w:p>
    <w:p>
      <w:pPr>
        <w:pStyle w:val="Heading5"/>
        <w:rPr>
          <w:snapToGrid w:val="0"/>
        </w:rPr>
      </w:pPr>
      <w:bookmarkStart w:id="7" w:name="_Toc43906219"/>
      <w:r>
        <w:rPr>
          <w:rStyle w:val="CharSectno"/>
        </w:rPr>
        <w:t>5</w:t>
      </w:r>
      <w:r>
        <w:rPr>
          <w:snapToGrid w:val="0"/>
        </w:rPr>
        <w:t>.</w:t>
      </w:r>
      <w:r>
        <w:rPr>
          <w:snapToGrid w:val="0"/>
        </w:rPr>
        <w:tab/>
        <w:t>Occupier’s consent</w:t>
      </w:r>
      <w:bookmarkEnd w:id="7"/>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8" w:name="_Toc43906220"/>
      <w:r>
        <w:rPr>
          <w:rStyle w:val="CharSectno"/>
        </w:rPr>
        <w:t>6</w:t>
      </w:r>
      <w:r>
        <w:rPr>
          <w:snapToGrid w:val="0"/>
        </w:rPr>
        <w:t>.</w:t>
      </w:r>
      <w:r>
        <w:rPr>
          <w:snapToGrid w:val="0"/>
        </w:rPr>
        <w:tab/>
        <w:t>Application for order</w:t>
      </w:r>
      <w:bookmarkEnd w:id="8"/>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Category event</w:t>
            </w:r>
          </w:p>
        </w:tc>
        <w:tc>
          <w:tcPr>
            <w:tcW w:w="3034" w:type="dxa"/>
            <w:noWrap/>
          </w:tcPr>
          <w:p>
            <w:pPr>
              <w:pStyle w:val="TableNAm"/>
              <w:jc w:val="center"/>
              <w:rPr>
                <w:b/>
                <w:bCs/>
              </w:rPr>
            </w:pPr>
            <w:r>
              <w:rPr>
                <w:b/>
                <w:bCs/>
              </w:rPr>
              <w:t>Fee</w:t>
            </w:r>
          </w:p>
          <w:p>
            <w:pPr>
              <w:pStyle w:val="TableNAm"/>
              <w:jc w:val="center"/>
              <w:rPr>
                <w:b/>
                <w:bCs/>
              </w:rPr>
            </w:pPr>
            <w:r>
              <w:rPr>
                <w:b/>
                <w:bCs/>
              </w:rPr>
              <w:t>$</w:t>
            </w:r>
          </w:p>
        </w:tc>
      </w:tr>
      <w:tr>
        <w:tc>
          <w:tcPr>
            <w:tcW w:w="3033" w:type="dxa"/>
            <w:noWrap/>
          </w:tcPr>
          <w:p>
            <w:pPr>
              <w:pStyle w:val="TableNAm"/>
            </w:pPr>
            <w:r>
              <w:t>Category 1 event</w:t>
            </w:r>
          </w:p>
        </w:tc>
        <w:tc>
          <w:tcPr>
            <w:tcW w:w="3034" w:type="dxa"/>
            <w:noWrap/>
          </w:tcPr>
          <w:p>
            <w:pPr>
              <w:pStyle w:val="TableNAm"/>
              <w:jc w:val="center"/>
            </w:pPr>
            <w:r>
              <w:t>209.20</w:t>
            </w:r>
          </w:p>
        </w:tc>
      </w:tr>
      <w:tr>
        <w:tc>
          <w:tcPr>
            <w:tcW w:w="3033" w:type="dxa"/>
            <w:noWrap/>
          </w:tcPr>
          <w:p>
            <w:pPr>
              <w:pStyle w:val="TableNAm"/>
            </w:pPr>
            <w:r>
              <w:t>Category 2 event</w:t>
            </w:r>
          </w:p>
        </w:tc>
        <w:tc>
          <w:tcPr>
            <w:tcW w:w="3034" w:type="dxa"/>
            <w:noWrap/>
          </w:tcPr>
          <w:p>
            <w:pPr>
              <w:pStyle w:val="TableNAm"/>
              <w:jc w:val="center"/>
            </w:pPr>
            <w:r>
              <w:t>125.60</w:t>
            </w:r>
          </w:p>
        </w:tc>
      </w:tr>
      <w:tr>
        <w:tc>
          <w:tcPr>
            <w:tcW w:w="3033" w:type="dxa"/>
            <w:noWrap/>
          </w:tcPr>
          <w:p>
            <w:pPr>
              <w:pStyle w:val="TableNAm"/>
            </w:pPr>
            <w:r>
              <w:t>Category 3 event</w:t>
            </w:r>
          </w:p>
        </w:tc>
        <w:tc>
          <w:tcPr>
            <w:tcW w:w="3034" w:type="dxa"/>
            <w:noWrap/>
          </w:tcPr>
          <w:p>
            <w:pPr>
              <w:pStyle w:val="TableNAm"/>
              <w:jc w:val="center"/>
            </w:pPr>
            <w:r>
              <w:t>84.30</w:t>
            </w:r>
          </w:p>
        </w:tc>
      </w:tr>
      <w:tr>
        <w:tc>
          <w:tcPr>
            <w:tcW w:w="3033" w:type="dxa"/>
            <w:noWrap/>
          </w:tcPr>
          <w:p>
            <w:pPr>
              <w:pStyle w:val="TableNAm"/>
            </w:pPr>
            <w:r>
              <w:t>Category 4 event</w:t>
            </w:r>
          </w:p>
        </w:tc>
        <w:tc>
          <w:tcPr>
            <w:tcW w:w="3034" w:type="dxa"/>
            <w:noWrap/>
          </w:tcPr>
          <w:p>
            <w:pPr>
              <w:pStyle w:val="TableNAm"/>
              <w:jc w:val="center"/>
            </w:pPr>
            <w:r>
              <w:t>84.30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 21 Jun 2019 p. 2151; SL 2020/85 r. 4.]</w:t>
      </w:r>
    </w:p>
    <w:p>
      <w:pPr>
        <w:pStyle w:val="Heading5"/>
        <w:rPr>
          <w:snapToGrid w:val="0"/>
        </w:rPr>
      </w:pPr>
      <w:bookmarkStart w:id="9" w:name="_Toc43906221"/>
      <w:r>
        <w:rPr>
          <w:rStyle w:val="CharSectno"/>
        </w:rPr>
        <w:t>7</w:t>
      </w:r>
      <w:r>
        <w:rPr>
          <w:snapToGrid w:val="0"/>
        </w:rPr>
        <w:t>.</w:t>
      </w:r>
      <w:r>
        <w:rPr>
          <w:snapToGrid w:val="0"/>
        </w:rPr>
        <w:tab/>
        <w:t>Time for making application</w:t>
      </w:r>
      <w:bookmarkEnd w:id="9"/>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10" w:name="_Toc43906222"/>
      <w:r>
        <w:rPr>
          <w:rStyle w:val="CharSectno"/>
        </w:rPr>
        <w:t>8</w:t>
      </w:r>
      <w:r>
        <w:rPr>
          <w:snapToGrid w:val="0"/>
        </w:rPr>
        <w:t>.</w:t>
      </w:r>
      <w:r>
        <w:rPr>
          <w:snapToGrid w:val="0"/>
        </w:rPr>
        <w:tab/>
        <w:t>Order</w:t>
      </w:r>
      <w:bookmarkEnd w:id="10"/>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11" w:name="_Toc43906223"/>
      <w:r>
        <w:rPr>
          <w:rStyle w:val="CharSectno"/>
        </w:rPr>
        <w:t>9</w:t>
      </w:r>
      <w:r>
        <w:rPr>
          <w:snapToGrid w:val="0"/>
        </w:rPr>
        <w:t>.</w:t>
      </w:r>
      <w:r>
        <w:rPr>
          <w:snapToGrid w:val="0"/>
        </w:rPr>
        <w:tab/>
        <w:t>Erection of barriers, signs and other equipment</w:t>
      </w:r>
      <w:bookmarkEnd w:id="11"/>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12" w:name="_Toc43906224"/>
      <w:r>
        <w:rPr>
          <w:rStyle w:val="CharSectno"/>
        </w:rPr>
        <w:t>10</w:t>
      </w:r>
      <w:r>
        <w:rPr>
          <w:snapToGrid w:val="0"/>
        </w:rPr>
        <w:t>.</w:t>
      </w:r>
      <w:r>
        <w:rPr>
          <w:snapToGrid w:val="0"/>
        </w:rPr>
        <w:tab/>
        <w:t>Offences</w:t>
      </w:r>
      <w:bookmarkEnd w:id="1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3" w:name="_Toc43801183"/>
      <w:bookmarkStart w:id="14" w:name="_Toc43807200"/>
      <w:bookmarkStart w:id="15" w:name="_Toc43906225"/>
      <w:r>
        <w:rPr>
          <w:rStyle w:val="CharSchNo"/>
        </w:rPr>
        <w:t>Schedule 1</w:t>
      </w:r>
      <w:bookmarkEnd w:id="13"/>
      <w:bookmarkEnd w:id="14"/>
      <w:bookmarkEnd w:id="15"/>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7" w:name="_Toc43807201"/>
      <w:bookmarkStart w:id="18" w:name="_Toc43906226"/>
      <w:r>
        <w:t>Notes</w:t>
      </w:r>
      <w:bookmarkEnd w:id="17"/>
      <w:bookmarkEnd w:id="18"/>
    </w:p>
    <w:p>
      <w:pPr>
        <w:pStyle w:val="nStatement"/>
      </w:pPr>
      <w:r>
        <w:t xml:space="preserve">This is a compilation of the </w:t>
      </w:r>
      <w:r>
        <w:rPr>
          <w:i/>
          <w:noProof/>
        </w:rPr>
        <w:t>Road Traffic (Events on Roads) Regulations 1991</w:t>
      </w:r>
      <w:r>
        <w:t xml:space="preserve"> and includes amendments made by other written laws. For provisions that have come into operation, and for information about any reprints, see the compilation table.</w:t>
      </w:r>
    </w:p>
    <w:p>
      <w:pPr>
        <w:pStyle w:val="nHeading3"/>
      </w:pPr>
      <w:bookmarkStart w:id="19" w:name="_Toc43906227"/>
      <w: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Published</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76" w:type="dxa"/>
          </w:tcPr>
          <w:p>
            <w:pPr>
              <w:pStyle w:val="nTable"/>
              <w:spacing w:before="80" w:after="60"/>
              <w:ind w:right="113"/>
            </w:pPr>
            <w:r>
              <w:t>2 Jun 2015 p. 1946</w:t>
            </w:r>
          </w:p>
        </w:tc>
        <w:tc>
          <w:tcPr>
            <w:tcW w:w="2693"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76" w:type="dxa"/>
          </w:tcPr>
          <w:p>
            <w:pPr>
              <w:pStyle w:val="nTable"/>
              <w:spacing w:before="80" w:after="60"/>
              <w:ind w:right="113"/>
            </w:pPr>
            <w:r>
              <w:t>27 May 2016 p. 1557</w:t>
            </w:r>
          </w:p>
        </w:tc>
        <w:tc>
          <w:tcPr>
            <w:tcW w:w="2693"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76" w:type="dxa"/>
          </w:tcPr>
          <w:p>
            <w:pPr>
              <w:pStyle w:val="nTable"/>
              <w:spacing w:before="80" w:after="60"/>
              <w:ind w:right="113"/>
            </w:pPr>
            <w:r>
              <w:t>26 Jun 2018 p. 2391</w:t>
            </w:r>
          </w:p>
        </w:tc>
        <w:tc>
          <w:tcPr>
            <w:tcW w:w="2693" w:type="dxa"/>
          </w:tcPr>
          <w:p>
            <w:pPr>
              <w:pStyle w:val="nTable"/>
              <w:spacing w:before="80" w:after="60"/>
              <w:ind w:right="113"/>
            </w:pPr>
            <w:r>
              <w:t>r. 1 and 2: 26 Jun 2018 (see r. 2(a));</w:t>
            </w:r>
            <w:r>
              <w:br/>
              <w:t>Regulations other than r. 1 and 2: 1 Jul 2018 (see r. 2(b))</w:t>
            </w:r>
          </w:p>
        </w:tc>
      </w:tr>
      <w:tr>
        <w:trPr>
          <w:cantSplit/>
        </w:trPr>
        <w:tc>
          <w:tcPr>
            <w:tcW w:w="3119" w:type="dxa"/>
          </w:tcPr>
          <w:p>
            <w:pPr>
              <w:pStyle w:val="nTable"/>
              <w:spacing w:before="80" w:after="60"/>
              <w:ind w:right="113"/>
              <w:rPr>
                <w:i/>
              </w:rPr>
            </w:pPr>
            <w:r>
              <w:rPr>
                <w:i/>
              </w:rPr>
              <w:t>Road Traffic (Events on Roads) Amendment Regulations 2019</w:t>
            </w:r>
          </w:p>
        </w:tc>
        <w:tc>
          <w:tcPr>
            <w:tcW w:w="1276" w:type="dxa"/>
          </w:tcPr>
          <w:p>
            <w:pPr>
              <w:pStyle w:val="nTable"/>
              <w:spacing w:before="80" w:after="60"/>
              <w:ind w:right="113"/>
            </w:pPr>
            <w:r>
              <w:t>21 Jun 2019 p. 2151</w:t>
            </w:r>
          </w:p>
        </w:tc>
        <w:tc>
          <w:tcPr>
            <w:tcW w:w="2693" w:type="dxa"/>
          </w:tcPr>
          <w:p>
            <w:pPr>
              <w:pStyle w:val="nTable"/>
              <w:spacing w:before="80" w:after="60"/>
              <w:ind w:right="113"/>
            </w:pPr>
            <w:r>
              <w:t>r. 1 and 2: 21 Jun 2019 (see r. 2(a));</w:t>
            </w:r>
            <w:r>
              <w:br/>
              <w:t>Regulations other than r. 1 and 2: 1 Jul 2019 (see r. 2(b))</w:t>
            </w:r>
          </w:p>
        </w:tc>
      </w:tr>
      <w:tr>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2020</w:t>
            </w:r>
          </w:p>
        </w:tc>
        <w:tc>
          <w:tcPr>
            <w:tcW w:w="1276" w:type="dxa"/>
            <w:tcBorders>
              <w:bottom w:val="single" w:sz="4" w:space="0" w:color="auto"/>
            </w:tcBorders>
          </w:tcPr>
          <w:p>
            <w:pPr>
              <w:pStyle w:val="nTable"/>
              <w:spacing w:before="80" w:after="60"/>
              <w:ind w:right="113"/>
            </w:pPr>
            <w:r>
              <w:t>SL 2020/85</w:t>
            </w:r>
            <w:r>
              <w:br/>
              <w:t>23 Jun 2020</w:t>
            </w:r>
          </w:p>
        </w:tc>
        <w:tc>
          <w:tcPr>
            <w:tcW w:w="2693" w:type="dxa"/>
            <w:tcBorders>
              <w:bottom w:val="single" w:sz="4" w:space="0" w:color="auto"/>
            </w:tcBorders>
          </w:tcPr>
          <w:p>
            <w:pPr>
              <w:pStyle w:val="nTable"/>
              <w:spacing w:before="80" w:after="60"/>
              <w:ind w:right="113"/>
            </w:pPr>
            <w:r>
              <w:t>r. 1 and 2: 23 Jun 2020 (see r. 2(a));</w:t>
            </w:r>
            <w:r>
              <w:br/>
              <w:t>Regulations other than r. 1 and 2: 1 Jul 2020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10</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3103815"/>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2929</Words>
  <Characters>22199</Characters>
  <Application>Microsoft Office Word</Application>
  <DocSecurity>0</DocSecurity>
  <Lines>541</Lines>
  <Paragraphs>364</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24764</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1991 - 02-m0-00</dc:title>
  <dc:subject/>
  <dc:creator/>
  <cp:keywords/>
  <dc:description/>
  <cp:lastModifiedBy>svcMRProcess</cp:lastModifiedBy>
  <cp:revision>4</cp:revision>
  <cp:lastPrinted>2007-02-06T00:52:00Z</cp:lastPrinted>
  <dcterms:created xsi:type="dcterms:W3CDTF">2020-06-30T05:03:00Z</dcterms:created>
  <dcterms:modified xsi:type="dcterms:W3CDTF">2020-06-30T05:03:00Z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AsAtDate">
    <vt:lpwstr>01 Jul 2020</vt:lpwstr>
  </property>
  <property fmtid="{D5CDD505-2E9C-101B-9397-08002B2CF9AE}" pid="7" name="Suffix">
    <vt:lpwstr>02-m0-00</vt:lpwstr>
  </property>
  <property fmtid="{D5CDD505-2E9C-101B-9397-08002B2CF9AE}" pid="8" name="CommencementDate">
    <vt:lpwstr>20200701</vt:lpwstr>
  </property>
</Properties>
</file>