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Caravan Parks and Camping Grounds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_Toc44414247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_Toc44414248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_Toc44414249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Meaning of park home</w:t>
      </w:r>
      <w:r>
        <w:tab/>
      </w:r>
      <w:r>
        <w:fldChar w:fldCharType="begin"/>
      </w:r>
      <w:r>
        <w:instrText xml:space="preserve"> PAGEREF _Toc44414250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Meaning of annexe</w:t>
      </w:r>
      <w:r>
        <w:tab/>
      </w:r>
      <w:r>
        <w:fldChar w:fldCharType="begin"/>
      </w:r>
      <w:r>
        <w:instrText xml:space="preserve"> PAGEREF _Toc44414251 \h </w:instrText>
      </w:r>
      <w:r>
        <w:fldChar w:fldCharType="separate"/>
      </w:r>
      <w:r>
        <w:t>5</w:t>
      </w:r>
      <w:r>
        <w:fldChar w:fldCharType="end"/>
      </w:r>
    </w:p>
    <w:p>
      <w:pPr>
        <w:pStyle w:val="TOC8"/>
        <w:rPr>
          <w:rFonts w:asciiTheme="minorHAnsi" w:eastAsiaTheme="minorEastAsia" w:hAnsiTheme="minorHAnsi" w:cstheme="minorBidi"/>
          <w:szCs w:val="22"/>
        </w:rPr>
      </w:pPr>
      <w:r>
        <w:t>6A.</w:t>
      </w:r>
      <w:r>
        <w:tab/>
        <w:t>Assistance animals</w:t>
      </w:r>
      <w:r>
        <w:tab/>
      </w:r>
      <w:r>
        <w:fldChar w:fldCharType="begin"/>
      </w:r>
      <w:r>
        <w:instrText xml:space="preserve"> PAGEREF _Toc44414252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Local government</w:t>
      </w:r>
      <w:r>
        <w:tab/>
      </w:r>
      <w:r>
        <w:fldChar w:fldCharType="begin"/>
      </w:r>
      <w:r>
        <w:instrText xml:space="preserve"> PAGEREF _Toc44414253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Imposition of conditions on licence</w:t>
      </w:r>
      <w:r>
        <w:tab/>
      </w:r>
      <w:r>
        <w:fldChar w:fldCharType="begin"/>
      </w:r>
      <w:r>
        <w:instrText xml:space="preserve"> PAGEREF _Toc44414254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Caravanning and camping generally</w:t>
      </w:r>
    </w:p>
    <w:p>
      <w:pPr>
        <w:pStyle w:val="TOC8"/>
        <w:rPr>
          <w:rFonts w:asciiTheme="minorHAnsi" w:eastAsiaTheme="minorEastAsia" w:hAnsiTheme="minorHAnsi" w:cstheme="minorBidi"/>
          <w:szCs w:val="22"/>
        </w:rPr>
      </w:pPr>
      <w:r>
        <w:t>8</w:t>
      </w:r>
      <w:r>
        <w:rPr>
          <w:snapToGrid w:val="0"/>
        </w:rPr>
        <w:t xml:space="preserve">. </w:t>
      </w:r>
      <w:r>
        <w:rPr>
          <w:snapToGrid w:val="0"/>
        </w:rPr>
        <w:tab/>
        <w:t>This Part subject to other written law</w:t>
      </w:r>
      <w:r>
        <w:tab/>
      </w:r>
      <w:r>
        <w:fldChar w:fldCharType="begin"/>
      </w:r>
      <w:r>
        <w:instrText xml:space="preserve"> PAGEREF _Toc44414256 \h </w:instrText>
      </w:r>
      <w:r>
        <w:fldChar w:fldCharType="separate"/>
      </w:r>
      <w:r>
        <w:t>6</w:t>
      </w:r>
      <w:r>
        <w:fldChar w:fldCharType="end"/>
      </w:r>
    </w:p>
    <w:p>
      <w:pPr>
        <w:pStyle w:val="TOC8"/>
        <w:rPr>
          <w:rFonts w:asciiTheme="minorHAnsi" w:eastAsiaTheme="minorEastAsia" w:hAnsiTheme="minorHAnsi" w:cstheme="minorBidi"/>
          <w:szCs w:val="22"/>
        </w:rPr>
      </w:pPr>
      <w:r>
        <w:t>8A.</w:t>
      </w:r>
      <w:r>
        <w:tab/>
        <w:t>Term used: camp</w:t>
      </w:r>
      <w:r>
        <w:tab/>
      </w:r>
      <w:r>
        <w:fldChar w:fldCharType="begin"/>
      </w:r>
      <w:r>
        <w:instrText xml:space="preserve"> PAGEREF _Toc44414257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Park homes may only be occupied in caravan parks</w:t>
      </w:r>
      <w:r>
        <w:tab/>
      </w:r>
      <w:r>
        <w:fldChar w:fldCharType="begin"/>
      </w:r>
      <w:r>
        <w:instrText xml:space="preserve"> PAGEREF _Toc44414258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Where person may camp</w:t>
      </w:r>
      <w:r>
        <w:tab/>
      </w:r>
      <w:r>
        <w:fldChar w:fldCharType="begin"/>
      </w:r>
      <w:r>
        <w:instrText xml:space="preserve"> PAGEREF _Toc44414259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Camping other than at caravan park or camping ground</w:t>
      </w:r>
      <w:r>
        <w:tab/>
      </w:r>
      <w:r>
        <w:fldChar w:fldCharType="begin"/>
      </w:r>
      <w:r>
        <w:instrText xml:space="preserve"> PAGEREF _Toc44414260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Number of caravans on lot</w:t>
      </w:r>
      <w:r>
        <w:tab/>
      </w:r>
      <w:r>
        <w:fldChar w:fldCharType="begin"/>
      </w:r>
      <w:r>
        <w:instrText xml:space="preserve"> PAGEREF _Toc44414261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Suitability of land for camping to be considered before approval under r. 11(2) or 12(2) given</w:t>
      </w:r>
      <w:r>
        <w:tab/>
      </w:r>
      <w:r>
        <w:fldChar w:fldCharType="begin"/>
      </w:r>
      <w:r>
        <w:instrText xml:space="preserve"> PAGEREF _Toc44414262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Caravan or camp to be maintained</w:t>
      </w:r>
      <w:r>
        <w:tab/>
      </w:r>
      <w:r>
        <w:fldChar w:fldCharType="begin"/>
      </w:r>
      <w:r>
        <w:instrText xml:space="preserve"> PAGEREF _Toc44414263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Mobility of caravans</w:t>
      </w:r>
      <w:r>
        <w:tab/>
      </w:r>
      <w:r>
        <w:fldChar w:fldCharType="begin"/>
      </w:r>
      <w:r>
        <w:instrText xml:space="preserve"> PAGEREF _Toc44414264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Caravan parks and camping grounds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licence holders</w:t>
      </w:r>
    </w:p>
    <w:p>
      <w:pPr>
        <w:pStyle w:val="TOC8"/>
        <w:rPr>
          <w:rFonts w:asciiTheme="minorHAnsi" w:eastAsiaTheme="minorEastAsia" w:hAnsiTheme="minorHAnsi" w:cstheme="minorBidi"/>
          <w:szCs w:val="22"/>
        </w:rPr>
      </w:pPr>
      <w:r>
        <w:t>16</w:t>
      </w:r>
      <w:r>
        <w:rPr>
          <w:snapToGrid w:val="0"/>
        </w:rPr>
        <w:t xml:space="preserve">. </w:t>
      </w:r>
      <w:r>
        <w:rPr>
          <w:snapToGrid w:val="0"/>
        </w:rPr>
        <w:tab/>
        <w:t>Schedules 5 and 6 — licence holder’s duty</w:t>
      </w:r>
      <w:r>
        <w:tab/>
      </w:r>
      <w:r>
        <w:fldChar w:fldCharType="begin"/>
      </w:r>
      <w:r>
        <w:instrText xml:space="preserve"> PAGEREF _Toc44414267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Schedule 7 — licence holder’s duty</w:t>
      </w:r>
      <w:r>
        <w:tab/>
      </w:r>
      <w:r>
        <w:fldChar w:fldCharType="begin"/>
      </w:r>
      <w:r>
        <w:instrText xml:space="preserve"> PAGEREF _Toc44414268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Compliance with licence conditions</w:t>
      </w:r>
      <w:r>
        <w:tab/>
      </w:r>
      <w:r>
        <w:fldChar w:fldCharType="begin"/>
      </w:r>
      <w:r>
        <w:instrText xml:space="preserve"> PAGEREF _Toc44414269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Other duties of licence holders</w:t>
      </w:r>
      <w:r>
        <w:tab/>
      </w:r>
      <w:r>
        <w:fldChar w:fldCharType="begin"/>
      </w:r>
      <w:r>
        <w:instrText xml:space="preserve"> PAGEREF _Toc44414270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Use of overflow area</w:t>
      </w:r>
      <w:r>
        <w:tab/>
      </w:r>
      <w:r>
        <w:fldChar w:fldCharType="begin"/>
      </w:r>
      <w:r>
        <w:instrText xml:space="preserve"> PAGEREF _Toc44414271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Licence holder to ensure sites allocated and used in accordance with licence</w:t>
      </w:r>
      <w:r>
        <w:tab/>
      </w:r>
      <w:r>
        <w:fldChar w:fldCharType="begin"/>
      </w:r>
      <w:r>
        <w:instrText xml:space="preserve"> PAGEREF _Toc44414272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other persons</w:t>
      </w:r>
    </w:p>
    <w:p>
      <w:pPr>
        <w:pStyle w:val="TOC8"/>
        <w:rPr>
          <w:rFonts w:asciiTheme="minorHAnsi" w:eastAsiaTheme="minorEastAsia" w:hAnsiTheme="minorHAnsi" w:cstheme="minorBidi"/>
          <w:szCs w:val="22"/>
        </w:rPr>
      </w:pPr>
      <w:r>
        <w:t>22</w:t>
      </w:r>
      <w:r>
        <w:rPr>
          <w:snapToGrid w:val="0"/>
        </w:rPr>
        <w:t xml:space="preserve">. </w:t>
      </w:r>
      <w:r>
        <w:rPr>
          <w:snapToGrid w:val="0"/>
        </w:rPr>
        <w:tab/>
        <w:t>Schedules 5 and 6 — caravan owner’s duty</w:t>
      </w:r>
      <w:r>
        <w:tab/>
      </w:r>
      <w:r>
        <w:fldChar w:fldCharType="begin"/>
      </w:r>
      <w:r>
        <w:instrText xml:space="preserve"> PAGEREF _Toc44414274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Schedule 7 — occupier’s duty</w:t>
      </w:r>
      <w:r>
        <w:tab/>
      </w:r>
      <w:r>
        <w:fldChar w:fldCharType="begin"/>
      </w:r>
      <w:r>
        <w:instrText xml:space="preserve"> PAGEREF _Toc44414275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 xml:space="preserve">. </w:t>
      </w:r>
      <w:r>
        <w:rPr>
          <w:snapToGrid w:val="0"/>
        </w:rPr>
        <w:tab/>
        <w:t>Occupier to maintain site</w:t>
      </w:r>
      <w:r>
        <w:tab/>
      </w:r>
      <w:r>
        <w:fldChar w:fldCharType="begin"/>
      </w:r>
      <w:r>
        <w:instrText xml:space="preserve"> PAGEREF _Toc44414276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 xml:space="preserve">. </w:t>
      </w:r>
      <w:r>
        <w:rPr>
          <w:snapToGrid w:val="0"/>
        </w:rPr>
        <w:tab/>
        <w:t>Control of animals</w:t>
      </w:r>
      <w:r>
        <w:tab/>
      </w:r>
      <w:r>
        <w:fldChar w:fldCharType="begin"/>
      </w:r>
      <w:r>
        <w:instrText xml:space="preserve"> PAGEREF _Toc44414277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 xml:space="preserve">. </w:t>
      </w:r>
      <w:r>
        <w:rPr>
          <w:snapToGrid w:val="0"/>
        </w:rPr>
        <w:tab/>
        <w:t>Speed limit</w:t>
      </w:r>
      <w:r>
        <w:tab/>
      </w:r>
      <w:r>
        <w:fldChar w:fldCharType="begin"/>
      </w:r>
      <w:r>
        <w:instrText xml:space="preserve"> PAGEREF _Toc44414278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 xml:space="preserve">. </w:t>
      </w:r>
      <w:r>
        <w:rPr>
          <w:snapToGrid w:val="0"/>
        </w:rPr>
        <w:tab/>
        <w:t>Washing machines</w:t>
      </w:r>
      <w:r>
        <w:tab/>
      </w:r>
      <w:r>
        <w:fldChar w:fldCharType="begin"/>
      </w:r>
      <w:r>
        <w:instrText xml:space="preserve"> PAGEREF _Toc44414279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Exemptions from some provisions of Schedules 6 and 7</w:t>
      </w:r>
    </w:p>
    <w:p>
      <w:pPr>
        <w:pStyle w:val="TOC8"/>
        <w:rPr>
          <w:rFonts w:asciiTheme="minorHAnsi" w:eastAsiaTheme="minorEastAsia" w:hAnsiTheme="minorHAnsi" w:cstheme="minorBidi"/>
          <w:szCs w:val="22"/>
        </w:rPr>
      </w:pPr>
      <w:r>
        <w:t>27A.</w:t>
      </w:r>
      <w:r>
        <w:tab/>
        <w:t>Exemptions from Schedule 6</w:t>
      </w:r>
      <w:r>
        <w:tab/>
      </w:r>
      <w:r>
        <w:fldChar w:fldCharType="begin"/>
      </w:r>
      <w:r>
        <w:instrText xml:space="preserve"> PAGEREF _Toc44414281 \h </w:instrText>
      </w:r>
      <w:r>
        <w:fldChar w:fldCharType="separate"/>
      </w:r>
      <w:r>
        <w:t>16</w:t>
      </w:r>
      <w:r>
        <w:fldChar w:fldCharType="end"/>
      </w:r>
    </w:p>
    <w:p>
      <w:pPr>
        <w:pStyle w:val="TOC8"/>
        <w:rPr>
          <w:rFonts w:asciiTheme="minorHAnsi" w:eastAsiaTheme="minorEastAsia" w:hAnsiTheme="minorHAnsi" w:cstheme="minorBidi"/>
          <w:szCs w:val="22"/>
        </w:rPr>
      </w:pPr>
      <w:r>
        <w:t>27B.</w:t>
      </w:r>
      <w:r>
        <w:tab/>
        <w:t>Exemptions from Schedule 7</w:t>
      </w:r>
      <w:r>
        <w:tab/>
      </w:r>
      <w:r>
        <w:fldChar w:fldCharType="begin"/>
      </w:r>
      <w:r>
        <w:instrText xml:space="preserve"> PAGEREF _Toc44414282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Park homes, annexes, carports, pergolas and storage sheds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Certain construction prohibited at facility</w:t>
      </w:r>
    </w:p>
    <w:p>
      <w:pPr>
        <w:pStyle w:val="TOC8"/>
        <w:rPr>
          <w:rFonts w:asciiTheme="minorHAnsi" w:eastAsiaTheme="minorEastAsia" w:hAnsiTheme="minorHAnsi" w:cstheme="minorBidi"/>
          <w:szCs w:val="22"/>
        </w:rPr>
      </w:pPr>
      <w:r>
        <w:t>28</w:t>
      </w:r>
      <w:r>
        <w:rPr>
          <w:snapToGrid w:val="0"/>
        </w:rPr>
        <w:t xml:space="preserve">. </w:t>
      </w:r>
      <w:r>
        <w:rPr>
          <w:snapToGrid w:val="0"/>
        </w:rPr>
        <w:tab/>
        <w:t>Park home not to be constructed in caravan park or camping ground</w:t>
      </w:r>
      <w:r>
        <w:tab/>
      </w:r>
      <w:r>
        <w:fldChar w:fldCharType="begin"/>
      </w:r>
      <w:r>
        <w:instrText xml:space="preserve"> PAGEREF _Toc44414285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 xml:space="preserve">. </w:t>
      </w:r>
      <w:r>
        <w:rPr>
          <w:snapToGrid w:val="0"/>
        </w:rPr>
        <w:tab/>
        <w:t>Annexe, carport, pergola or storage shed may be constructed on site</w:t>
      </w:r>
      <w:r>
        <w:tab/>
      </w:r>
      <w:r>
        <w:fldChar w:fldCharType="begin"/>
      </w:r>
      <w:r>
        <w:instrText xml:space="preserve"> PAGEREF _Toc44414286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 homes and annexes</w:t>
      </w:r>
    </w:p>
    <w:p>
      <w:pPr>
        <w:pStyle w:val="TOC8"/>
        <w:rPr>
          <w:rFonts w:asciiTheme="minorHAnsi" w:eastAsiaTheme="minorEastAsia" w:hAnsiTheme="minorHAnsi" w:cstheme="minorBidi"/>
          <w:szCs w:val="22"/>
        </w:rPr>
      </w:pPr>
      <w:r>
        <w:t>30</w:t>
      </w:r>
      <w:r>
        <w:rPr>
          <w:snapToGrid w:val="0"/>
        </w:rPr>
        <w:t xml:space="preserve">. </w:t>
      </w:r>
      <w:r>
        <w:rPr>
          <w:snapToGrid w:val="0"/>
        </w:rPr>
        <w:tab/>
        <w:t>Park homes</w:t>
      </w:r>
      <w:r>
        <w:tab/>
      </w:r>
      <w:r>
        <w:fldChar w:fldCharType="begin"/>
      </w:r>
      <w:r>
        <w:instrText xml:space="preserve"> PAGEREF _Toc44414288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 xml:space="preserve">. </w:t>
      </w:r>
      <w:r>
        <w:rPr>
          <w:snapToGrid w:val="0"/>
        </w:rPr>
        <w:tab/>
        <w:t>Approval of local government for park home</w:t>
      </w:r>
      <w:r>
        <w:tab/>
      </w:r>
      <w:r>
        <w:fldChar w:fldCharType="begin"/>
      </w:r>
      <w:r>
        <w:instrText xml:space="preserve"> PAGEREF _Toc44414289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 xml:space="preserve">. </w:t>
      </w:r>
      <w:r>
        <w:rPr>
          <w:snapToGrid w:val="0"/>
        </w:rPr>
        <w:tab/>
        <w:t>Park home certificates</w:t>
      </w:r>
      <w:r>
        <w:tab/>
      </w:r>
      <w:r>
        <w:fldChar w:fldCharType="begin"/>
      </w:r>
      <w:r>
        <w:instrText xml:space="preserve"> PAGEREF _Toc44414290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 xml:space="preserve">. </w:t>
      </w:r>
      <w:r>
        <w:rPr>
          <w:snapToGrid w:val="0"/>
        </w:rPr>
        <w:tab/>
        <w:t>Park homes to be in accordance with Building Code</w:t>
      </w:r>
      <w:r>
        <w:tab/>
      </w:r>
      <w:r>
        <w:fldChar w:fldCharType="begin"/>
      </w:r>
      <w:r>
        <w:instrText xml:space="preserve"> PAGEREF _Toc44414291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 xml:space="preserve">. </w:t>
      </w:r>
      <w:r>
        <w:rPr>
          <w:snapToGrid w:val="0"/>
        </w:rPr>
        <w:tab/>
        <w:t>Annexes</w:t>
      </w:r>
      <w:r>
        <w:tab/>
      </w:r>
      <w:r>
        <w:fldChar w:fldCharType="begin"/>
      </w:r>
      <w:r>
        <w:instrText xml:space="preserve"> PAGEREF _Toc44414292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 xml:space="preserve">. </w:t>
      </w:r>
      <w:r>
        <w:rPr>
          <w:snapToGrid w:val="0"/>
        </w:rPr>
        <w:tab/>
        <w:t>Approval of local government for annexe</w:t>
      </w:r>
      <w:r>
        <w:tab/>
      </w:r>
      <w:r>
        <w:fldChar w:fldCharType="begin"/>
      </w:r>
      <w:r>
        <w:instrText xml:space="preserve"> PAGEREF _Toc44414293 \h </w:instrText>
      </w:r>
      <w:r>
        <w:fldChar w:fldCharType="separate"/>
      </w:r>
      <w:r>
        <w:t>24</w:t>
      </w:r>
      <w:r>
        <w:fldChar w:fldCharType="end"/>
      </w:r>
    </w:p>
    <w:p>
      <w:pPr>
        <w:pStyle w:val="TOC8"/>
        <w:rPr>
          <w:rFonts w:asciiTheme="minorHAnsi" w:eastAsiaTheme="minorEastAsia" w:hAnsiTheme="minorHAnsi" w:cstheme="minorBidi"/>
          <w:szCs w:val="22"/>
        </w:rPr>
      </w:pPr>
      <w:r>
        <w:t>36</w:t>
      </w:r>
      <w:r>
        <w:rPr>
          <w:snapToGrid w:val="0"/>
        </w:rPr>
        <w:t xml:space="preserve">. </w:t>
      </w:r>
      <w:r>
        <w:rPr>
          <w:snapToGrid w:val="0"/>
        </w:rPr>
        <w:tab/>
        <w:t>Annexe certificate</w:t>
      </w:r>
      <w:r>
        <w:tab/>
      </w:r>
      <w:r>
        <w:fldChar w:fldCharType="begin"/>
      </w:r>
      <w:r>
        <w:instrText xml:space="preserve"> PAGEREF _Toc44414294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 xml:space="preserve">. </w:t>
      </w:r>
      <w:r>
        <w:rPr>
          <w:snapToGrid w:val="0"/>
        </w:rPr>
        <w:tab/>
        <w:t>Rigid annexe to be in accordance with Building Code</w:t>
      </w:r>
      <w:r>
        <w:tab/>
      </w:r>
      <w:r>
        <w:fldChar w:fldCharType="begin"/>
      </w:r>
      <w:r>
        <w:instrText xml:space="preserve"> PAGEREF _Toc44414295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 xml:space="preserve">. </w:t>
      </w:r>
      <w:r>
        <w:rPr>
          <w:snapToGrid w:val="0"/>
        </w:rPr>
        <w:tab/>
        <w:t>Change of use of park home or annexe</w:t>
      </w:r>
      <w:r>
        <w:tab/>
      </w:r>
      <w:r>
        <w:fldChar w:fldCharType="begin"/>
      </w:r>
      <w:r>
        <w:instrText xml:space="preserve"> PAGEREF _Toc44414296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Carports, pergolas and storage sheds</w:t>
      </w:r>
    </w:p>
    <w:p>
      <w:pPr>
        <w:pStyle w:val="TOC8"/>
        <w:rPr>
          <w:rFonts w:asciiTheme="minorHAnsi" w:eastAsiaTheme="minorEastAsia" w:hAnsiTheme="minorHAnsi" w:cstheme="minorBidi"/>
          <w:szCs w:val="22"/>
        </w:rPr>
      </w:pPr>
      <w:r>
        <w:t>39</w:t>
      </w:r>
      <w:r>
        <w:rPr>
          <w:snapToGrid w:val="0"/>
        </w:rPr>
        <w:t xml:space="preserve">. </w:t>
      </w:r>
      <w:r>
        <w:rPr>
          <w:snapToGrid w:val="0"/>
        </w:rPr>
        <w:tab/>
        <w:t>Carports and pergolas</w:t>
      </w:r>
      <w:r>
        <w:tab/>
      </w:r>
      <w:r>
        <w:fldChar w:fldCharType="begin"/>
      </w:r>
      <w:r>
        <w:instrText xml:space="preserve"> PAGEREF _Toc44414298 \h </w:instrText>
      </w:r>
      <w:r>
        <w:fldChar w:fldCharType="separate"/>
      </w:r>
      <w:r>
        <w:t>28</w:t>
      </w:r>
      <w:r>
        <w:fldChar w:fldCharType="end"/>
      </w:r>
    </w:p>
    <w:p>
      <w:pPr>
        <w:pStyle w:val="TOC8"/>
        <w:rPr>
          <w:rFonts w:asciiTheme="minorHAnsi" w:eastAsiaTheme="minorEastAsia" w:hAnsiTheme="minorHAnsi" w:cstheme="minorBidi"/>
          <w:szCs w:val="22"/>
        </w:rPr>
      </w:pPr>
      <w:r>
        <w:t>40</w:t>
      </w:r>
      <w:r>
        <w:rPr>
          <w:snapToGrid w:val="0"/>
        </w:rPr>
        <w:t xml:space="preserve">. </w:t>
      </w:r>
      <w:r>
        <w:rPr>
          <w:snapToGrid w:val="0"/>
        </w:rPr>
        <w:tab/>
        <w:t>Storage sheds</w:t>
      </w:r>
      <w:r>
        <w:tab/>
      </w:r>
      <w:r>
        <w:fldChar w:fldCharType="begin"/>
      </w:r>
      <w:r>
        <w:instrText xml:space="preserve"> PAGEREF _Toc44414299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4A — Manufactured homes and attachments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_Toc44414301 \h </w:instrText>
      </w:r>
      <w:r>
        <w:fldChar w:fldCharType="separate"/>
      </w:r>
      <w:r>
        <w:t>30</w:t>
      </w:r>
      <w:r>
        <w:fldChar w:fldCharType="end"/>
      </w:r>
    </w:p>
    <w:p>
      <w:pPr>
        <w:pStyle w:val="TOC8"/>
        <w:rPr>
          <w:rFonts w:asciiTheme="minorHAnsi" w:eastAsiaTheme="minorEastAsia" w:hAnsiTheme="minorHAnsi" w:cstheme="minorBidi"/>
          <w:szCs w:val="22"/>
        </w:rPr>
      </w:pPr>
      <w:r>
        <w:t>40B.</w:t>
      </w:r>
      <w:r>
        <w:tab/>
        <w:t>Manufactured homes and attachments</w:t>
      </w:r>
      <w:r>
        <w:tab/>
      </w:r>
      <w:r>
        <w:fldChar w:fldCharType="begin"/>
      </w:r>
      <w:r>
        <w:instrText xml:space="preserve"> PAGEREF _Toc44414302 \h </w:instrText>
      </w:r>
      <w:r>
        <w:fldChar w:fldCharType="separate"/>
      </w:r>
      <w:r>
        <w:t>31</w:t>
      </w:r>
      <w:r>
        <w:fldChar w:fldCharType="end"/>
      </w:r>
    </w:p>
    <w:p>
      <w:pPr>
        <w:pStyle w:val="TOC8"/>
        <w:rPr>
          <w:rFonts w:asciiTheme="minorHAnsi" w:eastAsiaTheme="minorEastAsia" w:hAnsiTheme="minorHAnsi" w:cstheme="minorBidi"/>
          <w:szCs w:val="22"/>
        </w:rPr>
      </w:pPr>
      <w:r>
        <w:t>40C.</w:t>
      </w:r>
      <w:r>
        <w:tab/>
        <w:t>Manufactured home certificates</w:t>
      </w:r>
      <w:r>
        <w:tab/>
      </w:r>
      <w:r>
        <w:fldChar w:fldCharType="begin"/>
      </w:r>
      <w:r>
        <w:instrText xml:space="preserve"> PAGEREF _Toc44414303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Licensing of caravan parks and camping grounds</w:t>
      </w:r>
    </w:p>
    <w:p>
      <w:pPr>
        <w:pStyle w:val="TOC8"/>
        <w:rPr>
          <w:rFonts w:asciiTheme="minorHAnsi" w:eastAsiaTheme="minorEastAsia" w:hAnsiTheme="minorHAnsi" w:cstheme="minorBidi"/>
          <w:szCs w:val="22"/>
        </w:rPr>
      </w:pPr>
      <w:r>
        <w:t>41</w:t>
      </w:r>
      <w:r>
        <w:rPr>
          <w:snapToGrid w:val="0"/>
        </w:rPr>
        <w:t xml:space="preserve">. </w:t>
      </w:r>
      <w:r>
        <w:rPr>
          <w:snapToGrid w:val="0"/>
        </w:rPr>
        <w:tab/>
        <w:t>Types of facilities and licences — Schedule 2</w:t>
      </w:r>
      <w:r>
        <w:tab/>
      </w:r>
      <w:r>
        <w:fldChar w:fldCharType="begin"/>
      </w:r>
      <w:r>
        <w:instrText xml:space="preserve"> PAGEREF _Toc44414305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 xml:space="preserve">. </w:t>
      </w:r>
      <w:r>
        <w:rPr>
          <w:snapToGrid w:val="0"/>
        </w:rPr>
        <w:tab/>
        <w:t>Licence to be of type referred to in Schedule 2</w:t>
      </w:r>
      <w:r>
        <w:tab/>
      </w:r>
      <w:r>
        <w:fldChar w:fldCharType="begin"/>
      </w:r>
      <w:r>
        <w:instrText xml:space="preserve"> PAGEREF _Toc44414306 \h </w:instrText>
      </w:r>
      <w:r>
        <w:fldChar w:fldCharType="separate"/>
      </w:r>
      <w:r>
        <w:t>35</w:t>
      </w:r>
      <w:r>
        <w:fldChar w:fldCharType="end"/>
      </w:r>
    </w:p>
    <w:p>
      <w:pPr>
        <w:pStyle w:val="TOC8"/>
        <w:rPr>
          <w:rFonts w:asciiTheme="minorHAnsi" w:eastAsiaTheme="minorEastAsia" w:hAnsiTheme="minorHAnsi" w:cstheme="minorBidi"/>
          <w:szCs w:val="22"/>
        </w:rPr>
      </w:pPr>
      <w:r>
        <w:t>43</w:t>
      </w:r>
      <w:r>
        <w:rPr>
          <w:snapToGrid w:val="0"/>
        </w:rPr>
        <w:t xml:space="preserve">. </w:t>
      </w:r>
      <w:r>
        <w:rPr>
          <w:snapToGrid w:val="0"/>
        </w:rPr>
        <w:tab/>
        <w:t>Application for licence or renewal — Form 1</w:t>
      </w:r>
      <w:r>
        <w:tab/>
      </w:r>
      <w:r>
        <w:fldChar w:fldCharType="begin"/>
      </w:r>
      <w:r>
        <w:instrText xml:space="preserve"> PAGEREF _Toc44414307 \h </w:instrText>
      </w:r>
      <w:r>
        <w:fldChar w:fldCharType="separate"/>
      </w:r>
      <w:r>
        <w:t>35</w:t>
      </w:r>
      <w:r>
        <w:fldChar w:fldCharType="end"/>
      </w:r>
    </w:p>
    <w:p>
      <w:pPr>
        <w:pStyle w:val="TOC8"/>
        <w:rPr>
          <w:rFonts w:asciiTheme="minorHAnsi" w:eastAsiaTheme="minorEastAsia" w:hAnsiTheme="minorHAnsi" w:cstheme="minorBidi"/>
          <w:szCs w:val="22"/>
        </w:rPr>
      </w:pPr>
      <w:r>
        <w:t>44</w:t>
      </w:r>
      <w:r>
        <w:rPr>
          <w:snapToGrid w:val="0"/>
        </w:rPr>
        <w:t xml:space="preserve">. </w:t>
      </w:r>
      <w:r>
        <w:rPr>
          <w:snapToGrid w:val="0"/>
        </w:rPr>
        <w:tab/>
        <w:t>No change to facility as shown on plan, unless approved</w:t>
      </w:r>
      <w:r>
        <w:tab/>
      </w:r>
      <w:r>
        <w:fldChar w:fldCharType="begin"/>
      </w:r>
      <w:r>
        <w:instrText xml:space="preserve"> PAGEREF _Toc44414308 \h </w:instrText>
      </w:r>
      <w:r>
        <w:fldChar w:fldCharType="separate"/>
      </w:r>
      <w:r>
        <w:t>35</w:t>
      </w:r>
      <w:r>
        <w:fldChar w:fldCharType="end"/>
      </w:r>
    </w:p>
    <w:p>
      <w:pPr>
        <w:pStyle w:val="TOC8"/>
        <w:rPr>
          <w:rFonts w:asciiTheme="minorHAnsi" w:eastAsiaTheme="minorEastAsia" w:hAnsiTheme="minorHAnsi" w:cstheme="minorBidi"/>
          <w:szCs w:val="22"/>
        </w:rPr>
      </w:pPr>
      <w:r>
        <w:t>45</w:t>
      </w:r>
      <w:r>
        <w:rPr>
          <w:snapToGrid w:val="0"/>
        </w:rPr>
        <w:t xml:space="preserve">. </w:t>
      </w:r>
      <w:r>
        <w:rPr>
          <w:snapToGrid w:val="0"/>
        </w:rPr>
        <w:tab/>
        <w:t>Fee for application for licence or renewal</w:t>
      </w:r>
      <w:r>
        <w:tab/>
      </w:r>
      <w:r>
        <w:fldChar w:fldCharType="begin"/>
      </w:r>
      <w:r>
        <w:instrText xml:space="preserve"> PAGEREF _Toc44414309 \h </w:instrText>
      </w:r>
      <w:r>
        <w:fldChar w:fldCharType="separate"/>
      </w:r>
      <w:r>
        <w:t>36</w:t>
      </w:r>
      <w:r>
        <w:fldChar w:fldCharType="end"/>
      </w:r>
    </w:p>
    <w:p>
      <w:pPr>
        <w:pStyle w:val="TOC8"/>
        <w:rPr>
          <w:rFonts w:asciiTheme="minorHAnsi" w:eastAsiaTheme="minorEastAsia" w:hAnsiTheme="minorHAnsi" w:cstheme="minorBidi"/>
          <w:szCs w:val="22"/>
        </w:rPr>
      </w:pPr>
      <w:r>
        <w:t>46</w:t>
      </w:r>
      <w:r>
        <w:rPr>
          <w:snapToGrid w:val="0"/>
        </w:rPr>
        <w:t xml:space="preserve">. </w:t>
      </w:r>
      <w:r>
        <w:rPr>
          <w:snapToGrid w:val="0"/>
        </w:rPr>
        <w:tab/>
        <w:t>Licence — Form 2</w:t>
      </w:r>
      <w:r>
        <w:tab/>
      </w:r>
      <w:r>
        <w:fldChar w:fldCharType="begin"/>
      </w:r>
      <w:r>
        <w:instrText xml:space="preserve"> PAGEREF _Toc44414310 \h </w:instrText>
      </w:r>
      <w:r>
        <w:fldChar w:fldCharType="separate"/>
      </w:r>
      <w:r>
        <w:t>36</w:t>
      </w:r>
      <w:r>
        <w:fldChar w:fldCharType="end"/>
      </w:r>
    </w:p>
    <w:p>
      <w:pPr>
        <w:pStyle w:val="TOC8"/>
        <w:rPr>
          <w:rFonts w:asciiTheme="minorHAnsi" w:eastAsiaTheme="minorEastAsia" w:hAnsiTheme="minorHAnsi" w:cstheme="minorBidi"/>
          <w:szCs w:val="22"/>
        </w:rPr>
      </w:pPr>
      <w:r>
        <w:t>47</w:t>
      </w:r>
      <w:r>
        <w:rPr>
          <w:snapToGrid w:val="0"/>
        </w:rPr>
        <w:t xml:space="preserve">. </w:t>
      </w:r>
      <w:r>
        <w:rPr>
          <w:snapToGrid w:val="0"/>
        </w:rPr>
        <w:tab/>
        <w:t>Applications not dealt with within time are taken to be refused</w:t>
      </w:r>
      <w:r>
        <w:tab/>
      </w:r>
      <w:r>
        <w:fldChar w:fldCharType="begin"/>
      </w:r>
      <w:r>
        <w:instrText xml:space="preserve"> PAGEREF _Toc44414311 \h </w:instrText>
      </w:r>
      <w:r>
        <w:fldChar w:fldCharType="separate"/>
      </w:r>
      <w:r>
        <w:t>36</w:t>
      </w:r>
      <w:r>
        <w:fldChar w:fldCharType="end"/>
      </w:r>
    </w:p>
    <w:p>
      <w:pPr>
        <w:pStyle w:val="TOC8"/>
        <w:rPr>
          <w:rFonts w:asciiTheme="minorHAnsi" w:eastAsiaTheme="minorEastAsia" w:hAnsiTheme="minorHAnsi" w:cstheme="minorBidi"/>
          <w:szCs w:val="22"/>
        </w:rPr>
      </w:pPr>
      <w:r>
        <w:t>48</w:t>
      </w:r>
      <w:r>
        <w:rPr>
          <w:snapToGrid w:val="0"/>
        </w:rPr>
        <w:t xml:space="preserve">. </w:t>
      </w:r>
      <w:r>
        <w:rPr>
          <w:snapToGrid w:val="0"/>
        </w:rPr>
        <w:tab/>
        <w:t>Overflow areas</w:t>
      </w:r>
      <w:r>
        <w:tab/>
      </w:r>
      <w:r>
        <w:fldChar w:fldCharType="begin"/>
      </w:r>
      <w:r>
        <w:instrText xml:space="preserve"> PAGEREF _Toc44414312 \h </w:instrText>
      </w:r>
      <w:r>
        <w:fldChar w:fldCharType="separate"/>
      </w:r>
      <w:r>
        <w:t>37</w:t>
      </w:r>
      <w:r>
        <w:fldChar w:fldCharType="end"/>
      </w:r>
    </w:p>
    <w:p>
      <w:pPr>
        <w:pStyle w:val="TOC8"/>
        <w:rPr>
          <w:rFonts w:asciiTheme="minorHAnsi" w:eastAsiaTheme="minorEastAsia" w:hAnsiTheme="minorHAnsi" w:cstheme="minorBidi"/>
          <w:szCs w:val="22"/>
        </w:rPr>
      </w:pPr>
      <w:r>
        <w:t>50</w:t>
      </w:r>
      <w:r>
        <w:rPr>
          <w:snapToGrid w:val="0"/>
        </w:rPr>
        <w:t xml:space="preserve">. </w:t>
      </w:r>
      <w:r>
        <w:rPr>
          <w:snapToGrid w:val="0"/>
        </w:rPr>
        <w:tab/>
        <w:t>Licence to specify number and types of sites and other conditions</w:t>
      </w:r>
      <w:r>
        <w:tab/>
      </w:r>
      <w:r>
        <w:fldChar w:fldCharType="begin"/>
      </w:r>
      <w:r>
        <w:instrText xml:space="preserve"> PAGEREF _Toc44414313 \h </w:instrText>
      </w:r>
      <w:r>
        <w:fldChar w:fldCharType="separate"/>
      </w:r>
      <w:r>
        <w:t>37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Calculation of camping sites</w:t>
      </w:r>
      <w:r>
        <w:tab/>
      </w:r>
      <w:r>
        <w:fldChar w:fldCharType="begin"/>
      </w:r>
      <w:r>
        <w:instrText xml:space="preserve"> PAGEREF _Toc44414314 \h </w:instrText>
      </w:r>
      <w:r>
        <w:fldChar w:fldCharType="separate"/>
      </w:r>
      <w:r>
        <w:t>37</w:t>
      </w:r>
      <w:r>
        <w:fldChar w:fldCharType="end"/>
      </w:r>
    </w:p>
    <w:p>
      <w:pPr>
        <w:pStyle w:val="TOC8"/>
        <w:rPr>
          <w:rFonts w:asciiTheme="minorHAnsi" w:eastAsiaTheme="minorEastAsia" w:hAnsiTheme="minorHAnsi" w:cstheme="minorBidi"/>
          <w:szCs w:val="22"/>
        </w:rPr>
      </w:pPr>
      <w:r>
        <w:t>52</w:t>
      </w:r>
      <w:r>
        <w:rPr>
          <w:snapToGrid w:val="0"/>
        </w:rPr>
        <w:t xml:space="preserve">. </w:t>
      </w:r>
      <w:r>
        <w:rPr>
          <w:snapToGrid w:val="0"/>
        </w:rPr>
        <w:tab/>
        <w:t>Duration of licence</w:t>
      </w:r>
      <w:r>
        <w:tab/>
      </w:r>
      <w:r>
        <w:fldChar w:fldCharType="begin"/>
      </w:r>
      <w:r>
        <w:instrText xml:space="preserve"> PAGEREF _Toc44414315 \h </w:instrText>
      </w:r>
      <w:r>
        <w:fldChar w:fldCharType="separate"/>
      </w:r>
      <w:r>
        <w:t>38</w:t>
      </w:r>
      <w:r>
        <w:fldChar w:fldCharType="end"/>
      </w:r>
    </w:p>
    <w:p>
      <w:pPr>
        <w:pStyle w:val="TOC8"/>
        <w:rPr>
          <w:rFonts w:asciiTheme="minorHAnsi" w:eastAsiaTheme="minorEastAsia" w:hAnsiTheme="minorHAnsi" w:cstheme="minorBidi"/>
          <w:szCs w:val="22"/>
        </w:rPr>
      </w:pPr>
      <w:r>
        <w:t>53</w:t>
      </w:r>
      <w:r>
        <w:rPr>
          <w:snapToGrid w:val="0"/>
        </w:rPr>
        <w:t xml:space="preserve">. </w:t>
      </w:r>
      <w:r>
        <w:rPr>
          <w:snapToGrid w:val="0"/>
        </w:rPr>
        <w:tab/>
        <w:t>Additional fee for renewal after expiry</w:t>
      </w:r>
      <w:r>
        <w:tab/>
      </w:r>
      <w:r>
        <w:fldChar w:fldCharType="begin"/>
      </w:r>
      <w:r>
        <w:instrText xml:space="preserve"> PAGEREF _Toc44414316 \h </w:instrText>
      </w:r>
      <w:r>
        <w:fldChar w:fldCharType="separate"/>
      </w:r>
      <w:r>
        <w:t>38</w:t>
      </w:r>
      <w:r>
        <w:fldChar w:fldCharType="end"/>
      </w:r>
    </w:p>
    <w:p>
      <w:pPr>
        <w:pStyle w:val="TOC8"/>
        <w:rPr>
          <w:rFonts w:asciiTheme="minorHAnsi" w:eastAsiaTheme="minorEastAsia" w:hAnsiTheme="minorHAnsi" w:cstheme="minorBidi"/>
          <w:szCs w:val="22"/>
        </w:rPr>
      </w:pPr>
      <w:r>
        <w:t>54</w:t>
      </w:r>
      <w:r>
        <w:rPr>
          <w:snapToGrid w:val="0"/>
        </w:rPr>
        <w:t xml:space="preserve">. </w:t>
      </w:r>
      <w:r>
        <w:rPr>
          <w:snapToGrid w:val="0"/>
        </w:rPr>
        <w:tab/>
        <w:t>Temporary licence</w:t>
      </w:r>
      <w:r>
        <w:tab/>
      </w:r>
      <w:r>
        <w:fldChar w:fldCharType="begin"/>
      </w:r>
      <w:r>
        <w:instrText xml:space="preserve"> PAGEREF _Toc44414317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 xml:space="preserve">. </w:t>
      </w:r>
      <w:r>
        <w:rPr>
          <w:snapToGrid w:val="0"/>
        </w:rPr>
        <w:tab/>
        <w:t>Transfer of licence</w:t>
      </w:r>
      <w:r>
        <w:tab/>
      </w:r>
      <w:r>
        <w:fldChar w:fldCharType="begin"/>
      </w:r>
      <w:r>
        <w:instrText xml:space="preserve"> PAGEREF _Toc44414318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6 — Removal of neglected, abandoned, etc. caravans</w:t>
      </w:r>
    </w:p>
    <w:p>
      <w:pPr>
        <w:pStyle w:val="TOC8"/>
        <w:rPr>
          <w:rFonts w:asciiTheme="minorHAnsi" w:eastAsiaTheme="minorEastAsia" w:hAnsiTheme="minorHAnsi" w:cstheme="minorBidi"/>
          <w:szCs w:val="22"/>
        </w:rPr>
      </w:pPr>
      <w:r>
        <w:t>56</w:t>
      </w:r>
      <w:r>
        <w:rPr>
          <w:snapToGrid w:val="0"/>
        </w:rPr>
        <w:t xml:space="preserve">. </w:t>
      </w:r>
      <w:r>
        <w:rPr>
          <w:snapToGrid w:val="0"/>
        </w:rPr>
        <w:tab/>
        <w:t>Neglected or abandoned caravans</w:t>
      </w:r>
      <w:r>
        <w:tab/>
      </w:r>
      <w:r>
        <w:fldChar w:fldCharType="begin"/>
      </w:r>
      <w:r>
        <w:instrText xml:space="preserve"> PAGEREF _Toc44414320 \h </w:instrText>
      </w:r>
      <w:r>
        <w:fldChar w:fldCharType="separate"/>
      </w:r>
      <w:r>
        <w:t>39</w:t>
      </w:r>
      <w:r>
        <w:fldChar w:fldCharType="end"/>
      </w:r>
    </w:p>
    <w:p>
      <w:pPr>
        <w:pStyle w:val="TOC8"/>
        <w:rPr>
          <w:rFonts w:asciiTheme="minorHAnsi" w:eastAsiaTheme="minorEastAsia" w:hAnsiTheme="minorHAnsi" w:cstheme="minorBidi"/>
          <w:szCs w:val="22"/>
        </w:rPr>
      </w:pPr>
      <w:r>
        <w:t>57</w:t>
      </w:r>
      <w:r>
        <w:rPr>
          <w:snapToGrid w:val="0"/>
        </w:rPr>
        <w:t xml:space="preserve">. </w:t>
      </w:r>
      <w:r>
        <w:rPr>
          <w:snapToGrid w:val="0"/>
        </w:rPr>
        <w:tab/>
        <w:t>Caravans in dangerous condition</w:t>
      </w:r>
      <w:r>
        <w:tab/>
      </w:r>
      <w:r>
        <w:fldChar w:fldCharType="begin"/>
      </w:r>
      <w:r>
        <w:instrText xml:space="preserve"> PAGEREF _Toc44414321 \h </w:instrText>
      </w:r>
      <w:r>
        <w:fldChar w:fldCharType="separate"/>
      </w:r>
      <w:r>
        <w:t>39</w:t>
      </w:r>
      <w:r>
        <w:fldChar w:fldCharType="end"/>
      </w:r>
    </w:p>
    <w:p>
      <w:pPr>
        <w:pStyle w:val="TOC8"/>
        <w:rPr>
          <w:rFonts w:asciiTheme="minorHAnsi" w:eastAsiaTheme="minorEastAsia" w:hAnsiTheme="minorHAnsi" w:cstheme="minorBidi"/>
          <w:szCs w:val="22"/>
        </w:rPr>
      </w:pPr>
      <w:r>
        <w:t>58</w:t>
      </w:r>
      <w:r>
        <w:rPr>
          <w:snapToGrid w:val="0"/>
        </w:rPr>
        <w:t xml:space="preserve">. </w:t>
      </w:r>
      <w:r>
        <w:rPr>
          <w:snapToGrid w:val="0"/>
        </w:rPr>
        <w:tab/>
        <w:t>How notice to be given</w:t>
      </w:r>
      <w:r>
        <w:tab/>
      </w:r>
      <w:r>
        <w:fldChar w:fldCharType="begin"/>
      </w:r>
      <w:r>
        <w:instrText xml:space="preserve"> PAGEREF _Toc44414322 \h </w:instrText>
      </w:r>
      <w:r>
        <w:fldChar w:fldCharType="separate"/>
      </w:r>
      <w:r>
        <w:t>40</w:t>
      </w:r>
      <w:r>
        <w:fldChar w:fldCharType="end"/>
      </w:r>
    </w:p>
    <w:p>
      <w:pPr>
        <w:pStyle w:val="TOC8"/>
        <w:rPr>
          <w:rFonts w:asciiTheme="minorHAnsi" w:eastAsiaTheme="minorEastAsia" w:hAnsiTheme="minorHAnsi" w:cstheme="minorBidi"/>
          <w:szCs w:val="22"/>
        </w:rPr>
      </w:pPr>
      <w:r>
        <w:t>59</w:t>
      </w:r>
      <w:r>
        <w:rPr>
          <w:snapToGrid w:val="0"/>
        </w:rPr>
        <w:t xml:space="preserve">. </w:t>
      </w:r>
      <w:r>
        <w:rPr>
          <w:snapToGrid w:val="0"/>
        </w:rPr>
        <w:tab/>
        <w:t>Caravans that have been removed</w:t>
      </w:r>
      <w:r>
        <w:tab/>
      </w:r>
      <w:r>
        <w:fldChar w:fldCharType="begin"/>
      </w:r>
      <w:r>
        <w:instrText xml:space="preserve"> PAGEREF _Toc44414323 \h </w:instrText>
      </w:r>
      <w:r>
        <w:fldChar w:fldCharType="separate"/>
      </w:r>
      <w:r>
        <w:t>40</w:t>
      </w:r>
      <w:r>
        <w:fldChar w:fldCharType="end"/>
      </w:r>
    </w:p>
    <w:p>
      <w:pPr>
        <w:pStyle w:val="TOC8"/>
        <w:rPr>
          <w:rFonts w:asciiTheme="minorHAnsi" w:eastAsiaTheme="minorEastAsia" w:hAnsiTheme="minorHAnsi" w:cstheme="minorBidi"/>
          <w:szCs w:val="22"/>
        </w:rPr>
      </w:pPr>
      <w:r>
        <w:t>60</w:t>
      </w:r>
      <w:r>
        <w:rPr>
          <w:snapToGrid w:val="0"/>
        </w:rPr>
        <w:t xml:space="preserve">. </w:t>
      </w:r>
      <w:r>
        <w:rPr>
          <w:snapToGrid w:val="0"/>
        </w:rPr>
        <w:tab/>
        <w:t>Notice before sale</w:t>
      </w:r>
      <w:r>
        <w:tab/>
      </w:r>
      <w:r>
        <w:fldChar w:fldCharType="begin"/>
      </w:r>
      <w:r>
        <w:instrText xml:space="preserve"> PAGEREF _Toc44414324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61</w:t>
      </w:r>
      <w:r>
        <w:rPr>
          <w:snapToGrid w:val="0"/>
        </w:rPr>
        <w:t xml:space="preserve">. </w:t>
      </w:r>
      <w:r>
        <w:rPr>
          <w:snapToGrid w:val="0"/>
        </w:rPr>
        <w:tab/>
        <w:t>Offences for which infringement notice may be given</w:t>
      </w:r>
      <w:r>
        <w:tab/>
      </w:r>
      <w:r>
        <w:fldChar w:fldCharType="begin"/>
      </w:r>
      <w:r>
        <w:instrText xml:space="preserve"> PAGEREF _Toc44414326 \h </w:instrText>
      </w:r>
      <w:r>
        <w:fldChar w:fldCharType="separate"/>
      </w:r>
      <w:r>
        <w:t>44</w:t>
      </w:r>
      <w:r>
        <w:fldChar w:fldCharType="end"/>
      </w:r>
    </w:p>
    <w:p>
      <w:pPr>
        <w:pStyle w:val="TOC8"/>
        <w:rPr>
          <w:rFonts w:asciiTheme="minorHAnsi" w:eastAsiaTheme="minorEastAsia" w:hAnsiTheme="minorHAnsi" w:cstheme="minorBidi"/>
          <w:szCs w:val="22"/>
        </w:rPr>
      </w:pPr>
      <w:r>
        <w:t>62</w:t>
      </w:r>
      <w:r>
        <w:rPr>
          <w:snapToGrid w:val="0"/>
        </w:rPr>
        <w:t xml:space="preserve">. </w:t>
      </w:r>
      <w:r>
        <w:rPr>
          <w:snapToGrid w:val="0"/>
        </w:rPr>
        <w:tab/>
        <w:t>Modified penalties</w:t>
      </w:r>
      <w:r>
        <w:tab/>
      </w:r>
      <w:r>
        <w:fldChar w:fldCharType="begin"/>
      </w:r>
      <w:r>
        <w:instrText xml:space="preserve"> PAGEREF _Toc44414327 \h </w:instrText>
      </w:r>
      <w:r>
        <w:fldChar w:fldCharType="separate"/>
      </w:r>
      <w:r>
        <w:t>44</w:t>
      </w:r>
      <w:r>
        <w:fldChar w:fldCharType="end"/>
      </w:r>
    </w:p>
    <w:p>
      <w:pPr>
        <w:pStyle w:val="TOC8"/>
        <w:rPr>
          <w:rFonts w:asciiTheme="minorHAnsi" w:eastAsiaTheme="minorEastAsia" w:hAnsiTheme="minorHAnsi" w:cstheme="minorBidi"/>
          <w:szCs w:val="22"/>
        </w:rPr>
      </w:pPr>
      <w:r>
        <w:t>63</w:t>
      </w:r>
      <w:r>
        <w:rPr>
          <w:snapToGrid w:val="0"/>
        </w:rPr>
        <w:t xml:space="preserve">. </w:t>
      </w:r>
      <w:r>
        <w:rPr>
          <w:snapToGrid w:val="0"/>
        </w:rPr>
        <w:tab/>
        <w:t>Form of infringement notice — Form 3</w:t>
      </w:r>
      <w:r>
        <w:tab/>
      </w:r>
      <w:r>
        <w:fldChar w:fldCharType="begin"/>
      </w:r>
      <w:r>
        <w:instrText xml:space="preserve"> PAGEREF _Toc44414328 \h </w:instrText>
      </w:r>
      <w:r>
        <w:fldChar w:fldCharType="separate"/>
      </w:r>
      <w:r>
        <w:t>44</w:t>
      </w:r>
      <w:r>
        <w:fldChar w:fldCharType="end"/>
      </w:r>
    </w:p>
    <w:p>
      <w:pPr>
        <w:pStyle w:val="TOC8"/>
        <w:rPr>
          <w:rFonts w:asciiTheme="minorHAnsi" w:eastAsiaTheme="minorEastAsia" w:hAnsiTheme="minorHAnsi" w:cstheme="minorBidi"/>
          <w:szCs w:val="22"/>
        </w:rPr>
      </w:pPr>
      <w:r>
        <w:t>64</w:t>
      </w:r>
      <w:r>
        <w:rPr>
          <w:snapToGrid w:val="0"/>
        </w:rPr>
        <w:t xml:space="preserve">. </w:t>
      </w:r>
      <w:r>
        <w:rPr>
          <w:snapToGrid w:val="0"/>
        </w:rPr>
        <w:tab/>
        <w:t>Form of notice of withdrawal of infringement notice — Form 4</w:t>
      </w:r>
      <w:r>
        <w:tab/>
      </w:r>
      <w:r>
        <w:fldChar w:fldCharType="begin"/>
      </w:r>
      <w:r>
        <w:instrText xml:space="preserve"> PAGEREF _Toc44414329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65</w:t>
      </w:r>
      <w:r>
        <w:rPr>
          <w:snapToGrid w:val="0"/>
        </w:rPr>
        <w:t xml:space="preserve">. </w:t>
      </w:r>
      <w:r>
        <w:rPr>
          <w:snapToGrid w:val="0"/>
        </w:rPr>
        <w:tab/>
        <w:t>Register of occupiers</w:t>
      </w:r>
      <w:r>
        <w:tab/>
      </w:r>
      <w:r>
        <w:fldChar w:fldCharType="begin"/>
      </w:r>
      <w:r>
        <w:instrText xml:space="preserve"> PAGEREF _Toc44414331 \h </w:instrText>
      </w:r>
      <w:r>
        <w:fldChar w:fldCharType="separate"/>
      </w:r>
      <w:r>
        <w:t>45</w:t>
      </w:r>
      <w:r>
        <w:fldChar w:fldCharType="end"/>
      </w:r>
    </w:p>
    <w:p>
      <w:pPr>
        <w:pStyle w:val="TOC8"/>
        <w:rPr>
          <w:rFonts w:asciiTheme="minorHAnsi" w:eastAsiaTheme="minorEastAsia" w:hAnsiTheme="minorHAnsi" w:cstheme="minorBidi"/>
          <w:szCs w:val="22"/>
        </w:rPr>
      </w:pPr>
      <w:r>
        <w:t>66</w:t>
      </w:r>
      <w:r>
        <w:rPr>
          <w:snapToGrid w:val="0"/>
        </w:rPr>
        <w:t xml:space="preserve">. </w:t>
      </w:r>
      <w:r>
        <w:rPr>
          <w:snapToGrid w:val="0"/>
        </w:rPr>
        <w:tab/>
        <w:t>Local government register of licences</w:t>
      </w:r>
      <w:r>
        <w:tab/>
      </w:r>
      <w:r>
        <w:fldChar w:fldCharType="begin"/>
      </w:r>
      <w:r>
        <w:instrText xml:space="preserve"> PAGEREF _Toc44414332 \h </w:instrText>
      </w:r>
      <w:r>
        <w:fldChar w:fldCharType="separate"/>
      </w:r>
      <w:r>
        <w:t>45</w:t>
      </w:r>
      <w:r>
        <w:fldChar w:fldCharType="end"/>
      </w:r>
    </w:p>
    <w:p>
      <w:pPr>
        <w:pStyle w:val="TOC8"/>
        <w:rPr>
          <w:rFonts w:asciiTheme="minorHAnsi" w:eastAsiaTheme="minorEastAsia" w:hAnsiTheme="minorHAnsi" w:cstheme="minorBidi"/>
          <w:szCs w:val="22"/>
        </w:rPr>
      </w:pPr>
      <w:r>
        <w:t>67</w:t>
      </w:r>
      <w:r>
        <w:rPr>
          <w:snapToGrid w:val="0"/>
        </w:rPr>
        <w:t xml:space="preserve">. </w:t>
      </w:r>
      <w:r>
        <w:rPr>
          <w:snapToGrid w:val="0"/>
        </w:rPr>
        <w:tab/>
        <w:t>Local government to keep copy of approvals and certificates</w:t>
      </w:r>
      <w:r>
        <w:tab/>
      </w:r>
      <w:r>
        <w:fldChar w:fldCharType="begin"/>
      </w:r>
      <w:r>
        <w:instrText xml:space="preserve"> PAGEREF _Toc44414333 \h </w:instrText>
      </w:r>
      <w:r>
        <w:fldChar w:fldCharType="separate"/>
      </w:r>
      <w:r>
        <w:t>46</w:t>
      </w:r>
      <w:r>
        <w:fldChar w:fldCharType="end"/>
      </w:r>
    </w:p>
    <w:p>
      <w:pPr>
        <w:pStyle w:val="TOC8"/>
        <w:rPr>
          <w:rFonts w:asciiTheme="minorHAnsi" w:eastAsiaTheme="minorEastAsia" w:hAnsiTheme="minorHAnsi" w:cstheme="minorBidi"/>
          <w:szCs w:val="22"/>
        </w:rPr>
      </w:pPr>
      <w:r>
        <w:t>68</w:t>
      </w:r>
      <w:r>
        <w:rPr>
          <w:snapToGrid w:val="0"/>
        </w:rPr>
        <w:t xml:space="preserve">. </w:t>
      </w:r>
      <w:r>
        <w:rPr>
          <w:snapToGrid w:val="0"/>
        </w:rPr>
        <w:tab/>
        <w:t>Form of identity card for authorised person — Form 5</w:t>
      </w:r>
      <w:r>
        <w:tab/>
      </w:r>
      <w:r>
        <w:fldChar w:fldCharType="begin"/>
      </w:r>
      <w:r>
        <w:instrText xml:space="preserve"> PAGEREF _Toc44414334 \h </w:instrText>
      </w:r>
      <w:r>
        <w:fldChar w:fldCharType="separate"/>
      </w:r>
      <w:r>
        <w:t>46</w:t>
      </w:r>
      <w:r>
        <w:fldChar w:fldCharType="end"/>
      </w:r>
    </w:p>
    <w:p>
      <w:pPr>
        <w:pStyle w:val="TOC8"/>
        <w:rPr>
          <w:rFonts w:asciiTheme="minorHAnsi" w:eastAsiaTheme="minorEastAsia" w:hAnsiTheme="minorHAnsi" w:cstheme="minorBidi"/>
          <w:szCs w:val="22"/>
        </w:rPr>
      </w:pPr>
      <w:r>
        <w:t>70</w:t>
      </w:r>
      <w:r>
        <w:rPr>
          <w:snapToGrid w:val="0"/>
        </w:rPr>
        <w:t xml:space="preserve">. </w:t>
      </w:r>
      <w:r>
        <w:rPr>
          <w:snapToGrid w:val="0"/>
        </w:rPr>
        <w:tab/>
        <w:t>Application for exemption, variation or modification from subsidiary legislation</w:t>
      </w:r>
      <w:r>
        <w:tab/>
      </w:r>
      <w:r>
        <w:fldChar w:fldCharType="begin"/>
      </w:r>
      <w:r>
        <w:instrText xml:space="preserve"> PAGEREF _Toc44414335 \h </w:instrText>
      </w:r>
      <w:r>
        <w:fldChar w:fldCharType="separate"/>
      </w:r>
      <w:r>
        <w:t>46</w:t>
      </w:r>
      <w:r>
        <w:fldChar w:fldCharType="end"/>
      </w:r>
    </w:p>
    <w:p>
      <w:pPr>
        <w:pStyle w:val="TOC8"/>
        <w:rPr>
          <w:rFonts w:asciiTheme="minorHAnsi" w:eastAsiaTheme="minorEastAsia" w:hAnsiTheme="minorHAnsi" w:cstheme="minorBidi"/>
          <w:szCs w:val="22"/>
        </w:rPr>
      </w:pPr>
      <w:r>
        <w:t>71</w:t>
      </w:r>
      <w:r>
        <w:rPr>
          <w:snapToGrid w:val="0"/>
        </w:rPr>
        <w:t xml:space="preserve">. </w:t>
      </w:r>
      <w:r>
        <w:rPr>
          <w:snapToGrid w:val="0"/>
        </w:rPr>
        <w:tab/>
        <w:t>Application to extend exemption from subsidiary legislation</w:t>
      </w:r>
      <w:r>
        <w:tab/>
      </w:r>
      <w:r>
        <w:fldChar w:fldCharType="begin"/>
      </w:r>
      <w:r>
        <w:instrText xml:space="preserve"> PAGEREF _Toc44414336 \h </w:instrText>
      </w:r>
      <w:r>
        <w:fldChar w:fldCharType="separate"/>
      </w:r>
      <w:r>
        <w:t>47</w:t>
      </w:r>
      <w:r>
        <w:fldChar w:fldCharType="end"/>
      </w:r>
    </w:p>
    <w:p>
      <w:pPr>
        <w:pStyle w:val="TOC8"/>
        <w:rPr>
          <w:rFonts w:asciiTheme="minorHAnsi" w:eastAsiaTheme="minorEastAsia" w:hAnsiTheme="minorHAnsi" w:cstheme="minorBidi"/>
          <w:szCs w:val="22"/>
        </w:rPr>
      </w:pPr>
      <w:r>
        <w:t>72</w:t>
      </w:r>
      <w:r>
        <w:rPr>
          <w:snapToGrid w:val="0"/>
        </w:rPr>
        <w:t xml:space="preserve">. </w:t>
      </w:r>
      <w:r>
        <w:rPr>
          <w:snapToGrid w:val="0"/>
        </w:rPr>
        <w:tab/>
        <w:t>Entry under Act s. 20</w:t>
      </w:r>
      <w:r>
        <w:tab/>
      </w:r>
      <w:r>
        <w:fldChar w:fldCharType="begin"/>
      </w:r>
      <w:r>
        <w:instrText xml:space="preserve"> PAGEREF _Toc44414337 \h </w:instrText>
      </w:r>
      <w:r>
        <w:fldChar w:fldCharType="separate"/>
      </w:r>
      <w:r>
        <w:t>47</w:t>
      </w:r>
      <w:r>
        <w:fldChar w:fldCharType="end"/>
      </w:r>
    </w:p>
    <w:p>
      <w:pPr>
        <w:pStyle w:val="TOC8"/>
        <w:rPr>
          <w:rFonts w:asciiTheme="minorHAnsi" w:eastAsiaTheme="minorEastAsia" w:hAnsiTheme="minorHAnsi" w:cstheme="minorBidi"/>
          <w:szCs w:val="22"/>
        </w:rPr>
      </w:pPr>
      <w:r>
        <w:t>73</w:t>
      </w:r>
      <w:r>
        <w:rPr>
          <w:snapToGrid w:val="0"/>
        </w:rPr>
        <w:t xml:space="preserve">. </w:t>
      </w:r>
      <w:r>
        <w:rPr>
          <w:snapToGrid w:val="0"/>
        </w:rPr>
        <w:tab/>
        <w:t>Transitional provisions — Schedule 9</w:t>
      </w:r>
      <w:r>
        <w:tab/>
      </w:r>
      <w:r>
        <w:fldChar w:fldCharType="begin"/>
      </w:r>
      <w:r>
        <w:instrText xml:space="preserve"> PAGEREF _Toc44414338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Types of facilities and licences</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Modified penalties</w:t>
      </w:r>
    </w:p>
    <w:p>
      <w:pPr>
        <w:pStyle w:val="TOC2"/>
        <w:tabs>
          <w:tab w:val="right" w:leader="dot" w:pos="7077"/>
        </w:tabs>
        <w:rPr>
          <w:rFonts w:asciiTheme="minorHAnsi" w:eastAsiaTheme="minorEastAsia" w:hAnsiTheme="minorHAnsi" w:cstheme="minorBidi"/>
          <w:b w:val="0"/>
          <w:sz w:val="22"/>
          <w:szCs w:val="22"/>
        </w:rPr>
      </w:pPr>
      <w:r>
        <w:t>Schedule 5 — Standards for caravans</w:t>
      </w:r>
    </w:p>
    <w:p>
      <w:pPr>
        <w:pStyle w:val="TOC4"/>
        <w:tabs>
          <w:tab w:val="right" w:leader="dot" w:pos="7077"/>
        </w:tabs>
        <w:rPr>
          <w:rFonts w:asciiTheme="minorHAnsi" w:eastAsiaTheme="minorEastAsia" w:hAnsiTheme="minorHAnsi" w:cstheme="minorBidi"/>
          <w:b w:val="0"/>
          <w:szCs w:val="22"/>
        </w:rPr>
      </w:pPr>
      <w:r>
        <w:t>Division 1 — Standards applying to all caravans</w:t>
      </w:r>
    </w:p>
    <w:p>
      <w:pPr>
        <w:pStyle w:val="TOC8"/>
        <w:rPr>
          <w:rFonts w:asciiTheme="minorHAnsi" w:eastAsiaTheme="minorEastAsia" w:hAnsiTheme="minorHAnsi" w:cstheme="minorBidi"/>
          <w:szCs w:val="22"/>
        </w:rPr>
      </w:pPr>
      <w:r>
        <w:t>1.</w:t>
      </w:r>
      <w:r>
        <w:tab/>
        <w:t>Caravans not to be attached to each other</w:t>
      </w:r>
      <w:r>
        <w:tab/>
      </w:r>
      <w:r>
        <w:fldChar w:fldCharType="begin"/>
      </w:r>
      <w:r>
        <w:instrText xml:space="preserve"> PAGEREF _Toc44414345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Standards applying to park homes</w:t>
      </w:r>
    </w:p>
    <w:p>
      <w:pPr>
        <w:pStyle w:val="TOC8"/>
        <w:rPr>
          <w:rFonts w:asciiTheme="minorHAnsi" w:eastAsiaTheme="minorEastAsia" w:hAnsiTheme="minorHAnsi" w:cstheme="minorBidi"/>
          <w:szCs w:val="22"/>
        </w:rPr>
      </w:pPr>
      <w:r>
        <w:t>2.</w:t>
      </w:r>
      <w:r>
        <w:tab/>
        <w:t>Park homes to be of one storey</w:t>
      </w:r>
      <w:r>
        <w:tab/>
      </w:r>
      <w:r>
        <w:fldChar w:fldCharType="begin"/>
      </w:r>
      <w:r>
        <w:instrText xml:space="preserve"> PAGEREF _Toc44414347 \h </w:instrText>
      </w:r>
      <w:r>
        <w:fldChar w:fldCharType="separate"/>
      </w:r>
      <w:r>
        <w:t>59</w:t>
      </w:r>
      <w:r>
        <w:fldChar w:fldCharType="end"/>
      </w:r>
    </w:p>
    <w:p>
      <w:pPr>
        <w:pStyle w:val="TOC8"/>
        <w:rPr>
          <w:rFonts w:asciiTheme="minorHAnsi" w:eastAsiaTheme="minorEastAsia" w:hAnsiTheme="minorHAnsi" w:cstheme="minorBidi"/>
          <w:szCs w:val="22"/>
        </w:rPr>
      </w:pPr>
      <w:r>
        <w:t>3.</w:t>
      </w:r>
      <w:r>
        <w:tab/>
        <w:t>Park home to have chassis, wheels, tie down points etc.</w:t>
      </w:r>
      <w:r>
        <w:tab/>
      </w:r>
      <w:r>
        <w:fldChar w:fldCharType="begin"/>
      </w:r>
      <w:r>
        <w:instrText xml:space="preserve"> PAGEREF _Toc44414348 \h </w:instrText>
      </w:r>
      <w:r>
        <w:fldChar w:fldCharType="separate"/>
      </w:r>
      <w:r>
        <w:t>59</w:t>
      </w:r>
      <w:r>
        <w:fldChar w:fldCharType="end"/>
      </w:r>
    </w:p>
    <w:p>
      <w:pPr>
        <w:pStyle w:val="TOC8"/>
        <w:rPr>
          <w:rFonts w:asciiTheme="minorHAnsi" w:eastAsiaTheme="minorEastAsia" w:hAnsiTheme="minorHAnsi" w:cstheme="minorBidi"/>
          <w:szCs w:val="22"/>
        </w:rPr>
      </w:pPr>
      <w:r>
        <w:t>4.</w:t>
      </w:r>
      <w:r>
        <w:tab/>
        <w:t>Park home stabilised and secured</w:t>
      </w:r>
      <w:r>
        <w:tab/>
      </w:r>
      <w:r>
        <w:fldChar w:fldCharType="begin"/>
      </w:r>
      <w:r>
        <w:instrText xml:space="preserve"> PAGEREF _Toc44414349 \h </w:instrText>
      </w:r>
      <w:r>
        <w:fldChar w:fldCharType="separate"/>
      </w:r>
      <w:r>
        <w:t>59</w:t>
      </w:r>
      <w:r>
        <w:fldChar w:fldCharType="end"/>
      </w:r>
    </w:p>
    <w:p>
      <w:pPr>
        <w:pStyle w:val="TOC8"/>
        <w:rPr>
          <w:rFonts w:asciiTheme="minorHAnsi" w:eastAsiaTheme="minorEastAsia" w:hAnsiTheme="minorHAnsi" w:cstheme="minorBidi"/>
          <w:szCs w:val="22"/>
        </w:rPr>
      </w:pPr>
      <w:r>
        <w:t>5.</w:t>
      </w:r>
      <w:r>
        <w:tab/>
        <w:t>Corrosion protection</w:t>
      </w:r>
      <w:r>
        <w:tab/>
      </w:r>
      <w:r>
        <w:fldChar w:fldCharType="begin"/>
      </w:r>
      <w:r>
        <w:instrText xml:space="preserve"> PAGEREF _Toc44414350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6 — Standards for annexes</w:t>
      </w:r>
    </w:p>
    <w:p>
      <w:pPr>
        <w:pStyle w:val="TOC8"/>
        <w:rPr>
          <w:rFonts w:asciiTheme="minorHAnsi" w:eastAsiaTheme="minorEastAsia" w:hAnsiTheme="minorHAnsi" w:cstheme="minorBidi"/>
          <w:szCs w:val="22"/>
        </w:rPr>
      </w:pPr>
      <w:r>
        <w:t>1.</w:t>
      </w:r>
      <w:r>
        <w:tab/>
        <w:t>Annexes</w:t>
      </w:r>
      <w:r>
        <w:tab/>
      </w:r>
      <w:r>
        <w:fldChar w:fldCharType="begin"/>
      </w:r>
      <w:r>
        <w:instrText xml:space="preserve"> PAGEREF _Toc44414352 \h </w:instrText>
      </w:r>
      <w:r>
        <w:fldChar w:fldCharType="separate"/>
      </w:r>
      <w:r>
        <w:t>60</w:t>
      </w:r>
      <w:r>
        <w:fldChar w:fldCharType="end"/>
      </w:r>
    </w:p>
    <w:p>
      <w:pPr>
        <w:pStyle w:val="TOC8"/>
        <w:rPr>
          <w:rFonts w:asciiTheme="minorHAnsi" w:eastAsiaTheme="minorEastAsia" w:hAnsiTheme="minorHAnsi" w:cstheme="minorBidi"/>
          <w:szCs w:val="22"/>
        </w:rPr>
      </w:pPr>
      <w:r>
        <w:t>2.</w:t>
      </w:r>
      <w:r>
        <w:tab/>
        <w:t>Size of annexes</w:t>
      </w:r>
      <w:r>
        <w:tab/>
      </w:r>
      <w:r>
        <w:fldChar w:fldCharType="begin"/>
      </w:r>
      <w:r>
        <w:instrText xml:space="preserve"> PAGEREF _Toc44414353 \h </w:instrText>
      </w:r>
      <w:r>
        <w:fldChar w:fldCharType="separate"/>
      </w:r>
      <w:r>
        <w:t>60</w:t>
      </w:r>
      <w:r>
        <w:fldChar w:fldCharType="end"/>
      </w:r>
    </w:p>
    <w:p>
      <w:pPr>
        <w:pStyle w:val="TOC8"/>
        <w:rPr>
          <w:rFonts w:asciiTheme="minorHAnsi" w:eastAsiaTheme="minorEastAsia" w:hAnsiTheme="minorHAnsi" w:cstheme="minorBidi"/>
          <w:szCs w:val="22"/>
        </w:rPr>
      </w:pPr>
      <w:r>
        <w:t>3.</w:t>
      </w:r>
      <w:r>
        <w:tab/>
        <w:t>Flexible annexes</w:t>
      </w:r>
      <w:r>
        <w:tab/>
      </w:r>
      <w:r>
        <w:fldChar w:fldCharType="begin"/>
      </w:r>
      <w:r>
        <w:instrText xml:space="preserve"> PAGEREF _Toc44414354 \h </w:instrText>
      </w:r>
      <w:r>
        <w:fldChar w:fldCharType="separate"/>
      </w:r>
      <w:r>
        <w:t>60</w:t>
      </w:r>
      <w:r>
        <w:fldChar w:fldCharType="end"/>
      </w:r>
    </w:p>
    <w:p>
      <w:pPr>
        <w:pStyle w:val="TOC8"/>
        <w:rPr>
          <w:rFonts w:asciiTheme="minorHAnsi" w:eastAsiaTheme="minorEastAsia" w:hAnsiTheme="minorHAnsi" w:cstheme="minorBidi"/>
          <w:szCs w:val="22"/>
        </w:rPr>
      </w:pPr>
      <w:r>
        <w:t>4.</w:t>
      </w:r>
      <w:r>
        <w:tab/>
        <w:t>Rigid annexes</w:t>
      </w:r>
      <w:r>
        <w:tab/>
      </w:r>
      <w:r>
        <w:fldChar w:fldCharType="begin"/>
      </w:r>
      <w:r>
        <w:instrText xml:space="preserve"> PAGEREF _Toc44414355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7 — Caravan parks and camping grounds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Only one caravan on caravan site</w:t>
      </w:r>
      <w:r>
        <w:tab/>
      </w:r>
      <w:r>
        <w:fldChar w:fldCharType="begin"/>
      </w:r>
      <w:r>
        <w:instrText xml:space="preserve"> PAGEREF _Toc44414358 \h </w:instrText>
      </w:r>
      <w:r>
        <w:fldChar w:fldCharType="separate"/>
      </w:r>
      <w:r>
        <w:t>62</w:t>
      </w:r>
      <w:r>
        <w:fldChar w:fldCharType="end"/>
      </w:r>
    </w:p>
    <w:p>
      <w:pPr>
        <w:pStyle w:val="TOC8"/>
        <w:rPr>
          <w:rFonts w:asciiTheme="minorHAnsi" w:eastAsiaTheme="minorEastAsia" w:hAnsiTheme="minorHAnsi" w:cstheme="minorBidi"/>
          <w:szCs w:val="22"/>
        </w:rPr>
      </w:pPr>
      <w:r>
        <w:t>2.</w:t>
      </w:r>
      <w:r>
        <w:tab/>
        <w:t>Caravans to be freely movable from sites</w:t>
      </w:r>
      <w:r>
        <w:tab/>
      </w:r>
      <w:r>
        <w:fldChar w:fldCharType="begin"/>
      </w:r>
      <w:r>
        <w:instrText xml:space="preserve"> PAGEREF _Toc44414359 \h </w:instrText>
      </w:r>
      <w:r>
        <w:fldChar w:fldCharType="separate"/>
      </w:r>
      <w:r>
        <w:t>62</w:t>
      </w:r>
      <w:r>
        <w:fldChar w:fldCharType="end"/>
      </w:r>
    </w:p>
    <w:p>
      <w:pPr>
        <w:pStyle w:val="TOC8"/>
        <w:rPr>
          <w:rFonts w:asciiTheme="minorHAnsi" w:eastAsiaTheme="minorEastAsia" w:hAnsiTheme="minorHAnsi" w:cstheme="minorBidi"/>
          <w:szCs w:val="22"/>
        </w:rPr>
      </w:pPr>
      <w:r>
        <w:t>3.</w:t>
      </w:r>
      <w:r>
        <w:tab/>
        <w:t>Tent may be on caravan site</w:t>
      </w:r>
      <w:r>
        <w:tab/>
      </w:r>
      <w:r>
        <w:fldChar w:fldCharType="begin"/>
      </w:r>
      <w:r>
        <w:instrText xml:space="preserve"> PAGEREF _Toc44414360 \h </w:instrText>
      </w:r>
      <w:r>
        <w:fldChar w:fldCharType="separate"/>
      </w:r>
      <w:r>
        <w:t>62</w:t>
      </w:r>
      <w:r>
        <w:fldChar w:fldCharType="end"/>
      </w:r>
    </w:p>
    <w:p>
      <w:pPr>
        <w:pStyle w:val="TOC8"/>
        <w:rPr>
          <w:rFonts w:asciiTheme="minorHAnsi" w:eastAsiaTheme="minorEastAsia" w:hAnsiTheme="minorHAnsi" w:cstheme="minorBidi"/>
          <w:szCs w:val="22"/>
        </w:rPr>
      </w:pPr>
      <w:r>
        <w:t>4.</w:t>
      </w:r>
      <w:r>
        <w:tab/>
        <w:t>Limit to number of people on site</w:t>
      </w:r>
      <w:r>
        <w:tab/>
      </w:r>
      <w:r>
        <w:fldChar w:fldCharType="begin"/>
      </w:r>
      <w:r>
        <w:instrText xml:space="preserve"> PAGEREF _Toc44414361 \h </w:instrText>
      </w:r>
      <w:r>
        <w:fldChar w:fldCharType="separate"/>
      </w:r>
      <w:r>
        <w:t>62</w:t>
      </w:r>
      <w:r>
        <w:fldChar w:fldCharType="end"/>
      </w:r>
    </w:p>
    <w:p>
      <w:pPr>
        <w:pStyle w:val="TOC8"/>
        <w:rPr>
          <w:rFonts w:asciiTheme="minorHAnsi" w:eastAsiaTheme="minorEastAsia" w:hAnsiTheme="minorHAnsi" w:cstheme="minorBidi"/>
          <w:szCs w:val="22"/>
        </w:rPr>
      </w:pPr>
      <w:r>
        <w:t>5A.</w:t>
      </w:r>
      <w:r>
        <w:tab/>
        <w:t>Length of stay at nature based parks</w:t>
      </w:r>
      <w:r>
        <w:tab/>
      </w:r>
      <w:r>
        <w:fldChar w:fldCharType="begin"/>
      </w:r>
      <w:r>
        <w:instrText xml:space="preserve"> PAGEREF _Toc44414362 \h </w:instrText>
      </w:r>
      <w:r>
        <w:fldChar w:fldCharType="separate"/>
      </w:r>
      <w:r>
        <w:t>62</w:t>
      </w:r>
      <w:r>
        <w:fldChar w:fldCharType="end"/>
      </w:r>
    </w:p>
    <w:p>
      <w:pPr>
        <w:pStyle w:val="TOC8"/>
        <w:rPr>
          <w:rFonts w:asciiTheme="minorHAnsi" w:eastAsiaTheme="minorEastAsia" w:hAnsiTheme="minorHAnsi" w:cstheme="minorBidi"/>
          <w:szCs w:val="22"/>
        </w:rPr>
      </w:pPr>
      <w:r>
        <w:t>5.</w:t>
      </w:r>
      <w:r>
        <w:tab/>
        <w:t>On</w:t>
      </w:r>
      <w:r>
        <w:noBreakHyphen/>
        <w:t>site caravans</w:t>
      </w:r>
      <w:r>
        <w:tab/>
      </w:r>
      <w:r>
        <w:fldChar w:fldCharType="begin"/>
      </w:r>
      <w:r>
        <w:instrText xml:space="preserve"> PAGEREF _Toc44414363 \h </w:instrText>
      </w:r>
      <w:r>
        <w:fldChar w:fldCharType="separate"/>
      </w:r>
      <w:r>
        <w:t>63</w:t>
      </w:r>
      <w:r>
        <w:fldChar w:fldCharType="end"/>
      </w:r>
    </w:p>
    <w:p>
      <w:pPr>
        <w:pStyle w:val="TOC8"/>
        <w:rPr>
          <w:rFonts w:asciiTheme="minorHAnsi" w:eastAsiaTheme="minorEastAsia" w:hAnsiTheme="minorHAnsi" w:cstheme="minorBidi"/>
          <w:szCs w:val="22"/>
        </w:rPr>
      </w:pPr>
      <w:r>
        <w:t>6.</w:t>
      </w:r>
      <w:r>
        <w:tab/>
        <w:t>Part D3 of Building Code “Access for People with Disabilities” to be complied with</w:t>
      </w:r>
      <w:r>
        <w:tab/>
      </w:r>
      <w:r>
        <w:fldChar w:fldCharType="begin"/>
      </w:r>
      <w:r>
        <w:instrText xml:space="preserve"> PAGEREF _Toc44414364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Distances between caravans, camps, buildings, etc.</w:t>
      </w:r>
    </w:p>
    <w:p>
      <w:pPr>
        <w:pStyle w:val="TOC8"/>
        <w:rPr>
          <w:rFonts w:asciiTheme="minorHAnsi" w:eastAsiaTheme="minorEastAsia" w:hAnsiTheme="minorHAnsi" w:cstheme="minorBidi"/>
          <w:szCs w:val="22"/>
        </w:rPr>
      </w:pPr>
      <w:r>
        <w:t>7.</w:t>
      </w:r>
      <w:r>
        <w:tab/>
        <w:t>Local government or licence holder may increase minimum distances in particular cases</w:t>
      </w:r>
      <w:r>
        <w:tab/>
      </w:r>
      <w:r>
        <w:fldChar w:fldCharType="begin"/>
      </w:r>
      <w:r>
        <w:instrText xml:space="preserve"> PAGEREF _Toc44414366 \h </w:instrText>
      </w:r>
      <w:r>
        <w:fldChar w:fldCharType="separate"/>
      </w:r>
      <w:r>
        <w:t>63</w:t>
      </w:r>
      <w:r>
        <w:fldChar w:fldCharType="end"/>
      </w:r>
    </w:p>
    <w:p>
      <w:pPr>
        <w:pStyle w:val="TOC8"/>
        <w:rPr>
          <w:rFonts w:asciiTheme="minorHAnsi" w:eastAsiaTheme="minorEastAsia" w:hAnsiTheme="minorHAnsi" w:cstheme="minorBidi"/>
          <w:szCs w:val="22"/>
        </w:rPr>
      </w:pPr>
      <w:r>
        <w:t>8.</w:t>
      </w:r>
      <w:r>
        <w:tab/>
        <w:t>Position of caravans, annexes and camps</w:t>
      </w:r>
      <w:r>
        <w:tab/>
      </w:r>
      <w:r>
        <w:fldChar w:fldCharType="begin"/>
      </w:r>
      <w:r>
        <w:instrText xml:space="preserve"> PAGEREF _Toc44414367 \h </w:instrText>
      </w:r>
      <w:r>
        <w:fldChar w:fldCharType="separate"/>
      </w:r>
      <w:r>
        <w:t>64</w:t>
      </w:r>
      <w:r>
        <w:fldChar w:fldCharType="end"/>
      </w:r>
    </w:p>
    <w:p>
      <w:pPr>
        <w:pStyle w:val="TOC8"/>
        <w:rPr>
          <w:rFonts w:asciiTheme="minorHAnsi" w:eastAsiaTheme="minorEastAsia" w:hAnsiTheme="minorHAnsi" w:cstheme="minorBidi"/>
          <w:szCs w:val="22"/>
        </w:rPr>
      </w:pPr>
      <w:r>
        <w:t>9.</w:t>
      </w:r>
      <w:r>
        <w:tab/>
        <w:t>Position of carports, en suites and other buildings</w:t>
      </w:r>
      <w:r>
        <w:tab/>
      </w:r>
      <w:r>
        <w:fldChar w:fldCharType="begin"/>
      </w:r>
      <w:r>
        <w:instrText xml:space="preserve"> PAGEREF _Toc44414368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Buildings, fences and hard stands</w:t>
      </w:r>
    </w:p>
    <w:p>
      <w:pPr>
        <w:pStyle w:val="TOC8"/>
        <w:rPr>
          <w:rFonts w:asciiTheme="minorHAnsi" w:eastAsiaTheme="minorEastAsia" w:hAnsiTheme="minorHAnsi" w:cstheme="minorBidi"/>
          <w:szCs w:val="22"/>
        </w:rPr>
      </w:pPr>
      <w:r>
        <w:t>11.</w:t>
      </w:r>
      <w:r>
        <w:tab/>
        <w:t>Buildings on facility</w:t>
      </w:r>
      <w:r>
        <w:tab/>
      </w:r>
      <w:r>
        <w:fldChar w:fldCharType="begin"/>
      </w:r>
      <w:r>
        <w:instrText xml:space="preserve"> PAGEREF _Toc44414370 \h </w:instrText>
      </w:r>
      <w:r>
        <w:fldChar w:fldCharType="separate"/>
      </w:r>
      <w:r>
        <w:t>65</w:t>
      </w:r>
      <w:r>
        <w:fldChar w:fldCharType="end"/>
      </w:r>
    </w:p>
    <w:p>
      <w:pPr>
        <w:pStyle w:val="TOC8"/>
        <w:rPr>
          <w:rFonts w:asciiTheme="minorHAnsi" w:eastAsiaTheme="minorEastAsia" w:hAnsiTheme="minorHAnsi" w:cstheme="minorBidi"/>
          <w:szCs w:val="22"/>
        </w:rPr>
      </w:pPr>
      <w:r>
        <w:t>12.</w:t>
      </w:r>
      <w:r>
        <w:tab/>
        <w:t>Storage sheds</w:t>
      </w:r>
      <w:r>
        <w:tab/>
      </w:r>
      <w:r>
        <w:fldChar w:fldCharType="begin"/>
      </w:r>
      <w:r>
        <w:instrText xml:space="preserve"> PAGEREF _Toc44414371 \h </w:instrText>
      </w:r>
      <w:r>
        <w:fldChar w:fldCharType="separate"/>
      </w:r>
      <w:r>
        <w:t>67</w:t>
      </w:r>
      <w:r>
        <w:fldChar w:fldCharType="end"/>
      </w:r>
    </w:p>
    <w:p>
      <w:pPr>
        <w:pStyle w:val="TOC8"/>
        <w:rPr>
          <w:rFonts w:asciiTheme="minorHAnsi" w:eastAsiaTheme="minorEastAsia" w:hAnsiTheme="minorHAnsi" w:cstheme="minorBidi"/>
          <w:szCs w:val="22"/>
        </w:rPr>
      </w:pPr>
      <w:r>
        <w:t>13.</w:t>
      </w:r>
      <w:r>
        <w:tab/>
        <w:t>Paved areas and areas under some annexes</w:t>
      </w:r>
      <w:r>
        <w:tab/>
      </w:r>
      <w:r>
        <w:fldChar w:fldCharType="begin"/>
      </w:r>
      <w:r>
        <w:instrText xml:space="preserve"> PAGEREF _Toc44414372 \h </w:instrText>
      </w:r>
      <w:r>
        <w:fldChar w:fldCharType="separate"/>
      </w:r>
      <w:r>
        <w:t>67</w:t>
      </w:r>
      <w:r>
        <w:fldChar w:fldCharType="end"/>
      </w:r>
    </w:p>
    <w:p>
      <w:pPr>
        <w:pStyle w:val="TOC8"/>
        <w:rPr>
          <w:rFonts w:asciiTheme="minorHAnsi" w:eastAsiaTheme="minorEastAsia" w:hAnsiTheme="minorHAnsi" w:cstheme="minorBidi"/>
          <w:szCs w:val="22"/>
        </w:rPr>
      </w:pPr>
      <w:r>
        <w:t>14.</w:t>
      </w:r>
      <w:r>
        <w:tab/>
        <w:t>Fences</w:t>
      </w:r>
      <w:r>
        <w:tab/>
      </w:r>
      <w:r>
        <w:fldChar w:fldCharType="begin"/>
      </w:r>
      <w:r>
        <w:instrText xml:space="preserve"> PAGEREF _Toc44414373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Roads and parking</w:t>
      </w:r>
    </w:p>
    <w:p>
      <w:pPr>
        <w:pStyle w:val="TOC8"/>
        <w:rPr>
          <w:rFonts w:asciiTheme="minorHAnsi" w:eastAsiaTheme="minorEastAsia" w:hAnsiTheme="minorHAnsi" w:cstheme="minorBidi"/>
          <w:szCs w:val="22"/>
        </w:rPr>
      </w:pPr>
      <w:r>
        <w:t>15.</w:t>
      </w:r>
      <w:r>
        <w:tab/>
        <w:t>Facility roads in facilities other than nature based parks</w:t>
      </w:r>
      <w:r>
        <w:tab/>
      </w:r>
      <w:r>
        <w:fldChar w:fldCharType="begin"/>
      </w:r>
      <w:r>
        <w:instrText xml:space="preserve"> PAGEREF _Toc44414375 \h </w:instrText>
      </w:r>
      <w:r>
        <w:fldChar w:fldCharType="separate"/>
      </w:r>
      <w:r>
        <w:t>68</w:t>
      </w:r>
      <w:r>
        <w:fldChar w:fldCharType="end"/>
      </w:r>
    </w:p>
    <w:p>
      <w:pPr>
        <w:pStyle w:val="TOC8"/>
        <w:rPr>
          <w:rFonts w:asciiTheme="minorHAnsi" w:eastAsiaTheme="minorEastAsia" w:hAnsiTheme="minorHAnsi" w:cstheme="minorBidi"/>
          <w:szCs w:val="22"/>
        </w:rPr>
      </w:pPr>
      <w:r>
        <w:t>16A.</w:t>
      </w:r>
      <w:r>
        <w:tab/>
        <w:t>Facility roads in nature based parks</w:t>
      </w:r>
      <w:r>
        <w:tab/>
      </w:r>
      <w:r>
        <w:fldChar w:fldCharType="begin"/>
      </w:r>
      <w:r>
        <w:instrText xml:space="preserve"> PAGEREF _Toc44414376 \h </w:instrText>
      </w:r>
      <w:r>
        <w:fldChar w:fldCharType="separate"/>
      </w:r>
      <w:r>
        <w:t>68</w:t>
      </w:r>
      <w:r>
        <w:fldChar w:fldCharType="end"/>
      </w:r>
    </w:p>
    <w:p>
      <w:pPr>
        <w:pStyle w:val="TOC8"/>
        <w:rPr>
          <w:rFonts w:asciiTheme="minorHAnsi" w:eastAsiaTheme="minorEastAsia" w:hAnsiTheme="minorHAnsi" w:cstheme="minorBidi"/>
          <w:szCs w:val="22"/>
        </w:rPr>
      </w:pPr>
      <w:r>
        <w:t>16.</w:t>
      </w:r>
      <w:r>
        <w:tab/>
        <w:t>Parking</w:t>
      </w:r>
      <w:r>
        <w:tab/>
      </w:r>
      <w:r>
        <w:fldChar w:fldCharType="begin"/>
      </w:r>
      <w:r>
        <w:instrText xml:space="preserve"> PAGEREF _Toc44414377 \h </w:instrText>
      </w:r>
      <w:r>
        <w:fldChar w:fldCharType="separate"/>
      </w:r>
      <w:r>
        <w:t>69</w:t>
      </w:r>
      <w:r>
        <w:fldChar w:fldCharType="end"/>
      </w:r>
    </w:p>
    <w:p>
      <w:pPr>
        <w:pStyle w:val="TOC8"/>
        <w:rPr>
          <w:rFonts w:asciiTheme="minorHAnsi" w:eastAsiaTheme="minorEastAsia" w:hAnsiTheme="minorHAnsi" w:cstheme="minorBidi"/>
          <w:szCs w:val="22"/>
        </w:rPr>
      </w:pPr>
      <w:r>
        <w:t>17.</w:t>
      </w:r>
      <w:r>
        <w:tab/>
        <w:t>Car parks</w:t>
      </w:r>
      <w:r>
        <w:tab/>
      </w:r>
      <w:r>
        <w:fldChar w:fldCharType="begin"/>
      </w:r>
      <w:r>
        <w:instrText xml:space="preserve"> PAGEREF _Toc44414378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Recreational areas</w:t>
      </w:r>
    </w:p>
    <w:p>
      <w:pPr>
        <w:pStyle w:val="TOC8"/>
        <w:rPr>
          <w:rFonts w:asciiTheme="minorHAnsi" w:eastAsiaTheme="minorEastAsia" w:hAnsiTheme="minorHAnsi" w:cstheme="minorBidi"/>
          <w:szCs w:val="22"/>
        </w:rPr>
      </w:pPr>
      <w:r>
        <w:t>18.</w:t>
      </w:r>
      <w:r>
        <w:tab/>
        <w:t>Recreational areas</w:t>
      </w:r>
      <w:r>
        <w:tab/>
      </w:r>
      <w:r>
        <w:fldChar w:fldCharType="begin"/>
      </w:r>
      <w:r>
        <w:instrText xml:space="preserve"> PAGEREF _Toc44414380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6 — Ablution and toilet facilities</w:t>
      </w:r>
    </w:p>
    <w:p>
      <w:pPr>
        <w:pStyle w:val="TOC8"/>
        <w:rPr>
          <w:rFonts w:asciiTheme="minorHAnsi" w:eastAsiaTheme="minorEastAsia" w:hAnsiTheme="minorHAnsi" w:cstheme="minorBidi"/>
          <w:szCs w:val="22"/>
        </w:rPr>
      </w:pPr>
      <w:r>
        <w:t>19.</w:t>
      </w:r>
      <w:r>
        <w:tab/>
        <w:t>Location of toilets and showers</w:t>
      </w:r>
      <w:r>
        <w:tab/>
      </w:r>
      <w:r>
        <w:fldChar w:fldCharType="begin"/>
      </w:r>
      <w:r>
        <w:instrText xml:space="preserve"> PAGEREF _Toc44414382 \h </w:instrText>
      </w:r>
      <w:r>
        <w:fldChar w:fldCharType="separate"/>
      </w:r>
      <w:r>
        <w:t>70</w:t>
      </w:r>
      <w:r>
        <w:fldChar w:fldCharType="end"/>
      </w:r>
    </w:p>
    <w:p>
      <w:pPr>
        <w:pStyle w:val="TOC8"/>
        <w:rPr>
          <w:rFonts w:asciiTheme="minorHAnsi" w:eastAsiaTheme="minorEastAsia" w:hAnsiTheme="minorHAnsi" w:cstheme="minorBidi"/>
          <w:szCs w:val="22"/>
        </w:rPr>
      </w:pPr>
      <w:r>
        <w:t>20.</w:t>
      </w:r>
      <w:r>
        <w:tab/>
        <w:t>Number of showers, toilets and hand basins, except at transit parks and nature based parks</w:t>
      </w:r>
      <w:r>
        <w:tab/>
      </w:r>
      <w:r>
        <w:fldChar w:fldCharType="begin"/>
      </w:r>
      <w:r>
        <w:instrText xml:space="preserve"> PAGEREF _Toc44414383 \h </w:instrText>
      </w:r>
      <w:r>
        <w:fldChar w:fldCharType="separate"/>
      </w:r>
      <w:r>
        <w:t>70</w:t>
      </w:r>
      <w:r>
        <w:fldChar w:fldCharType="end"/>
      </w:r>
    </w:p>
    <w:p>
      <w:pPr>
        <w:pStyle w:val="TOC8"/>
        <w:rPr>
          <w:rFonts w:asciiTheme="minorHAnsi" w:eastAsiaTheme="minorEastAsia" w:hAnsiTheme="minorHAnsi" w:cstheme="minorBidi"/>
          <w:szCs w:val="22"/>
        </w:rPr>
      </w:pPr>
      <w:r>
        <w:t>21.</w:t>
      </w:r>
      <w:r>
        <w:tab/>
        <w:t>Number of showers, toilets and hand basins at transit parks</w:t>
      </w:r>
      <w:r>
        <w:tab/>
      </w:r>
      <w:r>
        <w:fldChar w:fldCharType="begin"/>
      </w:r>
      <w:r>
        <w:instrText xml:space="preserve"> PAGEREF _Toc44414384 \h </w:instrText>
      </w:r>
      <w:r>
        <w:fldChar w:fldCharType="separate"/>
      </w:r>
      <w:r>
        <w:t>72</w:t>
      </w:r>
      <w:r>
        <w:fldChar w:fldCharType="end"/>
      </w:r>
    </w:p>
    <w:p>
      <w:pPr>
        <w:pStyle w:val="TOC8"/>
        <w:rPr>
          <w:rFonts w:asciiTheme="minorHAnsi" w:eastAsiaTheme="minorEastAsia" w:hAnsiTheme="minorHAnsi" w:cstheme="minorBidi"/>
          <w:szCs w:val="22"/>
        </w:rPr>
      </w:pPr>
      <w:r>
        <w:t>22.</w:t>
      </w:r>
      <w:r>
        <w:tab/>
        <w:t>Calculation of sites for cl. 20 and 21</w:t>
      </w:r>
      <w:r>
        <w:tab/>
      </w:r>
      <w:r>
        <w:fldChar w:fldCharType="begin"/>
      </w:r>
      <w:r>
        <w:instrText xml:space="preserve"> PAGEREF _Toc44414385 \h </w:instrText>
      </w:r>
      <w:r>
        <w:fldChar w:fldCharType="separate"/>
      </w:r>
      <w:r>
        <w:t>72</w:t>
      </w:r>
      <w:r>
        <w:fldChar w:fldCharType="end"/>
      </w:r>
    </w:p>
    <w:p>
      <w:pPr>
        <w:pStyle w:val="TOC8"/>
        <w:rPr>
          <w:rFonts w:asciiTheme="minorHAnsi" w:eastAsiaTheme="minorEastAsia" w:hAnsiTheme="minorHAnsi" w:cstheme="minorBidi"/>
          <w:szCs w:val="22"/>
        </w:rPr>
      </w:pPr>
      <w:r>
        <w:t>23.</w:t>
      </w:r>
      <w:r>
        <w:tab/>
        <w:t>Number of toilets, showers, hand basins at nature based parks</w:t>
      </w:r>
      <w:r>
        <w:tab/>
      </w:r>
      <w:r>
        <w:fldChar w:fldCharType="begin"/>
      </w:r>
      <w:r>
        <w:instrText xml:space="preserve"> PAGEREF _Toc44414386 \h </w:instrText>
      </w:r>
      <w:r>
        <w:fldChar w:fldCharType="separate"/>
      </w:r>
      <w:r>
        <w:t>73</w:t>
      </w:r>
      <w:r>
        <w:fldChar w:fldCharType="end"/>
      </w:r>
    </w:p>
    <w:p>
      <w:pPr>
        <w:pStyle w:val="TOC8"/>
        <w:rPr>
          <w:rFonts w:asciiTheme="minorHAnsi" w:eastAsiaTheme="minorEastAsia" w:hAnsiTheme="minorHAnsi" w:cstheme="minorBidi"/>
          <w:szCs w:val="22"/>
        </w:rPr>
      </w:pPr>
      <w:r>
        <w:t>24.</w:t>
      </w:r>
      <w:r>
        <w:tab/>
        <w:t>Showers</w:t>
      </w:r>
      <w:r>
        <w:tab/>
      </w:r>
      <w:r>
        <w:fldChar w:fldCharType="begin"/>
      </w:r>
      <w:r>
        <w:instrText xml:space="preserve"> PAGEREF _Toc44414387 \h </w:instrText>
      </w:r>
      <w:r>
        <w:fldChar w:fldCharType="separate"/>
      </w:r>
      <w:r>
        <w:t>73</w:t>
      </w:r>
      <w:r>
        <w:fldChar w:fldCharType="end"/>
      </w:r>
    </w:p>
    <w:p>
      <w:pPr>
        <w:pStyle w:val="TOC8"/>
        <w:rPr>
          <w:rFonts w:asciiTheme="minorHAnsi" w:eastAsiaTheme="minorEastAsia" w:hAnsiTheme="minorHAnsi" w:cstheme="minorBidi"/>
          <w:szCs w:val="22"/>
        </w:rPr>
      </w:pPr>
      <w:r>
        <w:t>25.</w:t>
      </w:r>
      <w:r>
        <w:tab/>
        <w:t>Babies bath</w:t>
      </w:r>
      <w:r>
        <w:tab/>
      </w:r>
      <w:r>
        <w:fldChar w:fldCharType="begin"/>
      </w:r>
      <w:r>
        <w:instrText xml:space="preserve"> PAGEREF _Toc44414388 \h </w:instrText>
      </w:r>
      <w:r>
        <w:fldChar w:fldCharType="separate"/>
      </w:r>
      <w:r>
        <w:t>73</w:t>
      </w:r>
      <w:r>
        <w:fldChar w:fldCharType="end"/>
      </w:r>
    </w:p>
    <w:p>
      <w:pPr>
        <w:pStyle w:val="TOC8"/>
        <w:rPr>
          <w:rFonts w:asciiTheme="minorHAnsi" w:eastAsiaTheme="minorEastAsia" w:hAnsiTheme="minorHAnsi" w:cstheme="minorBidi"/>
          <w:szCs w:val="22"/>
        </w:rPr>
      </w:pPr>
      <w:r>
        <w:t>26.</w:t>
      </w:r>
      <w:r>
        <w:tab/>
        <w:t>Hand basins</w:t>
      </w:r>
      <w:r>
        <w:tab/>
      </w:r>
      <w:r>
        <w:fldChar w:fldCharType="begin"/>
      </w:r>
      <w:r>
        <w:instrText xml:space="preserve"> PAGEREF _Toc44414389 \h </w:instrText>
      </w:r>
      <w:r>
        <w:fldChar w:fldCharType="separate"/>
      </w:r>
      <w:r>
        <w:t>74</w:t>
      </w:r>
      <w:r>
        <w:fldChar w:fldCharType="end"/>
      </w:r>
    </w:p>
    <w:p>
      <w:pPr>
        <w:pStyle w:val="TOC8"/>
        <w:rPr>
          <w:rFonts w:asciiTheme="minorHAnsi" w:eastAsiaTheme="minorEastAsia" w:hAnsiTheme="minorHAnsi" w:cstheme="minorBidi"/>
          <w:szCs w:val="22"/>
        </w:rPr>
      </w:pPr>
      <w:r>
        <w:t>27.</w:t>
      </w:r>
      <w:r>
        <w:tab/>
        <w:t>Power points</w:t>
      </w:r>
      <w:r>
        <w:tab/>
      </w:r>
      <w:r>
        <w:fldChar w:fldCharType="begin"/>
      </w:r>
      <w:r>
        <w:instrText xml:space="preserve"> PAGEREF _Toc44414390 \h </w:instrText>
      </w:r>
      <w:r>
        <w:fldChar w:fldCharType="separate"/>
      </w:r>
      <w:r>
        <w:t>74</w:t>
      </w:r>
      <w:r>
        <w:fldChar w:fldCharType="end"/>
      </w:r>
    </w:p>
    <w:p>
      <w:pPr>
        <w:pStyle w:val="TOC8"/>
        <w:rPr>
          <w:rFonts w:asciiTheme="minorHAnsi" w:eastAsiaTheme="minorEastAsia" w:hAnsiTheme="minorHAnsi" w:cstheme="minorBidi"/>
          <w:szCs w:val="22"/>
        </w:rPr>
      </w:pPr>
      <w:r>
        <w:t>28.</w:t>
      </w:r>
      <w:r>
        <w:tab/>
        <w:t>Toilets</w:t>
      </w:r>
      <w:r>
        <w:tab/>
      </w:r>
      <w:r>
        <w:fldChar w:fldCharType="begin"/>
      </w:r>
      <w:r>
        <w:instrText xml:space="preserve"> PAGEREF _Toc44414391 \h </w:instrText>
      </w:r>
      <w:r>
        <w:fldChar w:fldCharType="separate"/>
      </w:r>
      <w:r>
        <w:t>75</w:t>
      </w:r>
      <w:r>
        <w:fldChar w:fldCharType="end"/>
      </w:r>
    </w:p>
    <w:p>
      <w:pPr>
        <w:pStyle w:val="TOC8"/>
        <w:rPr>
          <w:rFonts w:asciiTheme="minorHAnsi" w:eastAsiaTheme="minorEastAsia" w:hAnsiTheme="minorHAnsi" w:cstheme="minorBidi"/>
          <w:szCs w:val="22"/>
        </w:rPr>
      </w:pPr>
      <w:r>
        <w:t>29.</w:t>
      </w:r>
      <w:r>
        <w:tab/>
        <w:t>Napkin disposal units</w:t>
      </w:r>
      <w:r>
        <w:tab/>
      </w:r>
      <w:r>
        <w:fldChar w:fldCharType="begin"/>
      </w:r>
      <w:r>
        <w:instrText xml:space="preserve"> PAGEREF _Toc44414392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7 — Laundry facilities</w:t>
      </w:r>
    </w:p>
    <w:p>
      <w:pPr>
        <w:pStyle w:val="TOC8"/>
        <w:rPr>
          <w:rFonts w:asciiTheme="minorHAnsi" w:eastAsiaTheme="minorEastAsia" w:hAnsiTheme="minorHAnsi" w:cstheme="minorBidi"/>
          <w:szCs w:val="22"/>
        </w:rPr>
      </w:pPr>
      <w:r>
        <w:t>30.</w:t>
      </w:r>
      <w:r>
        <w:tab/>
        <w:t>Laundry facilities</w:t>
      </w:r>
      <w:r>
        <w:tab/>
      </w:r>
      <w:r>
        <w:fldChar w:fldCharType="begin"/>
      </w:r>
      <w:r>
        <w:instrText xml:space="preserve"> PAGEREF _Toc44414394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8 — Washing up facilities for campers</w:t>
      </w:r>
    </w:p>
    <w:p>
      <w:pPr>
        <w:pStyle w:val="TOC8"/>
        <w:rPr>
          <w:rFonts w:asciiTheme="minorHAnsi" w:eastAsiaTheme="minorEastAsia" w:hAnsiTheme="minorHAnsi" w:cstheme="minorBidi"/>
          <w:szCs w:val="22"/>
        </w:rPr>
      </w:pPr>
      <w:r>
        <w:t>31.</w:t>
      </w:r>
      <w:r>
        <w:tab/>
        <w:t>Washing up facilities for campers</w:t>
      </w:r>
      <w:r>
        <w:tab/>
      </w:r>
      <w:r>
        <w:fldChar w:fldCharType="begin"/>
      </w:r>
      <w:r>
        <w:instrText xml:space="preserve"> PAGEREF _Toc44414396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9 — Lighting</w:t>
      </w:r>
    </w:p>
    <w:p>
      <w:pPr>
        <w:pStyle w:val="TOC8"/>
        <w:rPr>
          <w:rFonts w:asciiTheme="minorHAnsi" w:eastAsiaTheme="minorEastAsia" w:hAnsiTheme="minorHAnsi" w:cstheme="minorBidi"/>
          <w:szCs w:val="22"/>
        </w:rPr>
      </w:pPr>
      <w:r>
        <w:t>32.</w:t>
      </w:r>
      <w:r>
        <w:tab/>
        <w:t>Lighting</w:t>
      </w:r>
      <w:r>
        <w:tab/>
      </w:r>
      <w:r>
        <w:fldChar w:fldCharType="begin"/>
      </w:r>
      <w:r>
        <w:instrText xml:space="preserve"> PAGEREF _Toc44414398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10 — Fire fighting equipment</w:t>
      </w:r>
    </w:p>
    <w:p>
      <w:pPr>
        <w:pStyle w:val="TOC8"/>
        <w:rPr>
          <w:rFonts w:asciiTheme="minorHAnsi" w:eastAsiaTheme="minorEastAsia" w:hAnsiTheme="minorHAnsi" w:cstheme="minorBidi"/>
          <w:szCs w:val="22"/>
        </w:rPr>
      </w:pPr>
      <w:r>
        <w:t>33.</w:t>
      </w:r>
      <w:r>
        <w:tab/>
        <w:t>Fire hose reels</w:t>
      </w:r>
      <w:r>
        <w:tab/>
      </w:r>
      <w:r>
        <w:fldChar w:fldCharType="begin"/>
      </w:r>
      <w:r>
        <w:instrText xml:space="preserve"> PAGEREF _Toc44414400 \h </w:instrText>
      </w:r>
      <w:r>
        <w:fldChar w:fldCharType="separate"/>
      </w:r>
      <w:r>
        <w:t>78</w:t>
      </w:r>
      <w:r>
        <w:fldChar w:fldCharType="end"/>
      </w:r>
    </w:p>
    <w:p>
      <w:pPr>
        <w:pStyle w:val="TOC8"/>
        <w:rPr>
          <w:rFonts w:asciiTheme="minorHAnsi" w:eastAsiaTheme="minorEastAsia" w:hAnsiTheme="minorHAnsi" w:cstheme="minorBidi"/>
          <w:szCs w:val="22"/>
        </w:rPr>
      </w:pPr>
      <w:r>
        <w:t>34.</w:t>
      </w:r>
      <w:r>
        <w:tab/>
        <w:t>Park home parks</w:t>
      </w:r>
      <w:r>
        <w:tab/>
      </w:r>
      <w:r>
        <w:fldChar w:fldCharType="begin"/>
      </w:r>
      <w:r>
        <w:instrText xml:space="preserve"> PAGEREF _Toc44414401 \h </w:instrText>
      </w:r>
      <w:r>
        <w:fldChar w:fldCharType="separate"/>
      </w:r>
      <w:r>
        <w:t>78</w:t>
      </w:r>
      <w:r>
        <w:fldChar w:fldCharType="end"/>
      </w:r>
    </w:p>
    <w:p>
      <w:pPr>
        <w:pStyle w:val="TOC8"/>
        <w:rPr>
          <w:rFonts w:asciiTheme="minorHAnsi" w:eastAsiaTheme="minorEastAsia" w:hAnsiTheme="minorHAnsi" w:cstheme="minorBidi"/>
          <w:szCs w:val="22"/>
        </w:rPr>
      </w:pPr>
      <w:r>
        <w:t>35.</w:t>
      </w:r>
      <w:r>
        <w:tab/>
        <w:t>Fire extinguishers</w:t>
      </w:r>
      <w:r>
        <w:tab/>
      </w:r>
      <w:r>
        <w:fldChar w:fldCharType="begin"/>
      </w:r>
      <w:r>
        <w:instrText xml:space="preserve"> PAGEREF _Toc44414402 \h </w:instrText>
      </w:r>
      <w:r>
        <w:fldChar w:fldCharType="separate"/>
      </w:r>
      <w:r>
        <w:t>78</w:t>
      </w:r>
      <w:r>
        <w:fldChar w:fldCharType="end"/>
      </w:r>
    </w:p>
    <w:p>
      <w:pPr>
        <w:pStyle w:val="TOC8"/>
        <w:rPr>
          <w:rFonts w:asciiTheme="minorHAnsi" w:eastAsiaTheme="minorEastAsia" w:hAnsiTheme="minorHAnsi" w:cstheme="minorBidi"/>
          <w:szCs w:val="22"/>
        </w:rPr>
      </w:pPr>
      <w:r>
        <w:t>36.</w:t>
      </w:r>
      <w:r>
        <w:tab/>
        <w:t>Fire equipment to be maintained, accessible and ready</w:t>
      </w:r>
      <w:r>
        <w:tab/>
      </w:r>
      <w:r>
        <w:fldChar w:fldCharType="begin"/>
      </w:r>
      <w:r>
        <w:instrText xml:space="preserve"> PAGEREF _Toc44414403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11 — Electricity</w:t>
      </w:r>
    </w:p>
    <w:p>
      <w:pPr>
        <w:pStyle w:val="TOC8"/>
        <w:rPr>
          <w:rFonts w:asciiTheme="minorHAnsi" w:eastAsiaTheme="minorEastAsia" w:hAnsiTheme="minorHAnsi" w:cstheme="minorBidi"/>
          <w:szCs w:val="22"/>
        </w:rPr>
      </w:pPr>
      <w:r>
        <w:t>37.</w:t>
      </w:r>
      <w:r>
        <w:tab/>
        <w:t>Electricity to sites</w:t>
      </w:r>
      <w:r>
        <w:tab/>
      </w:r>
      <w:r>
        <w:fldChar w:fldCharType="begin"/>
      </w:r>
      <w:r>
        <w:instrText xml:space="preserve"> PAGEREF _Toc44414405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12 — Water supply</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_Toc44414407 \h </w:instrText>
      </w:r>
      <w:r>
        <w:fldChar w:fldCharType="separate"/>
      </w:r>
      <w:r>
        <w:t>79</w:t>
      </w:r>
      <w:r>
        <w:fldChar w:fldCharType="end"/>
      </w:r>
    </w:p>
    <w:p>
      <w:pPr>
        <w:pStyle w:val="TOC8"/>
        <w:rPr>
          <w:rFonts w:asciiTheme="minorHAnsi" w:eastAsiaTheme="minorEastAsia" w:hAnsiTheme="minorHAnsi" w:cstheme="minorBidi"/>
          <w:szCs w:val="22"/>
        </w:rPr>
      </w:pPr>
      <w:r>
        <w:t>39.</w:t>
      </w:r>
      <w:r>
        <w:tab/>
        <w:t>AS 3500.1</w:t>
      </w:r>
      <w:r>
        <w:tab/>
      </w:r>
      <w:r>
        <w:fldChar w:fldCharType="begin"/>
      </w:r>
      <w:r>
        <w:instrText xml:space="preserve"> PAGEREF _Toc44414408 \h </w:instrText>
      </w:r>
      <w:r>
        <w:fldChar w:fldCharType="separate"/>
      </w:r>
      <w:r>
        <w:t>79</w:t>
      </w:r>
      <w:r>
        <w:fldChar w:fldCharType="end"/>
      </w:r>
    </w:p>
    <w:p>
      <w:pPr>
        <w:pStyle w:val="TOC8"/>
        <w:rPr>
          <w:rFonts w:asciiTheme="minorHAnsi" w:eastAsiaTheme="minorEastAsia" w:hAnsiTheme="minorHAnsi" w:cstheme="minorBidi"/>
          <w:szCs w:val="22"/>
        </w:rPr>
      </w:pPr>
      <w:r>
        <w:t>40.</w:t>
      </w:r>
      <w:r>
        <w:tab/>
        <w:t>Tap at transit park and nature based park</w:t>
      </w:r>
      <w:r>
        <w:tab/>
      </w:r>
      <w:r>
        <w:fldChar w:fldCharType="begin"/>
      </w:r>
      <w:r>
        <w:instrText xml:space="preserve"> PAGEREF _Toc44414409 \h </w:instrText>
      </w:r>
      <w:r>
        <w:fldChar w:fldCharType="separate"/>
      </w:r>
      <w:r>
        <w:t>79</w:t>
      </w:r>
      <w:r>
        <w:fldChar w:fldCharType="end"/>
      </w:r>
    </w:p>
    <w:p>
      <w:pPr>
        <w:pStyle w:val="TOC8"/>
        <w:rPr>
          <w:rFonts w:asciiTheme="minorHAnsi" w:eastAsiaTheme="minorEastAsia" w:hAnsiTheme="minorHAnsi" w:cstheme="minorBidi"/>
          <w:szCs w:val="22"/>
        </w:rPr>
      </w:pPr>
      <w:r>
        <w:t>41.</w:t>
      </w:r>
      <w:r>
        <w:tab/>
        <w:t>Tap at camping ground</w:t>
      </w:r>
      <w:r>
        <w:tab/>
      </w:r>
      <w:r>
        <w:fldChar w:fldCharType="begin"/>
      </w:r>
      <w:r>
        <w:instrText xml:space="preserve"> PAGEREF _Toc44414410 \h </w:instrText>
      </w:r>
      <w:r>
        <w:fldChar w:fldCharType="separate"/>
      </w:r>
      <w:r>
        <w:t>80</w:t>
      </w:r>
      <w:r>
        <w:fldChar w:fldCharType="end"/>
      </w:r>
    </w:p>
    <w:p>
      <w:pPr>
        <w:pStyle w:val="TOC8"/>
        <w:rPr>
          <w:rFonts w:asciiTheme="minorHAnsi" w:eastAsiaTheme="minorEastAsia" w:hAnsiTheme="minorHAnsi" w:cstheme="minorBidi"/>
          <w:szCs w:val="22"/>
        </w:rPr>
      </w:pPr>
      <w:r>
        <w:t>42.</w:t>
      </w:r>
      <w:r>
        <w:tab/>
        <w:t>Potable water for sites</w:t>
      </w:r>
      <w:r>
        <w:tab/>
      </w:r>
      <w:r>
        <w:fldChar w:fldCharType="begin"/>
      </w:r>
      <w:r>
        <w:instrText xml:space="preserve"> PAGEREF _Toc44414411 \h </w:instrText>
      </w:r>
      <w:r>
        <w:fldChar w:fldCharType="separate"/>
      </w:r>
      <w:r>
        <w:t>80</w:t>
      </w:r>
      <w:r>
        <w:fldChar w:fldCharType="end"/>
      </w:r>
    </w:p>
    <w:p>
      <w:pPr>
        <w:pStyle w:val="TOC8"/>
        <w:rPr>
          <w:rFonts w:asciiTheme="minorHAnsi" w:eastAsiaTheme="minorEastAsia" w:hAnsiTheme="minorHAnsi" w:cstheme="minorBidi"/>
          <w:szCs w:val="22"/>
        </w:rPr>
      </w:pPr>
      <w:r>
        <w:t>43.</w:t>
      </w:r>
      <w:r>
        <w:tab/>
        <w:t>Long stay sites to have own tap or connection</w:t>
      </w:r>
      <w:r>
        <w:tab/>
      </w:r>
      <w:r>
        <w:fldChar w:fldCharType="begin"/>
      </w:r>
      <w:r>
        <w:instrText xml:space="preserve"> PAGEREF _Toc44414412 \h </w:instrText>
      </w:r>
      <w:r>
        <w:fldChar w:fldCharType="separate"/>
      </w:r>
      <w:r>
        <w:t>80</w:t>
      </w:r>
      <w:r>
        <w:fldChar w:fldCharType="end"/>
      </w:r>
    </w:p>
    <w:p>
      <w:pPr>
        <w:pStyle w:val="TOC8"/>
        <w:rPr>
          <w:rFonts w:asciiTheme="minorHAnsi" w:eastAsiaTheme="minorEastAsia" w:hAnsiTheme="minorHAnsi" w:cstheme="minorBidi"/>
          <w:szCs w:val="22"/>
        </w:rPr>
      </w:pPr>
      <w:r>
        <w:t>44.</w:t>
      </w:r>
      <w:r>
        <w:tab/>
        <w:t>Tap within 10 m of short stay sites</w:t>
      </w:r>
      <w:r>
        <w:tab/>
      </w:r>
      <w:r>
        <w:fldChar w:fldCharType="begin"/>
      </w:r>
      <w:r>
        <w:instrText xml:space="preserve"> PAGEREF _Toc44414413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13 — Waste water, sewage and drainage</w:t>
      </w:r>
    </w:p>
    <w:p>
      <w:pPr>
        <w:pStyle w:val="TOC8"/>
        <w:rPr>
          <w:rFonts w:asciiTheme="minorHAnsi" w:eastAsiaTheme="minorEastAsia" w:hAnsiTheme="minorHAnsi" w:cstheme="minorBidi"/>
          <w:szCs w:val="22"/>
        </w:rPr>
      </w:pPr>
      <w:r>
        <w:t>45.</w:t>
      </w:r>
      <w:r>
        <w:tab/>
        <w:t>Term used: AS/NZS 3500.2.2</w:t>
      </w:r>
      <w:r>
        <w:tab/>
      </w:r>
      <w:r>
        <w:fldChar w:fldCharType="begin"/>
      </w:r>
      <w:r>
        <w:instrText xml:space="preserve"> PAGEREF _Toc44414415 \h </w:instrText>
      </w:r>
      <w:r>
        <w:fldChar w:fldCharType="separate"/>
      </w:r>
      <w:r>
        <w:t>80</w:t>
      </w:r>
      <w:r>
        <w:fldChar w:fldCharType="end"/>
      </w:r>
    </w:p>
    <w:p>
      <w:pPr>
        <w:pStyle w:val="TOC8"/>
        <w:rPr>
          <w:rFonts w:asciiTheme="minorHAnsi" w:eastAsiaTheme="minorEastAsia" w:hAnsiTheme="minorHAnsi" w:cstheme="minorBidi"/>
          <w:szCs w:val="22"/>
        </w:rPr>
      </w:pPr>
      <w:r>
        <w:t>46.</w:t>
      </w:r>
      <w:r>
        <w:tab/>
        <w:t>Waste water disposal</w:t>
      </w:r>
      <w:r>
        <w:tab/>
      </w:r>
      <w:r>
        <w:fldChar w:fldCharType="begin"/>
      </w:r>
      <w:r>
        <w:instrText xml:space="preserve"> PAGEREF _Toc44414416 \h </w:instrText>
      </w:r>
      <w:r>
        <w:fldChar w:fldCharType="separate"/>
      </w:r>
      <w:r>
        <w:t>80</w:t>
      </w:r>
      <w:r>
        <w:fldChar w:fldCharType="end"/>
      </w:r>
    </w:p>
    <w:p>
      <w:pPr>
        <w:pStyle w:val="TOC8"/>
        <w:rPr>
          <w:rFonts w:asciiTheme="minorHAnsi" w:eastAsiaTheme="minorEastAsia" w:hAnsiTheme="minorHAnsi" w:cstheme="minorBidi"/>
          <w:szCs w:val="22"/>
        </w:rPr>
      </w:pPr>
      <w:r>
        <w:t>47.</w:t>
      </w:r>
      <w:r>
        <w:tab/>
        <w:t>Communal chemical soil waste dump point</w:t>
      </w:r>
      <w:r>
        <w:tab/>
      </w:r>
      <w:r>
        <w:fldChar w:fldCharType="begin"/>
      </w:r>
      <w:r>
        <w:instrText xml:space="preserve"> PAGEREF _Toc44414417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14 — Miscellaneous</w:t>
      </w:r>
    </w:p>
    <w:p>
      <w:pPr>
        <w:pStyle w:val="TOC8"/>
        <w:rPr>
          <w:rFonts w:asciiTheme="minorHAnsi" w:eastAsiaTheme="minorEastAsia" w:hAnsiTheme="minorHAnsi" w:cstheme="minorBidi"/>
          <w:szCs w:val="22"/>
        </w:rPr>
      </w:pPr>
      <w:r>
        <w:t>48.</w:t>
      </w:r>
      <w:r>
        <w:tab/>
        <w:t>Cyclone activity</w:t>
      </w:r>
      <w:r>
        <w:tab/>
      </w:r>
      <w:r>
        <w:fldChar w:fldCharType="begin"/>
      </w:r>
      <w:r>
        <w:instrText xml:space="preserve"> PAGEREF _Toc44414419 \h </w:instrText>
      </w:r>
      <w:r>
        <w:fldChar w:fldCharType="separate"/>
      </w:r>
      <w:r>
        <w:t>81</w:t>
      </w:r>
      <w:r>
        <w:fldChar w:fldCharType="end"/>
      </w:r>
    </w:p>
    <w:p>
      <w:pPr>
        <w:pStyle w:val="TOC8"/>
        <w:rPr>
          <w:rFonts w:asciiTheme="minorHAnsi" w:eastAsiaTheme="minorEastAsia" w:hAnsiTheme="minorHAnsi" w:cstheme="minorBidi"/>
          <w:szCs w:val="22"/>
        </w:rPr>
      </w:pPr>
      <w:r>
        <w:t>49.</w:t>
      </w:r>
      <w:r>
        <w:tab/>
        <w:t>Rubbish</w:t>
      </w:r>
      <w:r>
        <w:tab/>
      </w:r>
      <w:r>
        <w:fldChar w:fldCharType="begin"/>
      </w:r>
      <w:r>
        <w:instrText xml:space="preserve"> PAGEREF _Toc44414420 \h </w:instrText>
      </w:r>
      <w:r>
        <w:fldChar w:fldCharType="separate"/>
      </w:r>
      <w:r>
        <w:t>82</w:t>
      </w:r>
      <w:r>
        <w:fldChar w:fldCharType="end"/>
      </w:r>
    </w:p>
    <w:p>
      <w:pPr>
        <w:pStyle w:val="TOC8"/>
        <w:rPr>
          <w:rFonts w:asciiTheme="minorHAnsi" w:eastAsiaTheme="minorEastAsia" w:hAnsiTheme="minorHAnsi" w:cstheme="minorBidi"/>
          <w:szCs w:val="22"/>
        </w:rPr>
      </w:pPr>
      <w:r>
        <w:t>50.</w:t>
      </w:r>
      <w:r>
        <w:tab/>
        <w:t>Telephones</w:t>
      </w:r>
      <w:r>
        <w:tab/>
      </w:r>
      <w:r>
        <w:fldChar w:fldCharType="begin"/>
      </w:r>
      <w:r>
        <w:instrText xml:space="preserve"> PAGEREF _Toc44414421 \h </w:instrText>
      </w:r>
      <w:r>
        <w:fldChar w:fldCharType="separate"/>
      </w:r>
      <w:r>
        <w:t>82</w:t>
      </w:r>
      <w:r>
        <w:fldChar w:fldCharType="end"/>
      </w:r>
    </w:p>
    <w:p>
      <w:pPr>
        <w:pStyle w:val="TOC8"/>
        <w:rPr>
          <w:rFonts w:asciiTheme="minorHAnsi" w:eastAsiaTheme="minorEastAsia" w:hAnsiTheme="minorHAnsi" w:cstheme="minorBidi"/>
          <w:szCs w:val="22"/>
        </w:rPr>
      </w:pPr>
      <w:r>
        <w:t>51.</w:t>
      </w:r>
      <w:r>
        <w:tab/>
        <w:t>Postal service</w:t>
      </w:r>
      <w:r>
        <w:tab/>
      </w:r>
      <w:r>
        <w:fldChar w:fldCharType="begin"/>
      </w:r>
      <w:r>
        <w:instrText xml:space="preserve"> PAGEREF _Toc44414422 \h </w:instrText>
      </w:r>
      <w:r>
        <w:fldChar w:fldCharType="separate"/>
      </w:r>
      <w:r>
        <w:t>82</w:t>
      </w:r>
      <w:r>
        <w:fldChar w:fldCharType="end"/>
      </w:r>
    </w:p>
    <w:p>
      <w:pPr>
        <w:pStyle w:val="TOC8"/>
        <w:rPr>
          <w:rFonts w:asciiTheme="minorHAnsi" w:eastAsiaTheme="minorEastAsia" w:hAnsiTheme="minorHAnsi" w:cstheme="minorBidi"/>
          <w:szCs w:val="22"/>
        </w:rPr>
      </w:pPr>
      <w:r>
        <w:t>52.</w:t>
      </w:r>
      <w:r>
        <w:tab/>
        <w:t>Solid fuel fires and appliances</w:t>
      </w:r>
      <w:r>
        <w:tab/>
      </w:r>
      <w:r>
        <w:fldChar w:fldCharType="begin"/>
      </w:r>
      <w:r>
        <w:instrText xml:space="preserve"> PAGEREF _Toc44414423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9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_Toc44414425 \h </w:instrText>
      </w:r>
      <w:r>
        <w:fldChar w:fldCharType="separate"/>
      </w:r>
      <w:r>
        <w:t>84</w:t>
      </w:r>
      <w:r>
        <w:fldChar w:fldCharType="end"/>
      </w:r>
    </w:p>
    <w:p>
      <w:pPr>
        <w:pStyle w:val="TOC8"/>
        <w:rPr>
          <w:rFonts w:asciiTheme="minorHAnsi" w:eastAsiaTheme="minorEastAsia" w:hAnsiTheme="minorHAnsi" w:cstheme="minorBidi"/>
          <w:szCs w:val="22"/>
        </w:rPr>
      </w:pPr>
      <w:r>
        <w:t>2.</w:t>
      </w:r>
      <w:r>
        <w:tab/>
        <w:t>References to provisions of former legislation</w:t>
      </w:r>
      <w:r>
        <w:tab/>
      </w:r>
      <w:r>
        <w:fldChar w:fldCharType="begin"/>
      </w:r>
      <w:r>
        <w:instrText xml:space="preserve"> PAGEREF _Toc44414426 \h </w:instrText>
      </w:r>
      <w:r>
        <w:fldChar w:fldCharType="separate"/>
      </w:r>
      <w:r>
        <w:t>84</w:t>
      </w:r>
      <w:r>
        <w:fldChar w:fldCharType="end"/>
      </w:r>
    </w:p>
    <w:p>
      <w:pPr>
        <w:pStyle w:val="TOC8"/>
        <w:rPr>
          <w:rFonts w:asciiTheme="minorHAnsi" w:eastAsiaTheme="minorEastAsia" w:hAnsiTheme="minorHAnsi" w:cstheme="minorBidi"/>
          <w:szCs w:val="22"/>
        </w:rPr>
      </w:pPr>
      <w:r>
        <w:t>3.</w:t>
      </w:r>
      <w:r>
        <w:tab/>
        <w:t>One year to comply with new provisions</w:t>
      </w:r>
      <w:r>
        <w:tab/>
      </w:r>
      <w:r>
        <w:fldChar w:fldCharType="begin"/>
      </w:r>
      <w:r>
        <w:instrText xml:space="preserve"> PAGEREF _Toc44414427 \h </w:instrText>
      </w:r>
      <w:r>
        <w:fldChar w:fldCharType="separate"/>
      </w:r>
      <w:r>
        <w:t>85</w:t>
      </w:r>
      <w:r>
        <w:fldChar w:fldCharType="end"/>
      </w:r>
    </w:p>
    <w:p>
      <w:pPr>
        <w:pStyle w:val="TOC8"/>
        <w:rPr>
          <w:rFonts w:asciiTheme="minorHAnsi" w:eastAsiaTheme="minorEastAsia" w:hAnsiTheme="minorHAnsi" w:cstheme="minorBidi"/>
          <w:szCs w:val="22"/>
        </w:rPr>
      </w:pPr>
      <w:r>
        <w:t>4.</w:t>
      </w:r>
      <w:r>
        <w:tab/>
        <w:t>Extension of time within which to comply</w:t>
      </w:r>
      <w:r>
        <w:tab/>
      </w:r>
      <w:r>
        <w:fldChar w:fldCharType="begin"/>
      </w:r>
      <w:r>
        <w:instrText xml:space="preserve"> PAGEREF _Toc44414428 \h </w:instrText>
      </w:r>
      <w:r>
        <w:fldChar w:fldCharType="separate"/>
      </w:r>
      <w:r>
        <w:t>85</w:t>
      </w:r>
      <w:r>
        <w:fldChar w:fldCharType="end"/>
      </w:r>
    </w:p>
    <w:p>
      <w:pPr>
        <w:pStyle w:val="TOC8"/>
        <w:rPr>
          <w:rFonts w:asciiTheme="minorHAnsi" w:eastAsiaTheme="minorEastAsia" w:hAnsiTheme="minorHAnsi" w:cstheme="minorBidi"/>
          <w:szCs w:val="22"/>
        </w:rPr>
      </w:pPr>
      <w:r>
        <w:t>5.</w:t>
      </w:r>
      <w:r>
        <w:tab/>
        <w:t>New provisions do not apply where equivalent provision of former legislation is complied with</w:t>
      </w:r>
      <w:r>
        <w:tab/>
      </w:r>
      <w:r>
        <w:fldChar w:fldCharType="begin"/>
      </w:r>
      <w:r>
        <w:instrText xml:space="preserve"> PAGEREF _Toc44414429 \h </w:instrText>
      </w:r>
      <w:r>
        <w:fldChar w:fldCharType="separate"/>
      </w:r>
      <w:r>
        <w:t>86</w:t>
      </w:r>
      <w:r>
        <w:fldChar w:fldCharType="end"/>
      </w:r>
    </w:p>
    <w:p>
      <w:pPr>
        <w:pStyle w:val="TOC8"/>
        <w:rPr>
          <w:rFonts w:asciiTheme="minorHAnsi" w:eastAsiaTheme="minorEastAsia" w:hAnsiTheme="minorHAnsi" w:cstheme="minorBidi"/>
          <w:szCs w:val="22"/>
        </w:rPr>
      </w:pPr>
      <w:r>
        <w:t>6.</w:t>
      </w:r>
      <w:r>
        <w:tab/>
        <w:t>Where compliance at commencement, provision continues to apply</w:t>
      </w:r>
      <w:r>
        <w:tab/>
      </w:r>
      <w:r>
        <w:fldChar w:fldCharType="begin"/>
      </w:r>
      <w:r>
        <w:instrText xml:space="preserve"> PAGEREF _Toc44414430 \h </w:instrText>
      </w:r>
      <w:r>
        <w:fldChar w:fldCharType="separate"/>
      </w:r>
      <w:r>
        <w:t>86</w:t>
      </w:r>
      <w:r>
        <w:fldChar w:fldCharType="end"/>
      </w:r>
    </w:p>
    <w:p>
      <w:pPr>
        <w:pStyle w:val="TOC8"/>
        <w:rPr>
          <w:rFonts w:asciiTheme="minorHAnsi" w:eastAsiaTheme="minorEastAsia" w:hAnsiTheme="minorHAnsi" w:cstheme="minorBidi"/>
          <w:szCs w:val="22"/>
        </w:rPr>
      </w:pPr>
      <w:r>
        <w:t>7.</w:t>
      </w:r>
      <w:r>
        <w:tab/>
        <w:t>Registration or licence under local law</w:t>
      </w:r>
      <w:r>
        <w:tab/>
      </w:r>
      <w:r>
        <w:fldChar w:fldCharType="begin"/>
      </w:r>
      <w:r>
        <w:instrText xml:space="preserve"> PAGEREF _Toc44414431 \h </w:instrText>
      </w:r>
      <w:r>
        <w:fldChar w:fldCharType="separate"/>
      </w:r>
      <w:r>
        <w:t>86</w:t>
      </w:r>
      <w:r>
        <w:fldChar w:fldCharType="end"/>
      </w:r>
    </w:p>
    <w:p>
      <w:pPr>
        <w:pStyle w:val="TOC8"/>
        <w:rPr>
          <w:rFonts w:asciiTheme="minorHAnsi" w:eastAsiaTheme="minorEastAsia" w:hAnsiTheme="minorHAnsi" w:cstheme="minorBidi"/>
          <w:szCs w:val="22"/>
        </w:rPr>
      </w:pPr>
      <w:r>
        <w:t>8.</w:t>
      </w:r>
      <w:r>
        <w:tab/>
        <w:t>Transitional provisions relating to Part 4</w:t>
      </w:r>
      <w:r>
        <w:tab/>
      </w:r>
      <w:r>
        <w:fldChar w:fldCharType="begin"/>
      </w:r>
      <w:r>
        <w:instrText xml:space="preserve"> PAGEREF _Toc44414432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_Toc44414434 \h </w:instrText>
      </w:r>
      <w:r>
        <w:fldChar w:fldCharType="separate"/>
      </w:r>
      <w:r>
        <w:t>88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_Toc44414435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Caravan Parks and Camping Grounds Act 1995</w:t>
      </w:r>
    </w:p>
    <w:p>
      <w:pPr>
        <w:pStyle w:val="NameofActReg"/>
      </w:pPr>
      <w:r>
        <w:t>Caravan Parks and Camping Grounds Regulations 1997</w:t>
      </w:r>
    </w:p>
    <w:p>
      <w:pPr>
        <w:pStyle w:val="Heading2"/>
        <w:pageBreakBefore w:val="0"/>
      </w:pPr>
      <w:bookmarkStart w:id="3" w:name="_Toc44400039"/>
      <w:bookmarkStart w:id="4" w:name="_Toc44401970"/>
      <w:bookmarkStart w:id="5" w:name="_Toc44414246"/>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44414247"/>
      <w:r>
        <w:rPr>
          <w:rStyle w:val="CharSectno"/>
        </w:rPr>
        <w:t>1</w:t>
      </w:r>
      <w:r>
        <w:rPr>
          <w:snapToGrid w:val="0"/>
        </w:rPr>
        <w:t xml:space="preserve">. </w:t>
      </w:r>
      <w:r>
        <w:rPr>
          <w:snapToGrid w:val="0"/>
        </w:rPr>
        <w:tab/>
        <w:t>Citation</w:t>
      </w:r>
      <w:bookmarkEnd w:id="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Caravan Parks and Camping Grounds Regulations 1997</w:t>
      </w:r>
      <w:r>
        <w:rPr>
          <w:snapToGrid w:val="0"/>
        </w:rPr>
        <w:t>.</w:t>
      </w:r>
    </w:p>
    <w:p>
      <w:pPr>
        <w:pStyle w:val="Heading5"/>
        <w:rPr>
          <w:snapToGrid w:val="0"/>
        </w:rPr>
      </w:pPr>
      <w:bookmarkStart w:id="7" w:name="_Toc44414248"/>
      <w:r>
        <w:rPr>
          <w:rStyle w:val="CharSectno"/>
        </w:rPr>
        <w:t>2</w:t>
      </w:r>
      <w:r>
        <w:rPr>
          <w:snapToGrid w:val="0"/>
        </w:rPr>
        <w:t xml:space="preserve">. </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8" w:name="_Toc44414249"/>
      <w:r>
        <w:rPr>
          <w:rStyle w:val="CharSectno"/>
        </w:rPr>
        <w:t>3</w:t>
      </w:r>
      <w:r>
        <w:t>.</w:t>
      </w:r>
      <w:r>
        <w:tab/>
        <w:t>Terms used</w:t>
      </w:r>
      <w:bookmarkEnd w:id="8"/>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p>
    <w:p>
      <w:pPr>
        <w:pStyle w:val="Defstart"/>
        <w:keepNext/>
      </w:pPr>
      <w:r>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pPr>
      <w:r>
        <w:tab/>
      </w:r>
      <w:r>
        <w:rPr>
          <w:rStyle w:val="CharDefText"/>
        </w:rPr>
        <w:t>builder</w:t>
      </w:r>
      <w:r>
        <w:t xml:space="preserve"> means a building service practitioner registered under the </w:t>
      </w:r>
      <w:r>
        <w:rPr>
          <w:i/>
        </w:rPr>
        <w:t xml:space="preserve">Building Services (Registration) Act 2011 </w:t>
      </w:r>
      <w:r>
        <w:t>section 17 in the class of building practitioner;</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tab/>
      </w:r>
      <w:r>
        <w:rPr>
          <w:rStyle w:val="CharDefText"/>
        </w:rPr>
        <w:t>facility road</w:t>
      </w:r>
      <w:r>
        <w:t xml:space="preserve"> means a road or path inside a facility for the use of vehicles;</w:t>
      </w:r>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keepNext/>
      </w:pPr>
      <w:r>
        <w:tab/>
      </w:r>
      <w:r>
        <w:rPr>
          <w:rStyle w:val="CharDefText"/>
        </w:rPr>
        <w:t>form</w:t>
      </w:r>
      <w:r>
        <w:t xml:space="preserve"> means a form in Schedule 1;</w:t>
      </w:r>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m for a distance of 500 m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szCs w:val="24"/>
        </w:rPr>
        <w:t>Road Traffic (Vehicles) Act 2012</w:t>
      </w:r>
      <w:r>
        <w:rPr>
          <w:szCs w:val="24"/>
        </w:rPr>
        <w:t xml:space="preserve"> section 3(1);</w:t>
      </w:r>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 Gazette 12 Dec 2014 p. 4721-3; amended: Gazette 10 Apr 2015 p. 1256; SL 2020/12 r. 4.]</w:t>
      </w:r>
    </w:p>
    <w:p>
      <w:pPr>
        <w:pStyle w:val="Heading5"/>
        <w:rPr>
          <w:snapToGrid w:val="0"/>
        </w:rPr>
      </w:pPr>
      <w:bookmarkStart w:id="9" w:name="_Toc44414250"/>
      <w:r>
        <w:rPr>
          <w:rStyle w:val="CharSectno"/>
        </w:rPr>
        <w:t>4</w:t>
      </w:r>
      <w:r>
        <w:rPr>
          <w:snapToGrid w:val="0"/>
        </w:rPr>
        <w:t xml:space="preserve">. </w:t>
      </w:r>
      <w:r>
        <w:rPr>
          <w:snapToGrid w:val="0"/>
        </w:rPr>
        <w:tab/>
        <w:t>Meaning of park home</w:t>
      </w:r>
      <w:bookmarkEnd w:id="9"/>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w:t>
      </w:r>
      <w:r>
        <w:t xml:space="preserve">the </w:t>
      </w:r>
      <w:r>
        <w:rPr>
          <w:i/>
        </w:rPr>
        <w:t xml:space="preserve">Road Traffic (Vehicles) Act 2012 </w:t>
      </w:r>
      <w:r>
        <w:t xml:space="preserve">section 4, </w:t>
      </w:r>
      <w:r>
        <w:rPr>
          <w:snapToGrid w:val="0"/>
        </w:rPr>
        <w:t>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Footnotesection"/>
      </w:pPr>
      <w:r>
        <w:tab/>
        <w:t>[Regulation 4 amended: Gazette 8 Jan 2015 p. 121.]</w:t>
      </w:r>
    </w:p>
    <w:p>
      <w:pPr>
        <w:pStyle w:val="Heading5"/>
        <w:rPr>
          <w:snapToGrid w:val="0"/>
        </w:rPr>
      </w:pPr>
      <w:bookmarkStart w:id="10" w:name="_Toc44414251"/>
      <w:r>
        <w:rPr>
          <w:rStyle w:val="CharSectno"/>
        </w:rPr>
        <w:t>5</w:t>
      </w:r>
      <w:r>
        <w:rPr>
          <w:snapToGrid w:val="0"/>
        </w:rPr>
        <w:t xml:space="preserve">. </w:t>
      </w:r>
      <w:r>
        <w:rPr>
          <w:snapToGrid w:val="0"/>
        </w:rPr>
        <w:tab/>
        <w:t>Meaning of annexe</w:t>
      </w:r>
      <w:bookmarkEnd w:id="10"/>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pPr>
      <w:bookmarkStart w:id="11" w:name="_Toc44414252"/>
      <w:r>
        <w:rPr>
          <w:rStyle w:val="CharSectno"/>
        </w:rPr>
        <w:t>6A</w:t>
      </w:r>
      <w:r>
        <w:t>.</w:t>
      </w:r>
      <w:r>
        <w:tab/>
        <w:t>Assistance animals</w:t>
      </w:r>
      <w:bookmarkEnd w:id="11"/>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6A inserted: Gazette 8 Jan 2015 p. 122.]</w:t>
      </w:r>
    </w:p>
    <w:p>
      <w:pPr>
        <w:pStyle w:val="Heading5"/>
        <w:rPr>
          <w:snapToGrid w:val="0"/>
        </w:rPr>
      </w:pPr>
      <w:bookmarkStart w:id="12" w:name="_Toc44414253"/>
      <w:r>
        <w:rPr>
          <w:rStyle w:val="CharSectno"/>
        </w:rPr>
        <w:t>6</w:t>
      </w:r>
      <w:r>
        <w:rPr>
          <w:snapToGrid w:val="0"/>
        </w:rPr>
        <w:t xml:space="preserve">. </w:t>
      </w:r>
      <w:r>
        <w:rPr>
          <w:snapToGrid w:val="0"/>
        </w:rPr>
        <w:tab/>
        <w:t>Local government</w:t>
      </w:r>
      <w:bookmarkEnd w:id="12"/>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13" w:name="_Toc44414254"/>
      <w:r>
        <w:rPr>
          <w:rStyle w:val="CharSectno"/>
        </w:rPr>
        <w:t>7</w:t>
      </w:r>
      <w:r>
        <w:rPr>
          <w:snapToGrid w:val="0"/>
        </w:rPr>
        <w:t xml:space="preserve">. </w:t>
      </w:r>
      <w:r>
        <w:rPr>
          <w:snapToGrid w:val="0"/>
        </w:rPr>
        <w:tab/>
        <w:t>Imposition of conditions on licence</w:t>
      </w:r>
      <w:bookmarkEnd w:id="13"/>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14" w:name="_Toc44400048"/>
      <w:bookmarkStart w:id="15" w:name="_Toc44401979"/>
      <w:bookmarkStart w:id="16" w:name="_Toc44414255"/>
      <w:r>
        <w:rPr>
          <w:rStyle w:val="CharPartNo"/>
        </w:rPr>
        <w:t>Part 2</w:t>
      </w:r>
      <w:r>
        <w:rPr>
          <w:rStyle w:val="CharDivNo"/>
        </w:rPr>
        <w:t> </w:t>
      </w:r>
      <w:r>
        <w:t>—</w:t>
      </w:r>
      <w:r>
        <w:rPr>
          <w:rStyle w:val="CharDivText"/>
        </w:rPr>
        <w:t> </w:t>
      </w:r>
      <w:r>
        <w:rPr>
          <w:rStyle w:val="CharPartText"/>
        </w:rPr>
        <w:t>Caravanning and camping generally</w:t>
      </w:r>
      <w:bookmarkEnd w:id="14"/>
      <w:bookmarkEnd w:id="15"/>
      <w:bookmarkEnd w:id="16"/>
      <w:r>
        <w:rPr>
          <w:rStyle w:val="CharPartText"/>
        </w:rPr>
        <w:t xml:space="preserve"> </w:t>
      </w:r>
    </w:p>
    <w:p>
      <w:pPr>
        <w:pStyle w:val="Heading5"/>
        <w:rPr>
          <w:snapToGrid w:val="0"/>
        </w:rPr>
      </w:pPr>
      <w:bookmarkStart w:id="17" w:name="_Toc44414256"/>
      <w:r>
        <w:rPr>
          <w:rStyle w:val="CharSectno"/>
        </w:rPr>
        <w:t>8</w:t>
      </w:r>
      <w:r>
        <w:rPr>
          <w:snapToGrid w:val="0"/>
        </w:rPr>
        <w:t xml:space="preserve">. </w:t>
      </w:r>
      <w:r>
        <w:rPr>
          <w:snapToGrid w:val="0"/>
        </w:rPr>
        <w:tab/>
        <w:t>This Part subject to other written law</w:t>
      </w:r>
      <w:bookmarkEnd w:id="17"/>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18" w:name="_Toc44414257"/>
      <w:r>
        <w:t>8A.</w:t>
      </w:r>
      <w:r>
        <w:tab/>
        <w:t>Term used: camp</w:t>
      </w:r>
      <w:bookmarkEnd w:id="18"/>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Gazette 16 Jul 1999 p. 3202.]</w:t>
      </w:r>
    </w:p>
    <w:p>
      <w:pPr>
        <w:pStyle w:val="Heading5"/>
        <w:rPr>
          <w:snapToGrid w:val="0"/>
        </w:rPr>
      </w:pPr>
      <w:bookmarkStart w:id="19" w:name="_Toc44414258"/>
      <w:r>
        <w:rPr>
          <w:rStyle w:val="CharSectno"/>
        </w:rPr>
        <w:t>9</w:t>
      </w:r>
      <w:r>
        <w:rPr>
          <w:snapToGrid w:val="0"/>
        </w:rPr>
        <w:t xml:space="preserve">. </w:t>
      </w:r>
      <w:r>
        <w:rPr>
          <w:snapToGrid w:val="0"/>
        </w:rPr>
        <w:tab/>
        <w:t>Park homes may only be occupied in caravan parks</w:t>
      </w:r>
      <w:bookmarkEnd w:id="19"/>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9 amended: Gazette 12 Dec 2014 p. 4733.]</w:t>
      </w:r>
    </w:p>
    <w:p>
      <w:pPr>
        <w:pStyle w:val="Heading5"/>
        <w:rPr>
          <w:snapToGrid w:val="0"/>
        </w:rPr>
      </w:pPr>
      <w:bookmarkStart w:id="20" w:name="_Toc44414259"/>
      <w:r>
        <w:rPr>
          <w:rStyle w:val="CharSectno"/>
        </w:rPr>
        <w:t>10</w:t>
      </w:r>
      <w:r>
        <w:rPr>
          <w:snapToGrid w:val="0"/>
        </w:rPr>
        <w:t xml:space="preserve">. </w:t>
      </w:r>
      <w:r>
        <w:rPr>
          <w:snapToGrid w:val="0"/>
        </w:rPr>
        <w:tab/>
        <w:t>Where person may camp</w:t>
      </w:r>
      <w:bookmarkEnd w:id="20"/>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 amended: Gazette 12 Dec 2014 p. 4733.]</w:t>
      </w:r>
    </w:p>
    <w:p>
      <w:pPr>
        <w:pStyle w:val="Heading5"/>
        <w:rPr>
          <w:snapToGrid w:val="0"/>
        </w:rPr>
      </w:pPr>
      <w:bookmarkStart w:id="21" w:name="_Toc44414260"/>
      <w:r>
        <w:rPr>
          <w:rStyle w:val="CharSectno"/>
        </w:rPr>
        <w:t>11</w:t>
      </w:r>
      <w:r>
        <w:rPr>
          <w:snapToGrid w:val="0"/>
        </w:rPr>
        <w:t xml:space="preserve">. </w:t>
      </w:r>
      <w:r>
        <w:rPr>
          <w:snapToGrid w:val="0"/>
        </w:rPr>
        <w:tab/>
        <w:t>Camping other than at caravan park or camping ground</w:t>
      </w:r>
      <w:bookmarkEnd w:id="21"/>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 or</w:t>
      </w:r>
    </w:p>
    <w:p>
      <w:pPr>
        <w:pStyle w:val="Indenta"/>
      </w:pPr>
      <w:r>
        <w:tab/>
        <w:t>(b)</w:t>
      </w:r>
      <w:r>
        <w:tab/>
        <w:t>for up to 24 consecutive hours in a caravan or other vehicle on a road side rest area; or</w:t>
      </w:r>
    </w:p>
    <w:p>
      <w:pPr>
        <w:pStyle w:val="Indenta"/>
      </w:pPr>
      <w:r>
        <w:tab/>
        <w:t>(c)</w:t>
      </w:r>
      <w:r>
        <w:tab/>
        <w:t>for up to 24 consecutive hours in a caravan or other vehicle on a road reserve in an emergency, unless to do so would cause a hazard to other road users or contravene any other written law with respect to the use of the road reserve; or</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by the local government of the district where the land is situated, if such approval will not result in the land being camped on for longer than 3 months in any period of 12 months; or</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 or</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Gazette 16 Jul 1999 p. 3202</w:t>
      </w:r>
      <w:r>
        <w:noBreakHyphen/>
        <w:t>4; 25 Aug 2000 p. 4911; 13 Apr 2012 p. 1660.]</w:t>
      </w:r>
    </w:p>
    <w:p>
      <w:pPr>
        <w:pStyle w:val="Heading5"/>
        <w:rPr>
          <w:snapToGrid w:val="0"/>
        </w:rPr>
      </w:pPr>
      <w:bookmarkStart w:id="22" w:name="_Toc44414261"/>
      <w:r>
        <w:rPr>
          <w:rStyle w:val="CharSectno"/>
        </w:rPr>
        <w:t>12</w:t>
      </w:r>
      <w:r>
        <w:rPr>
          <w:snapToGrid w:val="0"/>
        </w:rPr>
        <w:t xml:space="preserve">. </w:t>
      </w:r>
      <w:r>
        <w:rPr>
          <w:snapToGrid w:val="0"/>
        </w:rPr>
        <w:tab/>
        <w:t>Number of caravans on lot</w:t>
      </w:r>
      <w:bookmarkEnd w:id="22"/>
      <w:r>
        <w:rPr>
          <w:snapToGrid w:val="0"/>
        </w:rPr>
        <w:t xml:space="preserve"> </w:t>
      </w:r>
    </w:p>
    <w:p>
      <w:pPr>
        <w:pStyle w:val="Subsection"/>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Footnotesection"/>
      </w:pPr>
      <w:r>
        <w:tab/>
        <w:t>[Regulation 12 amended: Gazette 12 Dec 2014 p. 4723 and 4733.]</w:t>
      </w:r>
    </w:p>
    <w:p>
      <w:pPr>
        <w:pStyle w:val="Heading5"/>
        <w:spacing w:before="200"/>
        <w:rPr>
          <w:snapToGrid w:val="0"/>
        </w:rPr>
      </w:pPr>
      <w:bookmarkStart w:id="23" w:name="_Toc44414262"/>
      <w:r>
        <w:rPr>
          <w:rStyle w:val="CharSectno"/>
        </w:rPr>
        <w:t>13</w:t>
      </w:r>
      <w:r>
        <w:rPr>
          <w:snapToGrid w:val="0"/>
        </w:rPr>
        <w:t xml:space="preserve">. </w:t>
      </w:r>
      <w:r>
        <w:rPr>
          <w:snapToGrid w:val="0"/>
        </w:rPr>
        <w:tab/>
        <w:t>Suitability of land for camping to be considered before approval under r. 11(2) or 12(2) given</w:t>
      </w:r>
      <w:bookmarkEnd w:id="23"/>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keepNext w:val="0"/>
        <w:keepLines w:val="0"/>
        <w:pageBreakBefore/>
        <w:spacing w:before="0"/>
        <w:rPr>
          <w:snapToGrid w:val="0"/>
        </w:rPr>
      </w:pPr>
      <w:bookmarkStart w:id="24" w:name="_Toc44414263"/>
      <w:r>
        <w:rPr>
          <w:rStyle w:val="CharSectno"/>
        </w:rPr>
        <w:t>14</w:t>
      </w:r>
      <w:r>
        <w:rPr>
          <w:snapToGrid w:val="0"/>
        </w:rPr>
        <w:t xml:space="preserve">. </w:t>
      </w:r>
      <w:r>
        <w:rPr>
          <w:snapToGrid w:val="0"/>
        </w:rPr>
        <w:tab/>
        <w:t>Caravan or camp to be maintained</w:t>
      </w:r>
      <w:bookmarkEnd w:id="24"/>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Gazette 12 Dec 2014 p. 4733.]</w:t>
      </w:r>
    </w:p>
    <w:p>
      <w:pPr>
        <w:pStyle w:val="Heading5"/>
        <w:rPr>
          <w:snapToGrid w:val="0"/>
        </w:rPr>
      </w:pPr>
      <w:bookmarkStart w:id="25" w:name="_Toc44414264"/>
      <w:r>
        <w:rPr>
          <w:rStyle w:val="CharSectno"/>
        </w:rPr>
        <w:t>15</w:t>
      </w:r>
      <w:r>
        <w:rPr>
          <w:snapToGrid w:val="0"/>
        </w:rPr>
        <w:t xml:space="preserve">. </w:t>
      </w:r>
      <w:r>
        <w:rPr>
          <w:snapToGrid w:val="0"/>
        </w:rPr>
        <w:tab/>
        <w:t>Mobility of caravans</w:t>
      </w:r>
      <w:bookmarkEnd w:id="25"/>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for an offence under subregulation (1) or (2): a fine of $2 000.</w:t>
      </w:r>
    </w:p>
    <w:p>
      <w:pPr>
        <w:pStyle w:val="Footnotesection"/>
      </w:pPr>
      <w:r>
        <w:tab/>
        <w:t>[Regulation 15 amended: Gazette 12 Dec 2014 p. 4723.]</w:t>
      </w:r>
    </w:p>
    <w:p>
      <w:pPr>
        <w:pStyle w:val="Heading2"/>
      </w:pPr>
      <w:bookmarkStart w:id="26" w:name="_Toc44400058"/>
      <w:bookmarkStart w:id="27" w:name="_Toc44401989"/>
      <w:bookmarkStart w:id="28" w:name="_Toc44414265"/>
      <w:r>
        <w:rPr>
          <w:rStyle w:val="CharPartNo"/>
        </w:rPr>
        <w:t>Part 3</w:t>
      </w:r>
      <w:r>
        <w:t> — </w:t>
      </w:r>
      <w:r>
        <w:rPr>
          <w:rStyle w:val="CharPartText"/>
        </w:rPr>
        <w:t>Caravan parks and camping grounds</w:t>
      </w:r>
      <w:bookmarkEnd w:id="26"/>
      <w:bookmarkEnd w:id="27"/>
      <w:bookmarkEnd w:id="28"/>
      <w:r>
        <w:rPr>
          <w:rStyle w:val="CharPartText"/>
        </w:rPr>
        <w:t xml:space="preserve"> </w:t>
      </w:r>
    </w:p>
    <w:p>
      <w:pPr>
        <w:pStyle w:val="Heading3"/>
        <w:rPr>
          <w:snapToGrid w:val="0"/>
        </w:rPr>
      </w:pPr>
      <w:bookmarkStart w:id="29" w:name="_Toc44400059"/>
      <w:bookmarkStart w:id="30" w:name="_Toc44401990"/>
      <w:bookmarkStart w:id="31" w:name="_Toc44414266"/>
      <w:r>
        <w:rPr>
          <w:rStyle w:val="CharDivNo"/>
        </w:rPr>
        <w:t>Division 1</w:t>
      </w:r>
      <w:r>
        <w:rPr>
          <w:snapToGrid w:val="0"/>
        </w:rPr>
        <w:t> — </w:t>
      </w:r>
      <w:r>
        <w:rPr>
          <w:rStyle w:val="CharDivText"/>
        </w:rPr>
        <w:t>Duties of licence holders</w:t>
      </w:r>
      <w:bookmarkEnd w:id="29"/>
      <w:bookmarkEnd w:id="30"/>
      <w:bookmarkEnd w:id="31"/>
      <w:r>
        <w:rPr>
          <w:rStyle w:val="CharDivText"/>
        </w:rPr>
        <w:t xml:space="preserve"> </w:t>
      </w:r>
    </w:p>
    <w:p>
      <w:pPr>
        <w:pStyle w:val="Heading5"/>
        <w:rPr>
          <w:snapToGrid w:val="0"/>
        </w:rPr>
      </w:pPr>
      <w:bookmarkStart w:id="32" w:name="_Toc44414267"/>
      <w:r>
        <w:rPr>
          <w:rStyle w:val="CharSectno"/>
        </w:rPr>
        <w:t>16</w:t>
      </w:r>
      <w:r>
        <w:rPr>
          <w:snapToGrid w:val="0"/>
        </w:rPr>
        <w:t xml:space="preserve">. </w:t>
      </w:r>
      <w:r>
        <w:rPr>
          <w:snapToGrid w:val="0"/>
        </w:rPr>
        <w:tab/>
        <w:t>Schedules 5 and 6 — licence holder’s duty</w:t>
      </w:r>
      <w:bookmarkEnd w:id="32"/>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 Gazette 25 Aug 2000 p. 4911; 12 Dec 2014 p. 4733.]</w:t>
      </w:r>
    </w:p>
    <w:p>
      <w:pPr>
        <w:pStyle w:val="Heading5"/>
        <w:rPr>
          <w:snapToGrid w:val="0"/>
        </w:rPr>
      </w:pPr>
      <w:bookmarkStart w:id="33" w:name="_Toc44414268"/>
      <w:r>
        <w:rPr>
          <w:rStyle w:val="CharSectno"/>
        </w:rPr>
        <w:t>17</w:t>
      </w:r>
      <w:r>
        <w:rPr>
          <w:snapToGrid w:val="0"/>
        </w:rPr>
        <w:t xml:space="preserve">. </w:t>
      </w:r>
      <w:r>
        <w:rPr>
          <w:snapToGrid w:val="0"/>
        </w:rPr>
        <w:tab/>
        <w:t>Schedule 7 — licence holder’s duty</w:t>
      </w:r>
      <w:bookmarkEnd w:id="33"/>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 Gazette 25 Aug 2000 p. 4911; 12 Dec 2014 p. 4733.]</w:t>
      </w:r>
    </w:p>
    <w:p>
      <w:pPr>
        <w:pStyle w:val="Heading5"/>
        <w:rPr>
          <w:snapToGrid w:val="0"/>
        </w:rPr>
      </w:pPr>
      <w:bookmarkStart w:id="34" w:name="_Toc44414269"/>
      <w:r>
        <w:rPr>
          <w:rStyle w:val="CharSectno"/>
        </w:rPr>
        <w:t>18</w:t>
      </w:r>
      <w:r>
        <w:rPr>
          <w:snapToGrid w:val="0"/>
        </w:rPr>
        <w:t xml:space="preserve">. </w:t>
      </w:r>
      <w:r>
        <w:rPr>
          <w:snapToGrid w:val="0"/>
        </w:rPr>
        <w:tab/>
        <w:t>Compliance with licence conditions</w:t>
      </w:r>
      <w:bookmarkEnd w:id="34"/>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 Gazette 12 Dec 2014 p. 4733.]</w:t>
      </w:r>
    </w:p>
    <w:p>
      <w:pPr>
        <w:pStyle w:val="Heading5"/>
        <w:rPr>
          <w:snapToGrid w:val="0"/>
        </w:rPr>
      </w:pPr>
      <w:bookmarkStart w:id="35" w:name="_Toc44414270"/>
      <w:r>
        <w:rPr>
          <w:rStyle w:val="CharSectno"/>
        </w:rPr>
        <w:t>19</w:t>
      </w:r>
      <w:r>
        <w:rPr>
          <w:snapToGrid w:val="0"/>
        </w:rPr>
        <w:t xml:space="preserve">. </w:t>
      </w:r>
      <w:r>
        <w:rPr>
          <w:snapToGrid w:val="0"/>
        </w:rPr>
        <w:tab/>
        <w:t>Other duties of licence holders</w:t>
      </w:r>
      <w:bookmarkEnd w:id="35"/>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 Gazette 12 Dec 2014 p. 4723-4.]</w:t>
      </w:r>
    </w:p>
    <w:p>
      <w:pPr>
        <w:pStyle w:val="Heading5"/>
        <w:rPr>
          <w:snapToGrid w:val="0"/>
        </w:rPr>
      </w:pPr>
      <w:bookmarkStart w:id="36" w:name="_Toc44414271"/>
      <w:r>
        <w:rPr>
          <w:rStyle w:val="CharSectno"/>
        </w:rPr>
        <w:t>20</w:t>
      </w:r>
      <w:r>
        <w:rPr>
          <w:snapToGrid w:val="0"/>
        </w:rPr>
        <w:t xml:space="preserve">. </w:t>
      </w:r>
      <w:r>
        <w:rPr>
          <w:snapToGrid w:val="0"/>
        </w:rPr>
        <w:tab/>
        <w:t>Use of overflow area</w:t>
      </w:r>
      <w:bookmarkEnd w:id="36"/>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 and</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 Gazette 12 Dec 2014 p. 4733.]</w:t>
      </w:r>
    </w:p>
    <w:p>
      <w:pPr>
        <w:pStyle w:val="Heading5"/>
        <w:rPr>
          <w:snapToGrid w:val="0"/>
        </w:rPr>
      </w:pPr>
      <w:bookmarkStart w:id="37" w:name="_Toc44414272"/>
      <w:r>
        <w:rPr>
          <w:rStyle w:val="CharSectno"/>
        </w:rPr>
        <w:t>21</w:t>
      </w:r>
      <w:r>
        <w:rPr>
          <w:snapToGrid w:val="0"/>
        </w:rPr>
        <w:t xml:space="preserve">. </w:t>
      </w:r>
      <w:r>
        <w:rPr>
          <w:snapToGrid w:val="0"/>
        </w:rPr>
        <w:tab/>
        <w:t>Licence holder to ensure sites allocated and used in accordance with licence</w:t>
      </w:r>
      <w:bookmarkEnd w:id="37"/>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 and</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 Gazette 12 Dec 2014 p. 4733.]</w:t>
      </w:r>
    </w:p>
    <w:p>
      <w:pPr>
        <w:pStyle w:val="Heading3"/>
        <w:rPr>
          <w:snapToGrid w:val="0"/>
        </w:rPr>
      </w:pPr>
      <w:bookmarkStart w:id="38" w:name="_Toc44400066"/>
      <w:bookmarkStart w:id="39" w:name="_Toc44401997"/>
      <w:bookmarkStart w:id="40" w:name="_Toc44414273"/>
      <w:r>
        <w:rPr>
          <w:rStyle w:val="CharDivNo"/>
        </w:rPr>
        <w:t>Division 2</w:t>
      </w:r>
      <w:r>
        <w:rPr>
          <w:snapToGrid w:val="0"/>
        </w:rPr>
        <w:t> — </w:t>
      </w:r>
      <w:r>
        <w:rPr>
          <w:rStyle w:val="CharDivText"/>
        </w:rPr>
        <w:t>Duties of other persons</w:t>
      </w:r>
      <w:bookmarkEnd w:id="38"/>
      <w:bookmarkEnd w:id="39"/>
      <w:bookmarkEnd w:id="40"/>
      <w:r>
        <w:rPr>
          <w:rStyle w:val="CharDivText"/>
        </w:rPr>
        <w:t xml:space="preserve"> </w:t>
      </w:r>
    </w:p>
    <w:p>
      <w:pPr>
        <w:pStyle w:val="Heading5"/>
        <w:rPr>
          <w:snapToGrid w:val="0"/>
        </w:rPr>
      </w:pPr>
      <w:bookmarkStart w:id="41" w:name="_Toc44414274"/>
      <w:r>
        <w:rPr>
          <w:rStyle w:val="CharSectno"/>
        </w:rPr>
        <w:t>22</w:t>
      </w:r>
      <w:r>
        <w:rPr>
          <w:snapToGrid w:val="0"/>
        </w:rPr>
        <w:t xml:space="preserve">. </w:t>
      </w:r>
      <w:r>
        <w:rPr>
          <w:snapToGrid w:val="0"/>
        </w:rPr>
        <w:tab/>
        <w:t>Schedules 5 and 6 — caravan owner’s duty</w:t>
      </w:r>
      <w:bookmarkEnd w:id="41"/>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 Gazette 25 Aug 2000 p. 4912; 12 Dec 2014 p. 4733.]</w:t>
      </w:r>
    </w:p>
    <w:p>
      <w:pPr>
        <w:pStyle w:val="Heading5"/>
        <w:rPr>
          <w:snapToGrid w:val="0"/>
        </w:rPr>
      </w:pPr>
      <w:bookmarkStart w:id="42" w:name="_Toc44414275"/>
      <w:r>
        <w:rPr>
          <w:rStyle w:val="CharSectno"/>
        </w:rPr>
        <w:t>23</w:t>
      </w:r>
      <w:r>
        <w:rPr>
          <w:snapToGrid w:val="0"/>
        </w:rPr>
        <w:t xml:space="preserve">. </w:t>
      </w:r>
      <w:r>
        <w:rPr>
          <w:snapToGrid w:val="0"/>
        </w:rPr>
        <w:tab/>
        <w:t>Schedule 7 — occupier’s duty</w:t>
      </w:r>
      <w:bookmarkEnd w:id="42"/>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 Gazette 25 Aug 2000 p. 4912; 12 Dec 2014 p. 4733.]</w:t>
      </w:r>
    </w:p>
    <w:p>
      <w:pPr>
        <w:pStyle w:val="Heading5"/>
        <w:rPr>
          <w:snapToGrid w:val="0"/>
        </w:rPr>
      </w:pPr>
      <w:bookmarkStart w:id="43" w:name="_Toc44414276"/>
      <w:r>
        <w:rPr>
          <w:rStyle w:val="CharSectno"/>
        </w:rPr>
        <w:t>24</w:t>
      </w:r>
      <w:r>
        <w:rPr>
          <w:snapToGrid w:val="0"/>
        </w:rPr>
        <w:t xml:space="preserve">. </w:t>
      </w:r>
      <w:r>
        <w:rPr>
          <w:snapToGrid w:val="0"/>
        </w:rPr>
        <w:tab/>
        <w:t>Occupier to maintain site</w:t>
      </w:r>
      <w:bookmarkEnd w:id="43"/>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 Gazette 12 Dec 2014 p. 4733.]</w:t>
      </w:r>
    </w:p>
    <w:p>
      <w:pPr>
        <w:pStyle w:val="Heading5"/>
        <w:rPr>
          <w:snapToGrid w:val="0"/>
        </w:rPr>
      </w:pPr>
      <w:bookmarkStart w:id="44" w:name="_Toc44414277"/>
      <w:r>
        <w:rPr>
          <w:rStyle w:val="CharSectno"/>
        </w:rPr>
        <w:t>25</w:t>
      </w:r>
      <w:r>
        <w:rPr>
          <w:snapToGrid w:val="0"/>
        </w:rPr>
        <w:t xml:space="preserve">. </w:t>
      </w:r>
      <w:r>
        <w:rPr>
          <w:snapToGrid w:val="0"/>
        </w:rPr>
        <w:tab/>
        <w:t>Control of animals</w:t>
      </w:r>
      <w:bookmarkEnd w:id="44"/>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 Gazette 12 Dec 2014 p. 4724.]</w:t>
      </w:r>
    </w:p>
    <w:p>
      <w:pPr>
        <w:pStyle w:val="Heading5"/>
        <w:rPr>
          <w:snapToGrid w:val="0"/>
        </w:rPr>
      </w:pPr>
      <w:bookmarkStart w:id="45" w:name="_Toc44414278"/>
      <w:r>
        <w:rPr>
          <w:rStyle w:val="CharSectno"/>
        </w:rPr>
        <w:t>26</w:t>
      </w:r>
      <w:r>
        <w:rPr>
          <w:snapToGrid w:val="0"/>
        </w:rPr>
        <w:t xml:space="preserve">. </w:t>
      </w:r>
      <w:r>
        <w:rPr>
          <w:snapToGrid w:val="0"/>
        </w:rPr>
        <w:tab/>
        <w:t>Speed limit</w:t>
      </w:r>
      <w:bookmarkEnd w:id="45"/>
      <w:r>
        <w:rPr>
          <w:snapToGrid w:val="0"/>
        </w:rPr>
        <w:t xml:space="preserve"> </w:t>
      </w:r>
    </w:p>
    <w:p>
      <w:pPr>
        <w:pStyle w:val="Subsection"/>
        <w:rPr>
          <w:snapToGrid w:val="0"/>
        </w:rPr>
      </w:pPr>
      <w:r>
        <w:rPr>
          <w:snapToGrid w:val="0"/>
        </w:rPr>
        <w:tab/>
      </w:r>
      <w:r>
        <w:rPr>
          <w:snapToGrid w:val="0"/>
        </w:rPr>
        <w:tab/>
        <w:t>A person is not to drive a vehicle in a facility at a speed exceeding 8 km/h.</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 Gazette 12 Dec 2014 p. 4733.]</w:t>
      </w:r>
    </w:p>
    <w:p>
      <w:pPr>
        <w:pStyle w:val="Heading5"/>
        <w:rPr>
          <w:snapToGrid w:val="0"/>
        </w:rPr>
      </w:pPr>
      <w:bookmarkStart w:id="46" w:name="_Toc44414279"/>
      <w:r>
        <w:rPr>
          <w:rStyle w:val="CharSectno"/>
        </w:rPr>
        <w:t>27</w:t>
      </w:r>
      <w:r>
        <w:rPr>
          <w:snapToGrid w:val="0"/>
        </w:rPr>
        <w:t xml:space="preserve">. </w:t>
      </w:r>
      <w:r>
        <w:rPr>
          <w:snapToGrid w:val="0"/>
        </w:rPr>
        <w:tab/>
        <w:t>Washing machines</w:t>
      </w:r>
      <w:bookmarkEnd w:id="46"/>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 Gazette 12 Dec 2014 p. 4733.]</w:t>
      </w:r>
    </w:p>
    <w:p>
      <w:pPr>
        <w:pStyle w:val="Heading3"/>
      </w:pPr>
      <w:bookmarkStart w:id="47" w:name="_Toc44400073"/>
      <w:bookmarkStart w:id="48" w:name="_Toc44402004"/>
      <w:bookmarkStart w:id="49" w:name="_Toc44414280"/>
      <w:r>
        <w:rPr>
          <w:rStyle w:val="CharDivNo"/>
        </w:rPr>
        <w:t>Division 3 </w:t>
      </w:r>
      <w:r>
        <w:t>— </w:t>
      </w:r>
      <w:r>
        <w:rPr>
          <w:rStyle w:val="CharDivText"/>
        </w:rPr>
        <w:t>Exemptions from some provisions of Schedules 6 and 7</w:t>
      </w:r>
      <w:bookmarkEnd w:id="47"/>
      <w:bookmarkEnd w:id="48"/>
      <w:bookmarkEnd w:id="49"/>
    </w:p>
    <w:p>
      <w:pPr>
        <w:pStyle w:val="Footnoteheading"/>
        <w:ind w:left="890"/>
      </w:pPr>
      <w:r>
        <w:tab/>
        <w:t>[Heading inserted: Gazette 25 Aug 2000 p. 4912.]</w:t>
      </w:r>
    </w:p>
    <w:p>
      <w:pPr>
        <w:pStyle w:val="Heading5"/>
      </w:pPr>
      <w:bookmarkStart w:id="50" w:name="_Toc44414281"/>
      <w:r>
        <w:rPr>
          <w:rStyle w:val="CharSectno"/>
        </w:rPr>
        <w:t>27A</w:t>
      </w:r>
      <w:r>
        <w:t>.</w:t>
      </w:r>
      <w:r>
        <w:tab/>
        <w:t>Exemptions from Schedule 6</w:t>
      </w:r>
      <w:bookmarkEnd w:id="50"/>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pPr>
      <w:r>
        <w:tab/>
        <w:t>(b)</w:t>
      </w:r>
      <w:r>
        <w:tab/>
        <w:t xml:space="preserve">immediately after the commencement of the </w:t>
      </w:r>
      <w:r>
        <w:rPr>
          <w:i/>
        </w:rPr>
        <w:t>Caravan Parks and Camping Grounds Amendment Regulations 2000</w:t>
      </w:r>
      <w:r>
        <w:t>,</w:t>
      </w:r>
    </w:p>
    <w:p>
      <w:pPr>
        <w:pStyle w:val="Subsection"/>
        <w:spacing w:before="120"/>
        <w:ind w:left="890" w:hanging="890"/>
      </w:pPr>
      <w:r>
        <w:tab/>
      </w:r>
      <w:r>
        <w:tab/>
        <w:t>regulations 16(b) and 22(b) do not apply in respect of that caravan for as long as the caravan remains at the facility it was located at on 1 July 1997.</w:t>
      </w:r>
    </w:p>
    <w:p>
      <w:pPr>
        <w:pStyle w:val="MiscellaneousHeading"/>
        <w:spacing w:before="120"/>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1(2)</w:t>
            </w:r>
          </w:p>
        </w:tc>
        <w:tc>
          <w:tcPr>
            <w:tcW w:w="1418" w:type="dxa"/>
          </w:tcPr>
          <w:p>
            <w:pPr>
              <w:pStyle w:val="Table"/>
              <w:spacing w:before="20"/>
            </w:pPr>
            <w:r>
              <w:t>cl. 3(1)</w:t>
            </w:r>
          </w:p>
        </w:tc>
      </w:tr>
      <w:tr>
        <w:tc>
          <w:tcPr>
            <w:tcW w:w="2126" w:type="dxa"/>
          </w:tcPr>
          <w:p>
            <w:pPr>
              <w:pStyle w:val="Table"/>
              <w:spacing w:before="20"/>
            </w:pPr>
            <w:r>
              <w:t>cl. 1(3)</w:t>
            </w:r>
          </w:p>
        </w:tc>
        <w:tc>
          <w:tcPr>
            <w:tcW w:w="1418" w:type="dxa"/>
          </w:tcPr>
          <w:p>
            <w:pPr>
              <w:pStyle w:val="Table"/>
              <w:spacing w:before="20"/>
            </w:pPr>
            <w:r>
              <w:t>cl. 4(c)</w:t>
            </w:r>
          </w:p>
        </w:tc>
      </w:tr>
      <w:tr>
        <w:tc>
          <w:tcPr>
            <w:tcW w:w="2126" w:type="dxa"/>
          </w:tcPr>
          <w:p>
            <w:pPr>
              <w:pStyle w:val="Table"/>
              <w:spacing w:before="20"/>
            </w:pPr>
            <w:r>
              <w:t>cl. 2</w:t>
            </w:r>
          </w:p>
        </w:tc>
        <w:tc>
          <w:tcPr>
            <w:tcW w:w="1418" w:type="dxa"/>
          </w:tcPr>
          <w:p>
            <w:pPr>
              <w:pStyle w:val="Table"/>
              <w:spacing w:before="20"/>
            </w:pPr>
          </w:p>
        </w:tc>
      </w:tr>
    </w:tbl>
    <w:p>
      <w:pPr>
        <w:pStyle w:val="Footnotesection"/>
      </w:pPr>
      <w:r>
        <w:tab/>
        <w:t>[Regulation 27A inserted: Gazette 25 Aug 2000 p. 4912.]</w:t>
      </w:r>
    </w:p>
    <w:p>
      <w:pPr>
        <w:pStyle w:val="Heading5"/>
        <w:spacing w:before="180"/>
      </w:pPr>
      <w:bookmarkStart w:id="51" w:name="_Toc44414282"/>
      <w:r>
        <w:rPr>
          <w:rStyle w:val="CharSectno"/>
        </w:rPr>
        <w:t>27B</w:t>
      </w:r>
      <w:r>
        <w:t>.</w:t>
      </w:r>
      <w:r>
        <w:tab/>
        <w:t>Exemptions from Schedule 7</w:t>
      </w:r>
      <w:bookmarkEnd w:id="51"/>
    </w:p>
    <w:p>
      <w:pPr>
        <w:pStyle w:val="Subsection"/>
        <w:spacing w:before="120"/>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t>,</w:t>
      </w:r>
    </w:p>
    <w:p>
      <w:pPr>
        <w:pStyle w:val="Subsection"/>
        <w:spacing w:before="120"/>
      </w:pPr>
      <w:r>
        <w:tab/>
      </w:r>
      <w:r>
        <w:tab/>
        <w:t>regulations 17 and 23 do not apply in respect of that facility or site.</w:t>
      </w:r>
    </w:p>
    <w:p>
      <w:pPr>
        <w:pStyle w:val="MiscellaneousHeading"/>
        <w:spacing w:before="80"/>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6(1)</w:t>
            </w:r>
          </w:p>
        </w:tc>
        <w:tc>
          <w:tcPr>
            <w:tcW w:w="1418" w:type="dxa"/>
          </w:tcPr>
          <w:p>
            <w:pPr>
              <w:pStyle w:val="Table"/>
              <w:spacing w:before="20"/>
            </w:pPr>
            <w:r>
              <w:t>cl. 27(3)</w:t>
            </w:r>
          </w:p>
        </w:tc>
      </w:tr>
      <w:tr>
        <w:tc>
          <w:tcPr>
            <w:tcW w:w="2126" w:type="dxa"/>
          </w:tcPr>
          <w:p>
            <w:pPr>
              <w:pStyle w:val="Table"/>
              <w:spacing w:before="20"/>
            </w:pPr>
            <w:r>
              <w:t>cl. 12(a)</w:t>
            </w:r>
          </w:p>
        </w:tc>
        <w:tc>
          <w:tcPr>
            <w:tcW w:w="1418" w:type="dxa"/>
          </w:tcPr>
          <w:p>
            <w:pPr>
              <w:pStyle w:val="Table"/>
              <w:spacing w:before="20"/>
            </w:pPr>
            <w:r>
              <w:t>cl. 28(1)(d)</w:t>
            </w:r>
          </w:p>
        </w:tc>
      </w:tr>
      <w:tr>
        <w:tc>
          <w:tcPr>
            <w:tcW w:w="2126" w:type="dxa"/>
          </w:tcPr>
          <w:p>
            <w:pPr>
              <w:pStyle w:val="Table"/>
              <w:spacing w:before="20"/>
            </w:pPr>
            <w:r>
              <w:t>cl. 12(b)</w:t>
            </w:r>
          </w:p>
        </w:tc>
        <w:tc>
          <w:tcPr>
            <w:tcW w:w="1418" w:type="dxa"/>
          </w:tcPr>
          <w:p>
            <w:pPr>
              <w:pStyle w:val="Table"/>
              <w:spacing w:before="20"/>
            </w:pPr>
            <w:r>
              <w:t>cl. 30(5)</w:t>
            </w:r>
          </w:p>
        </w:tc>
      </w:tr>
      <w:tr>
        <w:tc>
          <w:tcPr>
            <w:tcW w:w="2126" w:type="dxa"/>
          </w:tcPr>
          <w:p>
            <w:pPr>
              <w:pStyle w:val="Table"/>
              <w:spacing w:before="20"/>
            </w:pPr>
            <w:r>
              <w:t>cl. 13(1)</w:t>
            </w:r>
          </w:p>
        </w:tc>
        <w:tc>
          <w:tcPr>
            <w:tcW w:w="1418" w:type="dxa"/>
          </w:tcPr>
          <w:p>
            <w:pPr>
              <w:pStyle w:val="Table"/>
              <w:spacing w:before="20"/>
            </w:pPr>
            <w:r>
              <w:t>cl. 31</w:t>
            </w:r>
          </w:p>
        </w:tc>
      </w:tr>
      <w:tr>
        <w:tc>
          <w:tcPr>
            <w:tcW w:w="2126" w:type="dxa"/>
          </w:tcPr>
          <w:p>
            <w:pPr>
              <w:pStyle w:val="Table"/>
              <w:spacing w:before="20"/>
            </w:pPr>
            <w:r>
              <w:t>cl. 14(1)</w:t>
            </w:r>
          </w:p>
        </w:tc>
        <w:tc>
          <w:tcPr>
            <w:tcW w:w="1418" w:type="dxa"/>
          </w:tcPr>
          <w:p>
            <w:pPr>
              <w:pStyle w:val="Table"/>
              <w:spacing w:before="20"/>
            </w:pPr>
            <w:r>
              <w:t>cl. 37(2)</w:t>
            </w:r>
          </w:p>
        </w:tc>
      </w:tr>
      <w:tr>
        <w:tc>
          <w:tcPr>
            <w:tcW w:w="2126" w:type="dxa"/>
          </w:tcPr>
          <w:p>
            <w:pPr>
              <w:pStyle w:val="Table"/>
              <w:spacing w:before="20"/>
            </w:pPr>
            <w:r>
              <w:t>cl. 17</w:t>
            </w:r>
          </w:p>
        </w:tc>
        <w:tc>
          <w:tcPr>
            <w:tcW w:w="1418" w:type="dxa"/>
          </w:tcPr>
          <w:p>
            <w:pPr>
              <w:pStyle w:val="Table"/>
              <w:spacing w:before="20"/>
            </w:pPr>
            <w:r>
              <w:t>cl. 42</w:t>
            </w:r>
          </w:p>
        </w:tc>
      </w:tr>
      <w:tr>
        <w:tc>
          <w:tcPr>
            <w:tcW w:w="2126" w:type="dxa"/>
          </w:tcPr>
          <w:p>
            <w:pPr>
              <w:pStyle w:val="Table"/>
              <w:spacing w:before="20"/>
            </w:pPr>
            <w:r>
              <w:t>cl. 18</w:t>
            </w:r>
          </w:p>
        </w:tc>
        <w:tc>
          <w:tcPr>
            <w:tcW w:w="1418" w:type="dxa"/>
          </w:tcPr>
          <w:p>
            <w:pPr>
              <w:pStyle w:val="Table"/>
              <w:spacing w:before="20"/>
            </w:pPr>
            <w:r>
              <w:t>cl. 46(1)(b)</w:t>
            </w:r>
          </w:p>
        </w:tc>
      </w:tr>
      <w:tr>
        <w:tc>
          <w:tcPr>
            <w:tcW w:w="2126" w:type="dxa"/>
          </w:tcPr>
          <w:p>
            <w:pPr>
              <w:pStyle w:val="Table"/>
              <w:spacing w:before="20"/>
            </w:pPr>
            <w:r>
              <w:t>cl. 24(b)</w:t>
            </w:r>
          </w:p>
        </w:tc>
        <w:tc>
          <w:tcPr>
            <w:tcW w:w="1418" w:type="dxa"/>
          </w:tcPr>
          <w:p>
            <w:pPr>
              <w:pStyle w:val="Table"/>
              <w:spacing w:before="20"/>
            </w:pPr>
            <w:r>
              <w:t>cl. 47</w:t>
            </w:r>
          </w:p>
        </w:tc>
      </w:tr>
      <w:tr>
        <w:tc>
          <w:tcPr>
            <w:tcW w:w="2126" w:type="dxa"/>
          </w:tcPr>
          <w:p>
            <w:pPr>
              <w:pStyle w:val="Table"/>
              <w:spacing w:before="20"/>
            </w:pPr>
            <w:r>
              <w:t>cl. 25(1)(e)</w:t>
            </w:r>
          </w:p>
        </w:tc>
        <w:tc>
          <w:tcPr>
            <w:tcW w:w="1418" w:type="dxa"/>
          </w:tcPr>
          <w:p>
            <w:pPr>
              <w:pStyle w:val="Table"/>
              <w:spacing w:before="20"/>
            </w:pPr>
            <w:r>
              <w:t>cl. 50</w:t>
            </w:r>
          </w:p>
        </w:tc>
      </w:tr>
      <w:tr>
        <w:tc>
          <w:tcPr>
            <w:tcW w:w="2126" w:type="dxa"/>
          </w:tcPr>
          <w:p>
            <w:pPr>
              <w:pStyle w:val="Table"/>
              <w:spacing w:before="20"/>
            </w:pPr>
            <w:r>
              <w:t>cl. 25(2)</w:t>
            </w:r>
          </w:p>
        </w:tc>
        <w:tc>
          <w:tcPr>
            <w:tcW w:w="1418" w:type="dxa"/>
          </w:tcPr>
          <w:p>
            <w:pPr>
              <w:pStyle w:val="Table"/>
              <w:spacing w:before="20"/>
            </w:pPr>
            <w:r>
              <w:t>cl. 51</w:t>
            </w:r>
          </w:p>
        </w:tc>
      </w:tr>
      <w:tr>
        <w:tc>
          <w:tcPr>
            <w:tcW w:w="2126" w:type="dxa"/>
          </w:tcPr>
          <w:p>
            <w:pPr>
              <w:pStyle w:val="Table"/>
              <w:spacing w:before="20"/>
            </w:pPr>
            <w:r>
              <w:t>cl. 26(4)</w:t>
            </w:r>
          </w:p>
        </w:tc>
        <w:tc>
          <w:tcPr>
            <w:tcW w:w="1418" w:type="dxa"/>
          </w:tcPr>
          <w:p>
            <w:pPr>
              <w:pStyle w:val="Table"/>
              <w:spacing w:before="20"/>
            </w:pPr>
          </w:p>
        </w:tc>
      </w:tr>
    </w:tbl>
    <w:p>
      <w:pPr>
        <w:pStyle w:val="Footnotesection"/>
        <w:spacing w:before="60"/>
        <w:ind w:left="890" w:hanging="890"/>
      </w:pPr>
      <w:r>
        <w:tab/>
        <w:t>[Regulation 27B inserted: Gazette 25 Aug 2000 p. 4912</w:t>
      </w:r>
      <w:r>
        <w:noBreakHyphen/>
        <w:t>13.]</w:t>
      </w:r>
    </w:p>
    <w:p>
      <w:pPr>
        <w:pStyle w:val="Heading2"/>
      </w:pPr>
      <w:bookmarkStart w:id="52" w:name="_Toc44400076"/>
      <w:bookmarkStart w:id="53" w:name="_Toc44402007"/>
      <w:bookmarkStart w:id="54" w:name="_Toc44414283"/>
      <w:r>
        <w:rPr>
          <w:rStyle w:val="CharPartNo"/>
        </w:rPr>
        <w:t>Part 4</w:t>
      </w:r>
      <w:r>
        <w:t> — </w:t>
      </w:r>
      <w:r>
        <w:rPr>
          <w:rStyle w:val="CharPartText"/>
        </w:rPr>
        <w:t>Park homes, annexes, carports, pergolas and storage sheds</w:t>
      </w:r>
      <w:bookmarkEnd w:id="52"/>
      <w:bookmarkEnd w:id="53"/>
      <w:bookmarkEnd w:id="54"/>
      <w:r>
        <w:rPr>
          <w:rStyle w:val="CharPartText"/>
        </w:rPr>
        <w:t xml:space="preserve"> </w:t>
      </w:r>
    </w:p>
    <w:p>
      <w:pPr>
        <w:pStyle w:val="Heading3"/>
        <w:spacing w:before="200"/>
        <w:rPr>
          <w:snapToGrid w:val="0"/>
        </w:rPr>
      </w:pPr>
      <w:bookmarkStart w:id="55" w:name="_Toc44400077"/>
      <w:bookmarkStart w:id="56" w:name="_Toc44402008"/>
      <w:bookmarkStart w:id="57" w:name="_Toc44414284"/>
      <w:r>
        <w:rPr>
          <w:rStyle w:val="CharDivNo"/>
        </w:rPr>
        <w:t>Division 1</w:t>
      </w:r>
      <w:r>
        <w:rPr>
          <w:snapToGrid w:val="0"/>
        </w:rPr>
        <w:t> — </w:t>
      </w:r>
      <w:r>
        <w:rPr>
          <w:rStyle w:val="CharDivText"/>
        </w:rPr>
        <w:t>Certain construction prohibited at facility</w:t>
      </w:r>
      <w:bookmarkEnd w:id="55"/>
      <w:bookmarkEnd w:id="56"/>
      <w:bookmarkEnd w:id="57"/>
      <w:r>
        <w:rPr>
          <w:rStyle w:val="CharDivText"/>
        </w:rPr>
        <w:t xml:space="preserve"> </w:t>
      </w:r>
    </w:p>
    <w:p>
      <w:pPr>
        <w:pStyle w:val="Heading5"/>
        <w:spacing w:before="160"/>
        <w:rPr>
          <w:snapToGrid w:val="0"/>
        </w:rPr>
      </w:pPr>
      <w:bookmarkStart w:id="58" w:name="_Toc44414285"/>
      <w:r>
        <w:rPr>
          <w:rStyle w:val="CharSectno"/>
        </w:rPr>
        <w:t>28</w:t>
      </w:r>
      <w:r>
        <w:rPr>
          <w:snapToGrid w:val="0"/>
        </w:rPr>
        <w:t xml:space="preserve">. </w:t>
      </w:r>
      <w:r>
        <w:rPr>
          <w:snapToGrid w:val="0"/>
        </w:rPr>
        <w:tab/>
        <w:t>Park home not to be constructed in caravan park or camping ground</w:t>
      </w:r>
      <w:bookmarkEnd w:id="58"/>
      <w:r>
        <w:rPr>
          <w:snapToGrid w:val="0"/>
        </w:rPr>
        <w:t xml:space="preserve"> </w:t>
      </w:r>
    </w:p>
    <w:p>
      <w:pPr>
        <w:pStyle w:val="Subsection"/>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 Gazette 12 Dec 2014 p. 4733.]</w:t>
      </w:r>
    </w:p>
    <w:p>
      <w:pPr>
        <w:pStyle w:val="Heading5"/>
        <w:spacing w:before="140"/>
        <w:rPr>
          <w:snapToGrid w:val="0"/>
        </w:rPr>
      </w:pPr>
      <w:bookmarkStart w:id="59" w:name="_Toc44414286"/>
      <w:r>
        <w:rPr>
          <w:rStyle w:val="CharSectno"/>
        </w:rPr>
        <w:t>29</w:t>
      </w:r>
      <w:r>
        <w:rPr>
          <w:snapToGrid w:val="0"/>
        </w:rPr>
        <w:t xml:space="preserve">. </w:t>
      </w:r>
      <w:r>
        <w:rPr>
          <w:snapToGrid w:val="0"/>
        </w:rPr>
        <w:tab/>
        <w:t>Annexe, carport, pergola or storage shed may be constructed on site</w:t>
      </w:r>
      <w:bookmarkEnd w:id="59"/>
      <w:r>
        <w:rPr>
          <w:snapToGrid w:val="0"/>
        </w:rPr>
        <w:t xml:space="preserve"> </w:t>
      </w:r>
    </w:p>
    <w:p>
      <w:pPr>
        <w:pStyle w:val="Subsection"/>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 Gazette 25 Aug 2000 p. 4913; 12 Dec 2014 p. 4733.]</w:t>
      </w:r>
    </w:p>
    <w:p>
      <w:pPr>
        <w:pStyle w:val="Heading3"/>
        <w:spacing w:before="160"/>
        <w:rPr>
          <w:snapToGrid w:val="0"/>
        </w:rPr>
      </w:pPr>
      <w:bookmarkStart w:id="60" w:name="_Toc44400080"/>
      <w:bookmarkStart w:id="61" w:name="_Toc44402011"/>
      <w:bookmarkStart w:id="62" w:name="_Toc44414287"/>
      <w:r>
        <w:rPr>
          <w:rStyle w:val="CharDivNo"/>
        </w:rPr>
        <w:t>Division 2</w:t>
      </w:r>
      <w:r>
        <w:rPr>
          <w:snapToGrid w:val="0"/>
        </w:rPr>
        <w:t> — </w:t>
      </w:r>
      <w:r>
        <w:rPr>
          <w:rStyle w:val="CharDivText"/>
        </w:rPr>
        <w:t>Park homes and annexes</w:t>
      </w:r>
      <w:bookmarkEnd w:id="60"/>
      <w:bookmarkEnd w:id="61"/>
      <w:bookmarkEnd w:id="62"/>
      <w:r>
        <w:rPr>
          <w:rStyle w:val="CharDivText"/>
        </w:rPr>
        <w:t xml:space="preserve"> </w:t>
      </w:r>
    </w:p>
    <w:p>
      <w:pPr>
        <w:pStyle w:val="Heading5"/>
        <w:spacing w:before="160"/>
        <w:rPr>
          <w:snapToGrid w:val="0"/>
        </w:rPr>
      </w:pPr>
      <w:bookmarkStart w:id="63" w:name="_Toc44414288"/>
      <w:r>
        <w:rPr>
          <w:rStyle w:val="CharSectno"/>
        </w:rPr>
        <w:t>30</w:t>
      </w:r>
      <w:r>
        <w:rPr>
          <w:snapToGrid w:val="0"/>
        </w:rPr>
        <w:t xml:space="preserve">. </w:t>
      </w:r>
      <w:r>
        <w:rPr>
          <w:snapToGrid w:val="0"/>
        </w:rPr>
        <w:tab/>
        <w:t>Park homes</w:t>
      </w:r>
      <w:bookmarkEnd w:id="63"/>
      <w:r>
        <w:rPr>
          <w:snapToGrid w:val="0"/>
        </w:rPr>
        <w:t xml:space="preserve"> </w:t>
      </w:r>
    </w:p>
    <w:p>
      <w:pPr>
        <w:pStyle w:val="Subsection"/>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 Gazette 25 Aug 2000 p. 4913; 12 Dec 2014 p. 4724.]</w:t>
      </w:r>
    </w:p>
    <w:p>
      <w:pPr>
        <w:pStyle w:val="Heading5"/>
        <w:rPr>
          <w:snapToGrid w:val="0"/>
        </w:rPr>
      </w:pPr>
      <w:bookmarkStart w:id="64" w:name="_Toc44414289"/>
      <w:r>
        <w:rPr>
          <w:rStyle w:val="CharSectno"/>
        </w:rPr>
        <w:t>31</w:t>
      </w:r>
      <w:r>
        <w:rPr>
          <w:snapToGrid w:val="0"/>
        </w:rPr>
        <w:t xml:space="preserve">. </w:t>
      </w:r>
      <w:r>
        <w:rPr>
          <w:snapToGrid w:val="0"/>
        </w:rPr>
        <w:tab/>
        <w:t>Approval of local government for park home</w:t>
      </w:r>
      <w:bookmarkEnd w:id="64"/>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Gazette 25 Aug 2000 p. 4913.]</w:t>
      </w:r>
    </w:p>
    <w:p>
      <w:pPr>
        <w:pStyle w:val="Heading5"/>
        <w:rPr>
          <w:snapToGrid w:val="0"/>
        </w:rPr>
      </w:pPr>
      <w:bookmarkStart w:id="65" w:name="_Toc44414290"/>
      <w:r>
        <w:rPr>
          <w:rStyle w:val="CharSectno"/>
        </w:rPr>
        <w:t>32</w:t>
      </w:r>
      <w:r>
        <w:rPr>
          <w:snapToGrid w:val="0"/>
        </w:rPr>
        <w:t xml:space="preserve">. </w:t>
      </w:r>
      <w:r>
        <w:rPr>
          <w:snapToGrid w:val="0"/>
        </w:rPr>
        <w:tab/>
        <w:t>Park home certificates</w:t>
      </w:r>
      <w:bookmarkEnd w:id="65"/>
      <w:r>
        <w:rPr>
          <w:snapToGrid w:val="0"/>
        </w:rPr>
        <w:t xml:space="preserve"> </w:t>
      </w:r>
    </w:p>
    <w:p>
      <w:pPr>
        <w:pStyle w:val="Subsection"/>
        <w:keepNext/>
        <w:rPr>
          <w:snapToGrid w:val="0"/>
        </w:rPr>
      </w:pPr>
      <w:r>
        <w:rPr>
          <w:snapToGrid w:val="0"/>
        </w:rPr>
        <w:tab/>
        <w:t>(1)</w:t>
      </w:r>
      <w:r>
        <w:rPr>
          <w:snapToGrid w:val="0"/>
        </w:rPr>
        <w:tab/>
        <w:t>A person who constructs a park home is to provide to the purchaser of the park home a certificate signed and dated by a builder</w:t>
      </w:r>
      <w:r>
        <w:rPr>
          <w:snapToGrid w:val="0"/>
          <w:vertAlign w:val="superscript"/>
        </w:rPr>
        <w:t xml:space="preserve"> </w:t>
      </w:r>
      <w:r>
        <w:rPr>
          <w:snapToGrid w:val="0"/>
        </w:rPr>
        <w:t>stating — </w:t>
      </w:r>
    </w:p>
    <w:p>
      <w:pPr>
        <w:pStyle w:val="Indenta"/>
        <w:rPr>
          <w:snapToGrid w:val="0"/>
        </w:rPr>
      </w:pPr>
      <w:r>
        <w:rPr>
          <w:snapToGrid w:val="0"/>
        </w:rPr>
        <w:tab/>
        <w:t>(a)</w:t>
      </w:r>
      <w:r>
        <w:rPr>
          <w:snapToGrid w:val="0"/>
        </w:rPr>
        <w:tab/>
        <w:t>that the builder has built, or supervised the building of, the park home; and</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 xml:space="preserve">A builder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 and</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keepNext/>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 and</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a certificate signed and dated by a builder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 and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spacing w:before="120"/>
        <w:rPr>
          <w:snapToGrid w:val="0"/>
        </w:rPr>
      </w:pPr>
      <w:r>
        <w:rPr>
          <w:snapToGrid w:val="0"/>
        </w:rPr>
        <w:tab/>
        <w:t>(5)</w:t>
      </w:r>
      <w:r>
        <w:rPr>
          <w:snapToGrid w:val="0"/>
        </w:rPr>
        <w:tab/>
        <w:t>In this regulation — </w:t>
      </w:r>
    </w:p>
    <w:p>
      <w:pPr>
        <w:pStyle w:val="Defstart"/>
      </w:pPr>
      <w:r>
        <w:tab/>
      </w:r>
      <w:r>
        <w:rPr>
          <w:rStyle w:val="CharDefText"/>
        </w:rPr>
        <w:t>person who constructs a park home</w:t>
      </w:r>
      <w:r>
        <w:t xml:space="preserve"> means the business, body corporate or natural person or persons who or which is responsible for construction of the park home.</w:t>
      </w:r>
    </w:p>
    <w:p>
      <w:pPr>
        <w:pStyle w:val="Subsection"/>
        <w:spacing w:before="120"/>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spacing w:before="120"/>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keepNext/>
      </w:pPr>
      <w:r>
        <w:tab/>
        <w:t>(b)</w:t>
      </w:r>
      <w:r>
        <w:tab/>
        <w:t>the licence holder of the facility on to which the park home is to be brought,</w:t>
      </w:r>
    </w:p>
    <w:p>
      <w:pPr>
        <w:pStyle w:val="Subsection"/>
        <w:spacing w:before="120"/>
      </w:pPr>
      <w:r>
        <w:tab/>
      </w:r>
      <w:r>
        <w:tab/>
        <w:t>have approved otherwise in writing.</w:t>
      </w:r>
    </w:p>
    <w:p>
      <w:pPr>
        <w:pStyle w:val="Penstart"/>
      </w:pPr>
      <w:r>
        <w:tab/>
        <w:t>Penalty for an offence under this subregulation: a fine of $4 000.</w:t>
      </w:r>
    </w:p>
    <w:p>
      <w:pPr>
        <w:pStyle w:val="Footnotesection"/>
        <w:spacing w:before="80"/>
        <w:ind w:left="890" w:hanging="890"/>
      </w:pPr>
      <w:r>
        <w:tab/>
        <w:t>[Regulation 32 amended: Gazette 25 Aug 2000 p. 4914; 12 Dec 2014 p. 4725 and 4733; SL 2020/12 r. 5.]</w:t>
      </w:r>
    </w:p>
    <w:p>
      <w:pPr>
        <w:pStyle w:val="Heading5"/>
        <w:rPr>
          <w:snapToGrid w:val="0"/>
        </w:rPr>
      </w:pPr>
      <w:bookmarkStart w:id="66" w:name="_Toc44414291"/>
      <w:r>
        <w:rPr>
          <w:rStyle w:val="CharSectno"/>
        </w:rPr>
        <w:t>33</w:t>
      </w:r>
      <w:r>
        <w:rPr>
          <w:snapToGrid w:val="0"/>
        </w:rPr>
        <w:t xml:space="preserve">. </w:t>
      </w:r>
      <w:r>
        <w:rPr>
          <w:snapToGrid w:val="0"/>
        </w:rPr>
        <w:tab/>
        <w:t>Park homes to be in accordance with Building Code</w:t>
      </w:r>
      <w:bookmarkEnd w:id="66"/>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Gazette 25 Aug 2000 p. 4915; 12 Dec 2014 p. 4733.]</w:t>
      </w:r>
    </w:p>
    <w:p>
      <w:pPr>
        <w:pStyle w:val="Heading5"/>
        <w:rPr>
          <w:snapToGrid w:val="0"/>
        </w:rPr>
      </w:pPr>
      <w:bookmarkStart w:id="67" w:name="_Toc44414292"/>
      <w:r>
        <w:rPr>
          <w:rStyle w:val="CharSectno"/>
        </w:rPr>
        <w:t>34</w:t>
      </w:r>
      <w:r>
        <w:rPr>
          <w:snapToGrid w:val="0"/>
        </w:rPr>
        <w:t xml:space="preserve">. </w:t>
      </w:r>
      <w:r>
        <w:rPr>
          <w:snapToGrid w:val="0"/>
        </w:rPr>
        <w:tab/>
        <w:t>Annexes</w:t>
      </w:r>
      <w:bookmarkEnd w:id="67"/>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spacing w:before="180"/>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spacing w:before="180"/>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spacing w:before="180"/>
      </w:pPr>
      <w:r>
        <w:tab/>
        <w:t>(5)</w:t>
      </w:r>
      <w:r>
        <w:tab/>
        <w:t>Subregulation (4) does not apply to the attachment of a rigid annexe after 1 January 2015 that is done in accordance with approval given before that day.</w:t>
      </w:r>
    </w:p>
    <w:p>
      <w:pPr>
        <w:pStyle w:val="Footnotesection"/>
        <w:ind w:left="890" w:hanging="890"/>
      </w:pPr>
      <w:r>
        <w:tab/>
        <w:t>[Regulation 34 amended: Gazette 12 Dec 2014 p. 4725 and 4733.]</w:t>
      </w:r>
    </w:p>
    <w:p>
      <w:pPr>
        <w:pStyle w:val="Heading5"/>
        <w:spacing w:before="240"/>
        <w:rPr>
          <w:snapToGrid w:val="0"/>
        </w:rPr>
      </w:pPr>
      <w:bookmarkStart w:id="68" w:name="_Toc44414293"/>
      <w:r>
        <w:rPr>
          <w:rStyle w:val="CharSectno"/>
        </w:rPr>
        <w:t>35</w:t>
      </w:r>
      <w:r>
        <w:rPr>
          <w:snapToGrid w:val="0"/>
        </w:rPr>
        <w:t xml:space="preserve">. </w:t>
      </w:r>
      <w:r>
        <w:rPr>
          <w:snapToGrid w:val="0"/>
        </w:rPr>
        <w:tab/>
        <w:t>Approval of local government for annexe</w:t>
      </w:r>
      <w:bookmarkEnd w:id="68"/>
      <w:r>
        <w:rPr>
          <w:snapToGrid w:val="0"/>
        </w:rPr>
        <w:t xml:space="preserve"> </w:t>
      </w:r>
    </w:p>
    <w:p>
      <w:pPr>
        <w:pStyle w:val="Subsection"/>
        <w:spacing w:before="1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keepNext/>
        <w:spacing w:before="1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Gazette 25 Aug 2000 p. 4915.]</w:t>
      </w:r>
    </w:p>
    <w:p>
      <w:pPr>
        <w:pStyle w:val="Heading5"/>
        <w:spacing w:before="240"/>
        <w:rPr>
          <w:snapToGrid w:val="0"/>
        </w:rPr>
      </w:pPr>
      <w:bookmarkStart w:id="69" w:name="_Toc44414294"/>
      <w:r>
        <w:rPr>
          <w:rStyle w:val="CharSectno"/>
        </w:rPr>
        <w:t>36</w:t>
      </w:r>
      <w:r>
        <w:rPr>
          <w:snapToGrid w:val="0"/>
        </w:rPr>
        <w:t xml:space="preserve">. </w:t>
      </w:r>
      <w:r>
        <w:rPr>
          <w:snapToGrid w:val="0"/>
        </w:rPr>
        <w:tab/>
        <w:t>Annexe certificate</w:t>
      </w:r>
      <w:bookmarkEnd w:id="69"/>
      <w:r>
        <w:rPr>
          <w:snapToGrid w:val="0"/>
        </w:rPr>
        <w:t xml:space="preserve"> </w:t>
      </w:r>
    </w:p>
    <w:p>
      <w:pPr>
        <w:pStyle w:val="Subsection"/>
        <w:spacing w:before="180"/>
        <w:rPr>
          <w:snapToGrid w:val="0"/>
        </w:rPr>
      </w:pPr>
      <w:r>
        <w:rPr>
          <w:snapToGrid w:val="0"/>
        </w:rPr>
        <w:tab/>
        <w:t>(1)</w:t>
      </w:r>
      <w:r>
        <w:rPr>
          <w:snapToGrid w:val="0"/>
        </w:rPr>
        <w:tab/>
        <w:t>A person who constructs a rigid annexe where the amount paid for the annexe exceeds $12 000 is to provide to the purchaser of the annexe a certificate signed and dated by a builder stating — </w:t>
      </w:r>
    </w:p>
    <w:p>
      <w:pPr>
        <w:pStyle w:val="Indenta"/>
        <w:rPr>
          <w:snapToGrid w:val="0"/>
        </w:rPr>
      </w:pPr>
      <w:r>
        <w:rPr>
          <w:snapToGrid w:val="0"/>
        </w:rPr>
        <w:tab/>
        <w:t>(a)</w:t>
      </w:r>
      <w:r>
        <w:rPr>
          <w:snapToGrid w:val="0"/>
        </w:rPr>
        <w:tab/>
        <w:t>that the builder has built, or supervised the building of, the annexe; and</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spacing w:before="100"/>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spacing w:before="100"/>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spacing w:before="120"/>
        <w:rPr>
          <w:snapToGrid w:val="0"/>
        </w:rPr>
      </w:pPr>
      <w:r>
        <w:rPr>
          <w:snapToGrid w:val="0"/>
        </w:rPr>
        <w:tab/>
        <w:t>Penalty:</w:t>
      </w:r>
      <w:r>
        <w:t xml:space="preserve"> a fine of</w:t>
      </w:r>
      <w:r>
        <w:rPr>
          <w:snapToGrid w:val="0"/>
        </w:rPr>
        <w:t xml:space="preserve"> $2 000.</w:t>
      </w:r>
    </w:p>
    <w:p>
      <w:pPr>
        <w:pStyle w:val="Subsection"/>
        <w:spacing w:before="180"/>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a certificate signed and dated by a builder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rPr>
        <w:t>person who constructs an annexe</w:t>
      </w:r>
      <w:r>
        <w:t xml:space="preserve"> means the business, body corporate or natural person or persons who or which is responsible for construction of the annexe.</w:t>
      </w:r>
    </w:p>
    <w:p>
      <w:pPr>
        <w:pStyle w:val="Subsection"/>
        <w:keepNext/>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 Gazette 25 Aug 2000 p. 4915; 12 Dec 2014 p. 4725 and 4733; SL 2020/12 r. 6.]</w:t>
      </w:r>
    </w:p>
    <w:p>
      <w:pPr>
        <w:pStyle w:val="Heading5"/>
        <w:rPr>
          <w:snapToGrid w:val="0"/>
        </w:rPr>
      </w:pPr>
      <w:bookmarkStart w:id="70" w:name="_Toc44414295"/>
      <w:r>
        <w:rPr>
          <w:rStyle w:val="CharSectno"/>
        </w:rPr>
        <w:t>37</w:t>
      </w:r>
      <w:r>
        <w:rPr>
          <w:snapToGrid w:val="0"/>
        </w:rPr>
        <w:t xml:space="preserve">. </w:t>
      </w:r>
      <w:r>
        <w:rPr>
          <w:snapToGrid w:val="0"/>
        </w:rPr>
        <w:tab/>
        <w:t>Rigid annexe to be in accordance with Building Code</w:t>
      </w:r>
      <w:bookmarkEnd w:id="70"/>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 Gazette 12 Dec 2014 p. 4725.]</w:t>
      </w:r>
    </w:p>
    <w:p>
      <w:pPr>
        <w:pStyle w:val="Heading5"/>
        <w:rPr>
          <w:snapToGrid w:val="0"/>
        </w:rPr>
      </w:pPr>
      <w:bookmarkStart w:id="71" w:name="_Toc44414296"/>
      <w:r>
        <w:rPr>
          <w:rStyle w:val="CharSectno"/>
        </w:rPr>
        <w:t>38</w:t>
      </w:r>
      <w:r>
        <w:rPr>
          <w:snapToGrid w:val="0"/>
        </w:rPr>
        <w:t xml:space="preserve">. </w:t>
      </w:r>
      <w:r>
        <w:rPr>
          <w:snapToGrid w:val="0"/>
        </w:rPr>
        <w:tab/>
        <w:t>Change of use of park home or annexe</w:t>
      </w:r>
      <w:bookmarkEnd w:id="71"/>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 Gazette 12 Dec 2014 p. 4733.]</w:t>
      </w:r>
    </w:p>
    <w:p>
      <w:pPr>
        <w:pStyle w:val="Heading3"/>
        <w:rPr>
          <w:snapToGrid w:val="0"/>
        </w:rPr>
      </w:pPr>
      <w:bookmarkStart w:id="72" w:name="_Toc44400090"/>
      <w:bookmarkStart w:id="73" w:name="_Toc44402021"/>
      <w:bookmarkStart w:id="74" w:name="_Toc44414297"/>
      <w:r>
        <w:rPr>
          <w:rStyle w:val="CharDivNo"/>
        </w:rPr>
        <w:t>Division 3</w:t>
      </w:r>
      <w:r>
        <w:rPr>
          <w:snapToGrid w:val="0"/>
        </w:rPr>
        <w:t> — </w:t>
      </w:r>
      <w:r>
        <w:rPr>
          <w:rStyle w:val="CharDivText"/>
        </w:rPr>
        <w:t>Carports, pergolas and storage sheds</w:t>
      </w:r>
      <w:bookmarkEnd w:id="72"/>
      <w:bookmarkEnd w:id="73"/>
      <w:bookmarkEnd w:id="74"/>
    </w:p>
    <w:p>
      <w:pPr>
        <w:pStyle w:val="Heading5"/>
        <w:rPr>
          <w:snapToGrid w:val="0"/>
        </w:rPr>
      </w:pPr>
      <w:bookmarkStart w:id="75" w:name="_Toc44414298"/>
      <w:r>
        <w:rPr>
          <w:rStyle w:val="CharSectno"/>
        </w:rPr>
        <w:t>39</w:t>
      </w:r>
      <w:r>
        <w:rPr>
          <w:snapToGrid w:val="0"/>
        </w:rPr>
        <w:t xml:space="preserve">. </w:t>
      </w:r>
      <w:r>
        <w:rPr>
          <w:snapToGrid w:val="0"/>
        </w:rPr>
        <w:tab/>
        <w:t>Carports and pergolas</w:t>
      </w:r>
      <w:bookmarkEnd w:id="75"/>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 Gazette 12 Dec 2014 p. 4725 and 4733.]</w:t>
      </w:r>
    </w:p>
    <w:p>
      <w:pPr>
        <w:pStyle w:val="Heading5"/>
        <w:rPr>
          <w:snapToGrid w:val="0"/>
        </w:rPr>
      </w:pPr>
      <w:bookmarkStart w:id="76" w:name="_Toc44414299"/>
      <w:r>
        <w:rPr>
          <w:rStyle w:val="CharSectno"/>
        </w:rPr>
        <w:t>40</w:t>
      </w:r>
      <w:r>
        <w:rPr>
          <w:snapToGrid w:val="0"/>
        </w:rPr>
        <w:t xml:space="preserve">. </w:t>
      </w:r>
      <w:r>
        <w:rPr>
          <w:snapToGrid w:val="0"/>
        </w:rPr>
        <w:tab/>
        <w:t>Storage sheds</w:t>
      </w:r>
      <w:bookmarkEnd w:id="76"/>
      <w:r>
        <w:rPr>
          <w:snapToGrid w:val="0"/>
        </w:rPr>
        <w:t xml:space="preserve"> </w:t>
      </w:r>
    </w:p>
    <w:p>
      <w:pPr>
        <w:pStyle w:val="Subsection"/>
        <w:keepNext/>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 Gazette 12 Dec 2014 p. 4726 and 4733.]</w:t>
      </w:r>
    </w:p>
    <w:p>
      <w:pPr>
        <w:pStyle w:val="Heading2"/>
      </w:pPr>
      <w:bookmarkStart w:id="77" w:name="_Toc44400093"/>
      <w:bookmarkStart w:id="78" w:name="_Toc44402024"/>
      <w:bookmarkStart w:id="79" w:name="_Toc44414300"/>
      <w:r>
        <w:rPr>
          <w:rStyle w:val="CharPartNo"/>
        </w:rPr>
        <w:t>Part 4A</w:t>
      </w:r>
      <w:r>
        <w:rPr>
          <w:rStyle w:val="CharDivNo"/>
        </w:rPr>
        <w:t> </w:t>
      </w:r>
      <w:r>
        <w:t>—</w:t>
      </w:r>
      <w:r>
        <w:rPr>
          <w:rStyle w:val="CharDivText"/>
        </w:rPr>
        <w:t> </w:t>
      </w:r>
      <w:r>
        <w:rPr>
          <w:rStyle w:val="CharPartText"/>
        </w:rPr>
        <w:t>Manufactured homes and attachments</w:t>
      </w:r>
      <w:bookmarkEnd w:id="77"/>
      <w:bookmarkEnd w:id="78"/>
      <w:bookmarkEnd w:id="79"/>
    </w:p>
    <w:p>
      <w:pPr>
        <w:pStyle w:val="Footnoteheading"/>
      </w:pPr>
      <w:r>
        <w:tab/>
        <w:t>[Heading inserted: SL 2020/12 r. 7.]</w:t>
      </w:r>
    </w:p>
    <w:p>
      <w:pPr>
        <w:pStyle w:val="Heading5"/>
      </w:pPr>
      <w:bookmarkStart w:id="80" w:name="_Toc44414301"/>
      <w:r>
        <w:rPr>
          <w:rStyle w:val="CharSectno"/>
        </w:rPr>
        <w:t>40A</w:t>
      </w:r>
      <w:r>
        <w:t>.</w:t>
      </w:r>
      <w:r>
        <w:tab/>
        <w:t>Terms used</w:t>
      </w:r>
      <w:bookmarkEnd w:id="80"/>
    </w:p>
    <w:p>
      <w:pPr>
        <w:pStyle w:val="Subsection"/>
      </w:pPr>
      <w:r>
        <w:tab/>
      </w:r>
      <w:r>
        <w:tab/>
        <w:t xml:space="preserve">In this Part — </w:t>
      </w:r>
    </w:p>
    <w:p>
      <w:pPr>
        <w:pStyle w:val="Defstart"/>
      </w:pPr>
      <w:r>
        <w:tab/>
      </w:r>
      <w:r>
        <w:rPr>
          <w:rStyle w:val="CharDefText"/>
        </w:rPr>
        <w:t>attachment</w:t>
      </w:r>
      <w:r>
        <w:t xml:space="preserve"> means an attachment to a manufactured home that — </w:t>
      </w:r>
    </w:p>
    <w:p>
      <w:pPr>
        <w:pStyle w:val="Defpara"/>
      </w:pPr>
      <w:r>
        <w:tab/>
        <w:t>(a)</w:t>
      </w:r>
      <w:r>
        <w:tab/>
        <w:t>is used as an extension of the habitable area of that manufactured home; and</w:t>
      </w:r>
    </w:p>
    <w:p>
      <w:pPr>
        <w:pStyle w:val="Defpara"/>
      </w:pPr>
      <w:r>
        <w:tab/>
        <w:t>(b)</w:t>
      </w:r>
      <w:r>
        <w:tab/>
        <w:t>has walls and a roof and can be assembled or dismantled within 24 hours by no more than 2 people;</w:t>
      </w:r>
    </w:p>
    <w:p>
      <w:pPr>
        <w:pStyle w:val="Defstart"/>
      </w:pPr>
      <w:r>
        <w:tab/>
      </w:r>
      <w:r>
        <w:rPr>
          <w:rStyle w:val="CharDefText"/>
        </w:rPr>
        <w:t>flexible attachment</w:t>
      </w:r>
      <w:r>
        <w:t xml:space="preserve"> means an attachment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pPr>
      <w:r>
        <w:tab/>
      </w:r>
      <w:r>
        <w:rPr>
          <w:rStyle w:val="CharDefText"/>
        </w:rPr>
        <w:t>manufactured home</w:t>
      </w:r>
      <w:r>
        <w:rPr>
          <w:b/>
          <w:i/>
        </w:rPr>
        <w:t> </w:t>
      </w:r>
      <w:r>
        <w:t xml:space="preserve">— </w:t>
      </w:r>
    </w:p>
    <w:p>
      <w:pPr>
        <w:pStyle w:val="Defpara"/>
      </w:pPr>
      <w:r>
        <w:tab/>
        <w:t>(a)</w:t>
      </w:r>
      <w:r>
        <w:tab/>
        <w:t xml:space="preserve">means a structure that — </w:t>
      </w:r>
    </w:p>
    <w:p>
      <w:pPr>
        <w:pStyle w:val="Defsubpara"/>
      </w:pPr>
      <w:r>
        <w:tab/>
        <w:t>(i)</w:t>
      </w:r>
      <w:r>
        <w:tab/>
        <w:t>is not a vehicle, train, vessel or aircraft; and</w:t>
      </w:r>
    </w:p>
    <w:p>
      <w:pPr>
        <w:pStyle w:val="Defsubpara"/>
      </w:pPr>
      <w:r>
        <w:tab/>
        <w:t>(ii)</w:t>
      </w:r>
      <w:r>
        <w:tab/>
        <w:t>is movable or capable of movement; and</w:t>
      </w:r>
    </w:p>
    <w:p>
      <w:pPr>
        <w:pStyle w:val="Defsubpara"/>
      </w:pPr>
      <w:r>
        <w:tab/>
        <w:t>(iii)</w:t>
      </w:r>
      <w:r>
        <w:tab/>
        <w:t>is fitted or designed for habitation; and</w:t>
      </w:r>
    </w:p>
    <w:p>
      <w:pPr>
        <w:pStyle w:val="Defsubpara"/>
      </w:pPr>
      <w:r>
        <w:tab/>
        <w:t>(iv)</w:t>
      </w:r>
      <w:r>
        <w:tab/>
        <w:t>immediately prior to 1 July 2019 was located at a place with purported approval;</w:t>
      </w:r>
    </w:p>
    <w:p>
      <w:pPr>
        <w:pStyle w:val="Defpara"/>
      </w:pPr>
      <w:r>
        <w:tab/>
      </w:r>
      <w:r>
        <w:tab/>
        <w:t>and</w:t>
      </w:r>
    </w:p>
    <w:p>
      <w:pPr>
        <w:pStyle w:val="Defpara"/>
      </w:pPr>
      <w:r>
        <w:tab/>
        <w:t>(b)</w:t>
      </w:r>
      <w:r>
        <w:tab/>
        <w:t>unless the contrary intention appears, includes an attachment;</w:t>
      </w:r>
    </w:p>
    <w:p>
      <w:pPr>
        <w:pStyle w:val="Defstart"/>
      </w:pPr>
      <w:r>
        <w:tab/>
      </w:r>
      <w:r>
        <w:rPr>
          <w:rStyle w:val="CharDefText"/>
        </w:rPr>
        <w:t>purported approval</w:t>
      </w:r>
      <w:r>
        <w:t xml:space="preserve"> means approval given, purportedly under regulation 30(1), for a manufactured home to be brought onto a place, notwithstanding that — </w:t>
      </w:r>
    </w:p>
    <w:p>
      <w:pPr>
        <w:pStyle w:val="Defpara"/>
      </w:pPr>
      <w:r>
        <w:tab/>
        <w:t>(a)</w:t>
      </w:r>
      <w:r>
        <w:tab/>
        <w:t>the manufactured home was not a park home; or</w:t>
      </w:r>
    </w:p>
    <w:p>
      <w:pPr>
        <w:pStyle w:val="Defpara"/>
      </w:pPr>
      <w:r>
        <w:tab/>
        <w:t>(b)</w:t>
      </w:r>
      <w:r>
        <w:tab/>
        <w:t>the place was not a facility;</w:t>
      </w:r>
    </w:p>
    <w:p>
      <w:pPr>
        <w:pStyle w:val="Defstart"/>
      </w:pPr>
      <w:r>
        <w:tab/>
      </w:r>
      <w:r>
        <w:rPr>
          <w:rStyle w:val="CharDefText"/>
        </w:rPr>
        <w:t>rigid attachment</w:t>
      </w:r>
      <w:r>
        <w:t xml:space="preserve"> means an attachment that is not a flexible attachment.</w:t>
      </w:r>
    </w:p>
    <w:p>
      <w:pPr>
        <w:pStyle w:val="Footnotesection"/>
      </w:pPr>
      <w:r>
        <w:tab/>
        <w:t>[Regulation 40A inserted: SL 2020/12 r. 7.]</w:t>
      </w:r>
    </w:p>
    <w:p>
      <w:pPr>
        <w:pStyle w:val="Heading5"/>
      </w:pPr>
      <w:bookmarkStart w:id="81" w:name="_Toc44414302"/>
      <w:r>
        <w:rPr>
          <w:rStyle w:val="CharSectno"/>
        </w:rPr>
        <w:t>40B</w:t>
      </w:r>
      <w:r>
        <w:t>.</w:t>
      </w:r>
      <w:r>
        <w:tab/>
        <w:t>Manufactured homes and attachments</w:t>
      </w:r>
      <w:bookmarkEnd w:id="81"/>
    </w:p>
    <w:p>
      <w:pPr>
        <w:pStyle w:val="Subsection"/>
      </w:pPr>
      <w:r>
        <w:tab/>
        <w:t>(1)</w:t>
      </w:r>
      <w:r>
        <w:tab/>
        <w:t xml:space="preserve">These regulations (other than the provisions listed in the Table and regulations 30, 31, 34, 35 and 36) apply to and in relation to a manufactured home in a facility and an attachment in a facility as if — </w:t>
      </w:r>
    </w:p>
    <w:p>
      <w:pPr>
        <w:pStyle w:val="Indenta"/>
      </w:pPr>
      <w:r>
        <w:tab/>
        <w:t>(a)</w:t>
      </w:r>
      <w:r>
        <w:tab/>
        <w:t>a manufactured home were a caravan; and</w:t>
      </w:r>
    </w:p>
    <w:p>
      <w:pPr>
        <w:pStyle w:val="Indenta"/>
      </w:pPr>
      <w:r>
        <w:tab/>
        <w:t>(b)</w:t>
      </w:r>
      <w:r>
        <w:tab/>
        <w:t>a manufactured home were a park home; and</w:t>
      </w:r>
    </w:p>
    <w:p>
      <w:pPr>
        <w:pStyle w:val="Indenta"/>
      </w:pPr>
      <w:r>
        <w:tab/>
        <w:t>(c)</w:t>
      </w:r>
      <w:r>
        <w:tab/>
        <w:t xml:space="preserve">a manufactured home were not — </w:t>
      </w:r>
    </w:p>
    <w:p>
      <w:pPr>
        <w:pStyle w:val="Indenti"/>
      </w:pPr>
      <w:r>
        <w:tab/>
        <w:t>(i)</w:t>
      </w:r>
      <w:r>
        <w:tab/>
        <w:t>a building for the purposes of Schedule 7 clause 11(1); or</w:t>
      </w:r>
    </w:p>
    <w:p>
      <w:pPr>
        <w:pStyle w:val="Indenti"/>
      </w:pPr>
      <w:r>
        <w:tab/>
        <w:t>(ii)</w:t>
      </w:r>
      <w:r>
        <w:tab/>
        <w:t>a residential building for the purposes of Schedule 7 clause 11(3);</w:t>
      </w:r>
    </w:p>
    <w:p>
      <w:pPr>
        <w:pStyle w:val="Indenta"/>
      </w:pPr>
      <w:r>
        <w:tab/>
      </w:r>
      <w:r>
        <w:tab/>
        <w:t>and</w:t>
      </w:r>
    </w:p>
    <w:p>
      <w:pPr>
        <w:pStyle w:val="Indenta"/>
      </w:pPr>
      <w:r>
        <w:tab/>
        <w:t>(d)</w:t>
      </w:r>
      <w:r>
        <w:tab/>
        <w:t>an attachment were an annexe; and</w:t>
      </w:r>
    </w:p>
    <w:p>
      <w:pPr>
        <w:pStyle w:val="Indenta"/>
      </w:pPr>
      <w:r>
        <w:tab/>
        <w:t>(e)</w:t>
      </w:r>
      <w:r>
        <w:tab/>
        <w:t>a flexible attachment were a flexible annexe; and</w:t>
      </w:r>
    </w:p>
    <w:p>
      <w:pPr>
        <w:pStyle w:val="Indenta"/>
      </w:pPr>
      <w:r>
        <w:tab/>
        <w:t>(f)</w:t>
      </w:r>
      <w:r>
        <w:tab/>
        <w:t>a rigid attachment were a rigid annexe; and</w:t>
      </w:r>
    </w:p>
    <w:p>
      <w:pPr>
        <w:pStyle w:val="Indenta"/>
      </w:pPr>
      <w:r>
        <w:tab/>
        <w:t>(g)</w:t>
      </w:r>
      <w:r>
        <w:tab/>
        <w:t xml:space="preserve">in regulations 15(1) and 19(1)(k) the following words were deleted — </w:t>
      </w:r>
    </w:p>
    <w:p>
      <w:pPr>
        <w:pStyle w:val="Indenti"/>
      </w:pPr>
      <w:r>
        <w:tab/>
        <w:t>(i)</w:t>
      </w:r>
      <w:r>
        <w:tab/>
        <w:t>“has wheels attached to it, or in the case of a park home assembled from components, each component of the park home has wheels attached to it, and”; and</w:t>
      </w:r>
    </w:p>
    <w:p>
      <w:pPr>
        <w:pStyle w:val="Indenti"/>
      </w:pPr>
      <w:r>
        <w:tab/>
        <w:t>(ii)</w:t>
      </w:r>
      <w:r>
        <w:tab/>
        <w:t>“under its own power or by being towed,”;</w:t>
      </w:r>
    </w:p>
    <w:p>
      <w:pPr>
        <w:pStyle w:val="Indenta"/>
      </w:pPr>
      <w:r>
        <w:tab/>
      </w:r>
      <w:r>
        <w:tab/>
        <w:t>and</w:t>
      </w:r>
    </w:p>
    <w:p>
      <w:pPr>
        <w:pStyle w:val="Indenta"/>
      </w:pPr>
      <w:r>
        <w:tab/>
        <w:t>(h)</w:t>
      </w:r>
      <w:r>
        <w:tab/>
        <w:t>in regulation 15(2) the words “moved, under its own power or by being towed.” were deleted and replaced with “moved.”; and</w:t>
      </w:r>
    </w:p>
    <w:p>
      <w:pPr>
        <w:pStyle w:val="Indenta"/>
      </w:pPr>
      <w:r>
        <w:tab/>
        <w:t>(i)</w:t>
      </w:r>
      <w:r>
        <w:tab/>
        <w:t>in Schedule 5 clause 4(2) the word “parked” were deleted and replaced with “located”.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rStyle w:val="CharDefText"/>
                <w:i w:val="0"/>
              </w:rPr>
            </w:pPr>
            <w:r>
              <w:t xml:space="preserve">r. 3 def. of </w:t>
            </w:r>
            <w:r>
              <w:rPr>
                <w:b/>
                <w:i/>
              </w:rPr>
              <w:t>park home park</w:t>
            </w:r>
          </w:p>
        </w:tc>
        <w:tc>
          <w:tcPr>
            <w:tcW w:w="3034" w:type="dxa"/>
          </w:tcPr>
          <w:p>
            <w:pPr>
              <w:pStyle w:val="TableNAm"/>
              <w:rPr>
                <w:highlight w:val="cyan"/>
              </w:rPr>
            </w:pPr>
            <w:r>
              <w:t>r. 4</w:t>
            </w:r>
          </w:p>
        </w:tc>
      </w:tr>
      <w:tr>
        <w:tc>
          <w:tcPr>
            <w:tcW w:w="3033" w:type="dxa"/>
          </w:tcPr>
          <w:p>
            <w:pPr>
              <w:pStyle w:val="TableNAm"/>
              <w:rPr>
                <w:rStyle w:val="CharDefText"/>
                <w:i w:val="0"/>
                <w:highlight w:val="cyan"/>
              </w:rPr>
            </w:pPr>
            <w:r>
              <w:t>r. 5</w:t>
            </w:r>
          </w:p>
        </w:tc>
        <w:tc>
          <w:tcPr>
            <w:tcW w:w="3034" w:type="dxa"/>
          </w:tcPr>
          <w:p>
            <w:pPr>
              <w:pStyle w:val="TableNAm"/>
            </w:pPr>
            <w:r>
              <w:t>r. 9</w:t>
            </w:r>
          </w:p>
        </w:tc>
      </w:tr>
      <w:tr>
        <w:tc>
          <w:tcPr>
            <w:tcW w:w="3033" w:type="dxa"/>
          </w:tcPr>
          <w:p>
            <w:pPr>
              <w:pStyle w:val="TableNAm"/>
            </w:pPr>
            <w:r>
              <w:t>r. 32</w:t>
            </w:r>
          </w:p>
        </w:tc>
        <w:tc>
          <w:tcPr>
            <w:tcW w:w="3034" w:type="dxa"/>
          </w:tcPr>
          <w:p>
            <w:pPr>
              <w:pStyle w:val="TableNAm"/>
              <w:rPr>
                <w:rStyle w:val="DraftersNotes"/>
                <w:b w:val="0"/>
                <w:i w:val="0"/>
              </w:rPr>
            </w:pPr>
            <w:r>
              <w:t>r. 65(d)(i)</w:t>
            </w:r>
          </w:p>
        </w:tc>
      </w:tr>
      <w:tr>
        <w:tc>
          <w:tcPr>
            <w:tcW w:w="3033" w:type="dxa"/>
          </w:tcPr>
          <w:p>
            <w:pPr>
              <w:pStyle w:val="TableNAm"/>
            </w:pPr>
            <w:r>
              <w:t>r. 72</w:t>
            </w:r>
          </w:p>
        </w:tc>
        <w:tc>
          <w:tcPr>
            <w:tcW w:w="3034" w:type="dxa"/>
          </w:tcPr>
          <w:p>
            <w:pPr>
              <w:pStyle w:val="TableNAm"/>
            </w:pPr>
            <w:r>
              <w:t>Sch. 5 cl. 3</w:t>
            </w:r>
          </w:p>
        </w:tc>
      </w:tr>
      <w:tr>
        <w:tc>
          <w:tcPr>
            <w:tcW w:w="3033" w:type="dxa"/>
          </w:tcPr>
          <w:p>
            <w:pPr>
              <w:pStyle w:val="TableNAm"/>
            </w:pPr>
            <w:r>
              <w:t>Sch. 7 cl. 52(1)</w:t>
            </w:r>
          </w:p>
        </w:tc>
        <w:tc>
          <w:tcPr>
            <w:tcW w:w="3034" w:type="dxa"/>
          </w:tcPr>
          <w:p>
            <w:pPr>
              <w:pStyle w:val="TableNAm"/>
            </w:pPr>
          </w:p>
        </w:tc>
      </w:tr>
    </w:tbl>
    <w:p>
      <w:pPr>
        <w:pStyle w:val="Subsection"/>
      </w:pPr>
      <w:r>
        <w:tab/>
        <w:t>(2)</w:t>
      </w:r>
      <w:r>
        <w:tab/>
        <w:t xml:space="preserve">Regulations 30, 31, 34 and 35 apply to and in relation to a manufactured home and an attachment as if — </w:t>
      </w:r>
    </w:p>
    <w:p>
      <w:pPr>
        <w:pStyle w:val="Indenta"/>
      </w:pPr>
      <w:r>
        <w:tab/>
        <w:t>(a)</w:t>
      </w:r>
      <w:r>
        <w:tab/>
        <w:t>a manufactured home were a caravan; and</w:t>
      </w:r>
    </w:p>
    <w:p>
      <w:pPr>
        <w:pStyle w:val="Indenta"/>
      </w:pPr>
      <w:r>
        <w:tab/>
        <w:t>(b)</w:t>
      </w:r>
      <w:r>
        <w:tab/>
        <w:t>a manufactured home were a park home; and</w:t>
      </w:r>
    </w:p>
    <w:p>
      <w:pPr>
        <w:pStyle w:val="Indenta"/>
      </w:pPr>
      <w:r>
        <w:tab/>
        <w:t>(c)</w:t>
      </w:r>
      <w:r>
        <w:tab/>
        <w:t>an attachment were an annexe; and</w:t>
      </w:r>
    </w:p>
    <w:p>
      <w:pPr>
        <w:pStyle w:val="Indenta"/>
      </w:pPr>
      <w:r>
        <w:tab/>
        <w:t>(d)</w:t>
      </w:r>
      <w:r>
        <w:tab/>
        <w:t>a rigid attachment were a rigid annexe; and</w:t>
      </w:r>
    </w:p>
    <w:p>
      <w:pPr>
        <w:pStyle w:val="Indenta"/>
      </w:pPr>
      <w:r>
        <w:tab/>
        <w:t>(e)</w:t>
      </w:r>
      <w:r>
        <w:tab/>
        <w:t>in regulations 30(2)(b) and 31(2) a reference to the certificates referred to in regulation 32(1) or (1a), and (2) or regulation 32(4)(a) and (b) were a reference to the certificates referred to in regulation 40C; and</w:t>
      </w:r>
    </w:p>
    <w:p>
      <w:pPr>
        <w:pStyle w:val="Indenta"/>
      </w:pPr>
      <w:r>
        <w:tab/>
        <w:t>(f)</w:t>
      </w:r>
      <w:r>
        <w:tab/>
        <w:t xml:space="preserve">in regulations 34(2)(b) and 35(2) a reference to the certificates referred to in regulation 36 were a reference to — </w:t>
      </w:r>
    </w:p>
    <w:p>
      <w:pPr>
        <w:pStyle w:val="Indenti"/>
      </w:pPr>
      <w:r>
        <w:tab/>
        <w:t>(i)</w:t>
      </w:r>
      <w:r>
        <w:tab/>
        <w:t>certificates issued before 1 July 2019, purportedly under regulation 36; or</w:t>
      </w:r>
    </w:p>
    <w:p>
      <w:pPr>
        <w:pStyle w:val="Indenti"/>
      </w:pPr>
      <w:r>
        <w:tab/>
        <w:t>(ii)</w:t>
      </w:r>
      <w:r>
        <w:tab/>
        <w:t>the certificates referred to in regulation 36 as modified by subregulation (3).</w:t>
      </w:r>
    </w:p>
    <w:p>
      <w:pPr>
        <w:pStyle w:val="Subsection"/>
      </w:pPr>
      <w:r>
        <w:tab/>
        <w:t>(3)</w:t>
      </w:r>
      <w:r>
        <w:tab/>
        <w:t xml:space="preserve">Regulation 36 applies to and in relation to a rigid attachment to be attached to a manufactured home in a facility as if — </w:t>
      </w:r>
    </w:p>
    <w:p>
      <w:pPr>
        <w:pStyle w:val="Indenta"/>
      </w:pPr>
      <w:r>
        <w:tab/>
        <w:t>(a)</w:t>
      </w:r>
      <w:r>
        <w:tab/>
        <w:t>a manufactured home were a caravan; and</w:t>
      </w:r>
    </w:p>
    <w:p>
      <w:pPr>
        <w:pStyle w:val="Indenta"/>
      </w:pPr>
      <w:r>
        <w:tab/>
        <w:t>(b)</w:t>
      </w:r>
      <w:r>
        <w:tab/>
        <w:t>an attachment were an annexe; and</w:t>
      </w:r>
    </w:p>
    <w:p>
      <w:pPr>
        <w:pStyle w:val="Indenta"/>
      </w:pPr>
      <w:r>
        <w:tab/>
        <w:t>(c)</w:t>
      </w:r>
      <w:r>
        <w:tab/>
        <w:t>a rigid attachment were a rigid annexe.</w:t>
      </w:r>
    </w:p>
    <w:p>
      <w:pPr>
        <w:pStyle w:val="Footnotesection"/>
      </w:pPr>
      <w:r>
        <w:tab/>
        <w:t>[Regulation 40B inserted: SL 2020/12 r. 7.]</w:t>
      </w:r>
    </w:p>
    <w:p>
      <w:pPr>
        <w:pStyle w:val="Heading5"/>
      </w:pPr>
      <w:bookmarkStart w:id="82" w:name="_Toc44414303"/>
      <w:r>
        <w:rPr>
          <w:rStyle w:val="CharSectno"/>
        </w:rPr>
        <w:t>40C</w:t>
      </w:r>
      <w:r>
        <w:t>.</w:t>
      </w:r>
      <w:r>
        <w:tab/>
        <w:t>Manufactured home certificates</w:t>
      </w:r>
      <w:bookmarkEnd w:id="82"/>
    </w:p>
    <w:p>
      <w:pPr>
        <w:pStyle w:val="Subsection"/>
      </w:pPr>
      <w:r>
        <w:tab/>
        <w:t>(1)</w:t>
      </w:r>
      <w:r>
        <w:tab/>
        <w:t xml:space="preserve">A person who wishes to bring a manufactured home on to a facility must show the local government and the licence holder of the facility — </w:t>
      </w:r>
    </w:p>
    <w:p>
      <w:pPr>
        <w:pStyle w:val="Indenta"/>
      </w:pPr>
      <w:r>
        <w:tab/>
        <w:t>(a)</w:t>
      </w:r>
      <w:r>
        <w:tab/>
        <w:t>a certificate issued before 1 July 2019 in relation to the manufactured home, purportedly under regulation 32(1), (1a) or (4)(a); or</w:t>
      </w:r>
    </w:p>
    <w:p>
      <w:pPr>
        <w:pStyle w:val="Indenta"/>
      </w:pPr>
      <w:r>
        <w:tab/>
        <w:t>(b)</w:t>
      </w:r>
      <w:r>
        <w:tab/>
        <w:t>a certificate signed and dated by a builder stating that the manufactured home has been constructed in accordance with the requirements of the Building Code applicable with respect to a particular class or classes, specified in the certificate.</w:t>
      </w:r>
    </w:p>
    <w:p>
      <w:pPr>
        <w:pStyle w:val="Penstart"/>
      </w:pPr>
      <w:r>
        <w:tab/>
        <w:t>Penalty for this subregulation: a fine of $4 000.</w:t>
      </w:r>
    </w:p>
    <w:p>
      <w:pPr>
        <w:pStyle w:val="Subsection"/>
      </w:pPr>
      <w:r>
        <w:tab/>
        <w:t>(2)</w:t>
      </w:r>
      <w:r>
        <w:tab/>
        <w:t xml:space="preserve">A person who wishes to bring a manufactured home on to a facility must show the local government and the licence holder of the facility — </w:t>
      </w:r>
    </w:p>
    <w:p>
      <w:pPr>
        <w:pStyle w:val="Indenta"/>
      </w:pPr>
      <w:r>
        <w:tab/>
        <w:t>(a)</w:t>
      </w:r>
      <w:r>
        <w:tab/>
        <w:t>a certificate issued before 1 July 2019 in relation to the manufactured home, purportedly under regulation 32(2) or (4)(b); or</w:t>
      </w:r>
    </w:p>
    <w:p>
      <w:pPr>
        <w:pStyle w:val="Indenta"/>
      </w:pPr>
      <w:r>
        <w:tab/>
        <w:t>(b)</w:t>
      </w:r>
      <w:r>
        <w:tab/>
        <w:t xml:space="preserve">a certificate signed and dated by a professional engineer stating — </w:t>
      </w:r>
    </w:p>
    <w:p>
      <w:pPr>
        <w:pStyle w:val="Indenti"/>
      </w:pPr>
      <w:r>
        <w:tab/>
        <w:t>(i)</w:t>
      </w:r>
      <w:r>
        <w:tab/>
        <w:t>that in the opinion of the engineer the manufactured home is structurally sound; and</w:t>
      </w:r>
    </w:p>
    <w:p>
      <w:pPr>
        <w:pStyle w:val="Indenti"/>
      </w:pPr>
      <w:r>
        <w:tab/>
        <w:t>(ii)</w:t>
      </w:r>
      <w:r>
        <w:tab/>
        <w:t>the wind velocity that the manufactured home has been constructed to withstand; and</w:t>
      </w:r>
    </w:p>
    <w:p>
      <w:pPr>
        <w:pStyle w:val="Indenti"/>
      </w:pPr>
      <w:r>
        <w:tab/>
        <w:t>(iii)</w:t>
      </w:r>
      <w:r>
        <w:tab/>
        <w:t>that the manufactured home is able to be moved within 24 hours of any services attached to it being disconnected; and</w:t>
      </w:r>
    </w:p>
    <w:p>
      <w:pPr>
        <w:pStyle w:val="Indenti"/>
      </w:pPr>
      <w:r>
        <w:tab/>
        <w:t>(iv)</w:t>
      </w:r>
      <w:r>
        <w:tab/>
        <w:t>if the manufactured home is assembled from components — that the manufactured home is able to be moved within 24 hours of it being split into components.</w:t>
      </w:r>
    </w:p>
    <w:p>
      <w:pPr>
        <w:pStyle w:val="Penstart"/>
      </w:pPr>
      <w:r>
        <w:tab/>
        <w:t>Penalty for this subregulation: a fine of $4 000.</w:t>
      </w:r>
    </w:p>
    <w:p>
      <w:pPr>
        <w:pStyle w:val="Subsection"/>
      </w:pPr>
      <w:r>
        <w:tab/>
        <w:t>(3)</w:t>
      </w:r>
      <w:r>
        <w:tab/>
        <w:t xml:space="preserve">A builder or professional engineer must not make a statement in a certificate referred to in subregulation (1)(b) or (2)(b) that is false in a material particular if the builder or professional engineer — </w:t>
      </w:r>
    </w:p>
    <w:p>
      <w:pPr>
        <w:pStyle w:val="Indenta"/>
      </w:pPr>
      <w:r>
        <w:tab/>
        <w:t>(a)</w:t>
      </w:r>
      <w:r>
        <w:tab/>
        <w:t>knew the statement was false; or</w:t>
      </w:r>
    </w:p>
    <w:p>
      <w:pPr>
        <w:pStyle w:val="Indenta"/>
      </w:pPr>
      <w:r>
        <w:tab/>
        <w:t>(b)</w:t>
      </w:r>
      <w:r>
        <w:tab/>
        <w:t>made the statement with disregard as to its truth or falseness.</w:t>
      </w:r>
    </w:p>
    <w:p>
      <w:pPr>
        <w:pStyle w:val="Penstart"/>
      </w:pPr>
      <w:r>
        <w:tab/>
        <w:t>Penalty for this subregulation: a fine of $4 000.</w:t>
      </w:r>
    </w:p>
    <w:p>
      <w:pPr>
        <w:pStyle w:val="Footnotesection"/>
      </w:pPr>
      <w:r>
        <w:tab/>
        <w:t>[Regulation 40C inserted: SL 2020/12 r. 7.]</w:t>
      </w:r>
    </w:p>
    <w:p>
      <w:pPr>
        <w:pStyle w:val="Heading2"/>
      </w:pPr>
      <w:bookmarkStart w:id="83" w:name="_Toc44400097"/>
      <w:bookmarkStart w:id="84" w:name="_Toc44402028"/>
      <w:bookmarkStart w:id="85" w:name="_Toc44414304"/>
      <w:r>
        <w:rPr>
          <w:rStyle w:val="CharPartNo"/>
        </w:rPr>
        <w:t>Part 5</w:t>
      </w:r>
      <w:r>
        <w:rPr>
          <w:rStyle w:val="CharDivNo"/>
        </w:rPr>
        <w:t> </w:t>
      </w:r>
      <w:r>
        <w:t>—</w:t>
      </w:r>
      <w:r>
        <w:rPr>
          <w:rStyle w:val="CharDivText"/>
        </w:rPr>
        <w:t> </w:t>
      </w:r>
      <w:r>
        <w:rPr>
          <w:rStyle w:val="CharPartText"/>
        </w:rPr>
        <w:t>Licensing of caravan parks and camping grounds</w:t>
      </w:r>
      <w:bookmarkEnd w:id="83"/>
      <w:bookmarkEnd w:id="84"/>
      <w:bookmarkEnd w:id="85"/>
      <w:r>
        <w:rPr>
          <w:rStyle w:val="CharPartText"/>
        </w:rPr>
        <w:t xml:space="preserve"> </w:t>
      </w:r>
    </w:p>
    <w:p>
      <w:pPr>
        <w:pStyle w:val="Heading5"/>
        <w:rPr>
          <w:snapToGrid w:val="0"/>
        </w:rPr>
      </w:pPr>
      <w:bookmarkStart w:id="86" w:name="_Toc44414305"/>
      <w:r>
        <w:rPr>
          <w:rStyle w:val="CharSectno"/>
        </w:rPr>
        <w:t>41</w:t>
      </w:r>
      <w:r>
        <w:rPr>
          <w:snapToGrid w:val="0"/>
        </w:rPr>
        <w:t xml:space="preserve">. </w:t>
      </w:r>
      <w:r>
        <w:rPr>
          <w:snapToGrid w:val="0"/>
        </w:rPr>
        <w:tab/>
        <w:t>Types of facilities and licences — Schedule 2</w:t>
      </w:r>
      <w:bookmarkEnd w:id="86"/>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87" w:name="_Toc44414306"/>
      <w:r>
        <w:rPr>
          <w:rStyle w:val="CharSectno"/>
        </w:rPr>
        <w:t>42</w:t>
      </w:r>
      <w:r>
        <w:rPr>
          <w:snapToGrid w:val="0"/>
        </w:rPr>
        <w:t xml:space="preserve">. </w:t>
      </w:r>
      <w:r>
        <w:rPr>
          <w:snapToGrid w:val="0"/>
        </w:rPr>
        <w:tab/>
        <w:t>Licence to be of type referred to in Schedule 2</w:t>
      </w:r>
      <w:bookmarkEnd w:id="87"/>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88" w:name="_Toc44414307"/>
      <w:r>
        <w:rPr>
          <w:rStyle w:val="CharSectno"/>
        </w:rPr>
        <w:t>43</w:t>
      </w:r>
      <w:r>
        <w:rPr>
          <w:snapToGrid w:val="0"/>
        </w:rPr>
        <w:t xml:space="preserve">. </w:t>
      </w:r>
      <w:r>
        <w:rPr>
          <w:snapToGrid w:val="0"/>
        </w:rPr>
        <w:tab/>
        <w:t>Application for licence or renewal — Form 1</w:t>
      </w:r>
      <w:bookmarkEnd w:id="88"/>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 Gazette 12 Dec 2014 p. 4726.]</w:t>
      </w:r>
    </w:p>
    <w:p>
      <w:pPr>
        <w:pStyle w:val="Heading5"/>
        <w:rPr>
          <w:snapToGrid w:val="0"/>
        </w:rPr>
      </w:pPr>
      <w:bookmarkStart w:id="89" w:name="_Toc44414308"/>
      <w:r>
        <w:rPr>
          <w:rStyle w:val="CharSectno"/>
        </w:rPr>
        <w:t>44</w:t>
      </w:r>
      <w:r>
        <w:rPr>
          <w:snapToGrid w:val="0"/>
        </w:rPr>
        <w:t xml:space="preserve">. </w:t>
      </w:r>
      <w:r>
        <w:rPr>
          <w:snapToGrid w:val="0"/>
        </w:rPr>
        <w:tab/>
        <w:t>No change to facility as shown on plan, unless approved</w:t>
      </w:r>
      <w:bookmarkEnd w:id="89"/>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 Gazette 12 Dec 2014 p. 4733.]</w:t>
      </w:r>
    </w:p>
    <w:p>
      <w:pPr>
        <w:pStyle w:val="Heading5"/>
        <w:rPr>
          <w:snapToGrid w:val="0"/>
        </w:rPr>
      </w:pPr>
      <w:bookmarkStart w:id="90" w:name="_Toc44414309"/>
      <w:r>
        <w:rPr>
          <w:rStyle w:val="CharSectno"/>
        </w:rPr>
        <w:t>45</w:t>
      </w:r>
      <w:r>
        <w:rPr>
          <w:snapToGrid w:val="0"/>
        </w:rPr>
        <w:t xml:space="preserve">. </w:t>
      </w:r>
      <w:r>
        <w:rPr>
          <w:snapToGrid w:val="0"/>
        </w:rPr>
        <w:tab/>
        <w:t>Fee for application for licence or renewal</w:t>
      </w:r>
      <w:bookmarkEnd w:id="90"/>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91" w:name="_Toc44414310"/>
      <w:r>
        <w:rPr>
          <w:rStyle w:val="CharSectno"/>
        </w:rPr>
        <w:t>46</w:t>
      </w:r>
      <w:r>
        <w:rPr>
          <w:snapToGrid w:val="0"/>
        </w:rPr>
        <w:t xml:space="preserve">. </w:t>
      </w:r>
      <w:r>
        <w:rPr>
          <w:snapToGrid w:val="0"/>
        </w:rPr>
        <w:tab/>
        <w:t>Licence — Form 2</w:t>
      </w:r>
      <w:bookmarkEnd w:id="91"/>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92" w:name="_Toc44414311"/>
      <w:r>
        <w:rPr>
          <w:rStyle w:val="CharSectno"/>
        </w:rPr>
        <w:t>47</w:t>
      </w:r>
      <w:r>
        <w:rPr>
          <w:snapToGrid w:val="0"/>
        </w:rPr>
        <w:t xml:space="preserve">. </w:t>
      </w:r>
      <w:r>
        <w:rPr>
          <w:snapToGrid w:val="0"/>
        </w:rPr>
        <w:tab/>
        <w:t>Applications not dealt with within time are taken to be refused</w:t>
      </w:r>
      <w:bookmarkEnd w:id="92"/>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Footnotesection"/>
        <w:spacing w:before="80"/>
        <w:ind w:left="890" w:hanging="890"/>
      </w:pPr>
      <w:r>
        <w:tab/>
        <w:t>[Regulation 47 amended: Gazette 30 Dec 2004 p. 7011.]</w:t>
      </w:r>
    </w:p>
    <w:p>
      <w:pPr>
        <w:pStyle w:val="Heading5"/>
        <w:spacing w:before="200"/>
        <w:rPr>
          <w:snapToGrid w:val="0"/>
        </w:rPr>
      </w:pPr>
      <w:bookmarkStart w:id="93" w:name="_Toc44414312"/>
      <w:r>
        <w:rPr>
          <w:rStyle w:val="CharSectno"/>
        </w:rPr>
        <w:t>48</w:t>
      </w:r>
      <w:r>
        <w:rPr>
          <w:snapToGrid w:val="0"/>
        </w:rPr>
        <w:t xml:space="preserve">. </w:t>
      </w:r>
      <w:r>
        <w:rPr>
          <w:snapToGrid w:val="0"/>
        </w:rPr>
        <w:tab/>
        <w:t>Overflow areas</w:t>
      </w:r>
      <w:bookmarkEnd w:id="93"/>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 Gazette 12 Dec 2014 p. 4726.]</w:t>
      </w:r>
    </w:p>
    <w:p>
      <w:pPr>
        <w:pStyle w:val="Heading5"/>
        <w:spacing w:before="200"/>
        <w:rPr>
          <w:snapToGrid w:val="0"/>
        </w:rPr>
      </w:pPr>
      <w:bookmarkStart w:id="94" w:name="_Toc44414313"/>
      <w:r>
        <w:rPr>
          <w:rStyle w:val="CharSectno"/>
        </w:rPr>
        <w:t>50</w:t>
      </w:r>
      <w:r>
        <w:rPr>
          <w:snapToGrid w:val="0"/>
        </w:rPr>
        <w:t xml:space="preserve">. </w:t>
      </w:r>
      <w:r>
        <w:rPr>
          <w:snapToGrid w:val="0"/>
        </w:rPr>
        <w:tab/>
        <w:t>Licence to specify number and types of sites and other conditions</w:t>
      </w:r>
      <w:bookmarkEnd w:id="94"/>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 and</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 and</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95" w:name="_Toc44414314"/>
      <w:r>
        <w:rPr>
          <w:rStyle w:val="CharSectno"/>
        </w:rPr>
        <w:t>51</w:t>
      </w:r>
      <w:r>
        <w:rPr>
          <w:snapToGrid w:val="0"/>
        </w:rPr>
        <w:t>.</w:t>
      </w:r>
      <w:r>
        <w:rPr>
          <w:snapToGrid w:val="0"/>
        </w:rPr>
        <w:tab/>
        <w:t>Calculation of camping sites</w:t>
      </w:r>
      <w:bookmarkEnd w:id="95"/>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 m</w:t>
      </w:r>
      <w:r>
        <w:rPr>
          <w:vertAlign w:val="superscript"/>
        </w:rPr>
        <w:t> 2</w:t>
      </w:r>
      <w:r>
        <w:t xml:space="preserve"> of camping ground available at the facility; and</w:t>
      </w:r>
    </w:p>
    <w:p>
      <w:pPr>
        <w:pStyle w:val="Indenta"/>
        <w:keepNext/>
        <w:rPr>
          <w:snapToGrid w:val="0"/>
        </w:rPr>
      </w:pPr>
      <w:r>
        <w:rPr>
          <w:snapToGrid w:val="0"/>
        </w:rPr>
        <w:tab/>
        <w:t>(b)</w:t>
      </w:r>
      <w:r>
        <w:rPr>
          <w:snapToGrid w:val="0"/>
        </w:rPr>
        <w:tab/>
        <w:t>for any other facility, one site for each 25</w:t>
      </w:r>
      <w:r>
        <w:t xml:space="preserve"> m</w:t>
      </w:r>
      <w:r>
        <w:rPr>
          <w:vertAlign w:val="superscript"/>
        </w:rPr>
        <w:t> 2</w:t>
      </w:r>
      <w:r>
        <w:t xml:space="preserve"> </w:t>
      </w:r>
      <w:r>
        <w:rPr>
          <w:snapToGrid w:val="0"/>
        </w:rPr>
        <w:t>of camping ground available at the facility.</w:t>
      </w:r>
    </w:p>
    <w:p>
      <w:pPr>
        <w:pStyle w:val="Footnotesection"/>
      </w:pPr>
      <w:r>
        <w:tab/>
        <w:t>[Regulation 51 inserted: Gazette 12 Dec 2014 p. 4726.]</w:t>
      </w:r>
    </w:p>
    <w:p>
      <w:pPr>
        <w:pStyle w:val="Heading5"/>
        <w:rPr>
          <w:snapToGrid w:val="0"/>
        </w:rPr>
      </w:pPr>
      <w:bookmarkStart w:id="96" w:name="_Toc44414315"/>
      <w:r>
        <w:rPr>
          <w:rStyle w:val="CharSectno"/>
        </w:rPr>
        <w:t>52</w:t>
      </w:r>
      <w:r>
        <w:rPr>
          <w:snapToGrid w:val="0"/>
        </w:rPr>
        <w:t xml:space="preserve">. </w:t>
      </w:r>
      <w:r>
        <w:rPr>
          <w:snapToGrid w:val="0"/>
        </w:rPr>
        <w:tab/>
        <w:t>Duration of licence</w:t>
      </w:r>
      <w:bookmarkEnd w:id="96"/>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97" w:name="_Toc44414316"/>
      <w:r>
        <w:rPr>
          <w:rStyle w:val="CharSectno"/>
        </w:rPr>
        <w:t>53</w:t>
      </w:r>
      <w:r>
        <w:rPr>
          <w:snapToGrid w:val="0"/>
        </w:rPr>
        <w:t xml:space="preserve">. </w:t>
      </w:r>
      <w:r>
        <w:rPr>
          <w:snapToGrid w:val="0"/>
        </w:rPr>
        <w:tab/>
        <w:t>Additional fee for renewal after expiry</w:t>
      </w:r>
      <w:bookmarkEnd w:id="97"/>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98" w:name="_Toc44414317"/>
      <w:r>
        <w:rPr>
          <w:rStyle w:val="CharSectno"/>
        </w:rPr>
        <w:t>54</w:t>
      </w:r>
      <w:r>
        <w:rPr>
          <w:snapToGrid w:val="0"/>
        </w:rPr>
        <w:t xml:space="preserve">. </w:t>
      </w:r>
      <w:r>
        <w:rPr>
          <w:snapToGrid w:val="0"/>
        </w:rPr>
        <w:tab/>
        <w:t>Temporary licence</w:t>
      </w:r>
      <w:bookmarkEnd w:id="98"/>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 and</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99" w:name="_Toc44414318"/>
      <w:r>
        <w:rPr>
          <w:rStyle w:val="CharSectno"/>
        </w:rPr>
        <w:t>55</w:t>
      </w:r>
      <w:r>
        <w:rPr>
          <w:snapToGrid w:val="0"/>
        </w:rPr>
        <w:t xml:space="preserve">. </w:t>
      </w:r>
      <w:r>
        <w:rPr>
          <w:snapToGrid w:val="0"/>
        </w:rPr>
        <w:tab/>
        <w:t>Transfer of licence</w:t>
      </w:r>
      <w:bookmarkEnd w:id="99"/>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100" w:name="_Toc44400112"/>
      <w:bookmarkStart w:id="101" w:name="_Toc44402043"/>
      <w:bookmarkStart w:id="102" w:name="_Toc44414319"/>
      <w:r>
        <w:rPr>
          <w:rStyle w:val="CharPartNo"/>
        </w:rPr>
        <w:t>Part 6</w:t>
      </w:r>
      <w:r>
        <w:rPr>
          <w:rStyle w:val="CharDivNo"/>
        </w:rPr>
        <w:t> </w:t>
      </w:r>
      <w:r>
        <w:t>—</w:t>
      </w:r>
      <w:r>
        <w:rPr>
          <w:rStyle w:val="CharDivText"/>
        </w:rPr>
        <w:t> </w:t>
      </w:r>
      <w:r>
        <w:rPr>
          <w:rStyle w:val="CharPartText"/>
        </w:rPr>
        <w:t>Removal of neglected, abandoned, etc. caravans</w:t>
      </w:r>
      <w:bookmarkEnd w:id="100"/>
      <w:bookmarkEnd w:id="101"/>
      <w:bookmarkEnd w:id="102"/>
      <w:r>
        <w:rPr>
          <w:rStyle w:val="CharPartText"/>
        </w:rPr>
        <w:t xml:space="preserve"> </w:t>
      </w:r>
    </w:p>
    <w:p>
      <w:pPr>
        <w:pStyle w:val="Heading5"/>
        <w:spacing w:before="200"/>
        <w:rPr>
          <w:snapToGrid w:val="0"/>
        </w:rPr>
      </w:pPr>
      <w:bookmarkStart w:id="103" w:name="_Toc44414320"/>
      <w:r>
        <w:rPr>
          <w:rStyle w:val="CharSectno"/>
        </w:rPr>
        <w:t>56</w:t>
      </w:r>
      <w:r>
        <w:rPr>
          <w:snapToGrid w:val="0"/>
        </w:rPr>
        <w:t xml:space="preserve">. </w:t>
      </w:r>
      <w:r>
        <w:rPr>
          <w:snapToGrid w:val="0"/>
        </w:rPr>
        <w:tab/>
        <w:t>Neglected or abandoned caravans</w:t>
      </w:r>
      <w:bookmarkEnd w:id="103"/>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any actions that may be taken to rectify the problems with the caravan; and</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104" w:name="_Toc44414321"/>
      <w:r>
        <w:rPr>
          <w:rStyle w:val="CharSectno"/>
        </w:rPr>
        <w:t>57</w:t>
      </w:r>
      <w:r>
        <w:rPr>
          <w:snapToGrid w:val="0"/>
        </w:rPr>
        <w:t xml:space="preserve">. </w:t>
      </w:r>
      <w:r>
        <w:rPr>
          <w:snapToGrid w:val="0"/>
        </w:rPr>
        <w:tab/>
        <w:t>Caravans in dangerous condition</w:t>
      </w:r>
      <w:bookmarkEnd w:id="104"/>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105" w:name="_Toc44414322"/>
      <w:r>
        <w:rPr>
          <w:rStyle w:val="CharSectno"/>
        </w:rPr>
        <w:t>58</w:t>
      </w:r>
      <w:r>
        <w:rPr>
          <w:snapToGrid w:val="0"/>
        </w:rPr>
        <w:t xml:space="preserve">. </w:t>
      </w:r>
      <w:r>
        <w:rPr>
          <w:snapToGrid w:val="0"/>
        </w:rPr>
        <w:tab/>
        <w:t>How notice to be given</w:t>
      </w:r>
      <w:bookmarkEnd w:id="105"/>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 or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Gazette 25 Aug 2000 p. 4915.]</w:t>
      </w:r>
    </w:p>
    <w:p>
      <w:pPr>
        <w:pStyle w:val="Heading5"/>
        <w:rPr>
          <w:snapToGrid w:val="0"/>
        </w:rPr>
      </w:pPr>
      <w:bookmarkStart w:id="106" w:name="_Toc44414323"/>
      <w:r>
        <w:rPr>
          <w:rStyle w:val="CharSectno"/>
        </w:rPr>
        <w:t>59</w:t>
      </w:r>
      <w:r>
        <w:rPr>
          <w:snapToGrid w:val="0"/>
        </w:rPr>
        <w:t xml:space="preserve">. </w:t>
      </w:r>
      <w:r>
        <w:rPr>
          <w:snapToGrid w:val="0"/>
        </w:rPr>
        <w:tab/>
        <w:t>Caravans that have been removed</w:t>
      </w:r>
      <w:bookmarkEnd w:id="106"/>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keepLines/>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pPr>
      <w:r>
        <w:tab/>
        <w:t>(11)</w:t>
      </w:r>
      <w:r>
        <w:tab/>
        <w:t xml:space="preserve">In this regulation — </w:t>
      </w:r>
    </w:p>
    <w:p>
      <w:pPr>
        <w:pStyle w:val="Defstart"/>
      </w:pPr>
      <w:r>
        <w:tab/>
      </w:r>
      <w:r>
        <w:rPr>
          <w:rStyle w:val="CharDefText"/>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Gazette 25 Aug 2000 p. 4916; 12 Dec 2014 p. 4726-7.]</w:t>
      </w:r>
    </w:p>
    <w:p>
      <w:pPr>
        <w:pStyle w:val="Heading5"/>
        <w:keepNext w:val="0"/>
        <w:keepLines w:val="0"/>
        <w:pageBreakBefore/>
        <w:spacing w:before="0"/>
        <w:rPr>
          <w:snapToGrid w:val="0"/>
        </w:rPr>
      </w:pPr>
      <w:bookmarkStart w:id="107" w:name="_Toc44414324"/>
      <w:r>
        <w:rPr>
          <w:rStyle w:val="CharSectno"/>
        </w:rPr>
        <w:t>60</w:t>
      </w:r>
      <w:r>
        <w:rPr>
          <w:snapToGrid w:val="0"/>
        </w:rPr>
        <w:t xml:space="preserve">. </w:t>
      </w:r>
      <w:r>
        <w:rPr>
          <w:snapToGrid w:val="0"/>
        </w:rPr>
        <w:tab/>
        <w:t>Notice before sale</w:t>
      </w:r>
      <w:bookmarkEnd w:id="107"/>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 Gazette 12 Dec 2014 p. 4733.]</w:t>
      </w:r>
    </w:p>
    <w:p>
      <w:pPr>
        <w:pStyle w:val="Heading2"/>
      </w:pPr>
      <w:bookmarkStart w:id="108" w:name="_Toc44400118"/>
      <w:bookmarkStart w:id="109" w:name="_Toc44402049"/>
      <w:bookmarkStart w:id="110" w:name="_Toc44414325"/>
      <w:r>
        <w:rPr>
          <w:rStyle w:val="CharPartNo"/>
        </w:rPr>
        <w:t>Part 7</w:t>
      </w:r>
      <w:r>
        <w:rPr>
          <w:rStyle w:val="CharDivNo"/>
        </w:rPr>
        <w:t> </w:t>
      </w:r>
      <w:r>
        <w:t>—</w:t>
      </w:r>
      <w:r>
        <w:rPr>
          <w:rStyle w:val="CharDivText"/>
        </w:rPr>
        <w:t> </w:t>
      </w:r>
      <w:r>
        <w:rPr>
          <w:rStyle w:val="CharPartText"/>
        </w:rPr>
        <w:t>Infringement notices</w:t>
      </w:r>
      <w:bookmarkEnd w:id="108"/>
      <w:bookmarkEnd w:id="109"/>
      <w:bookmarkEnd w:id="110"/>
      <w:r>
        <w:rPr>
          <w:rStyle w:val="CharPartText"/>
        </w:rPr>
        <w:t xml:space="preserve"> </w:t>
      </w:r>
    </w:p>
    <w:p>
      <w:pPr>
        <w:pStyle w:val="Heading5"/>
        <w:rPr>
          <w:snapToGrid w:val="0"/>
        </w:rPr>
      </w:pPr>
      <w:bookmarkStart w:id="111" w:name="_Toc44414326"/>
      <w:r>
        <w:rPr>
          <w:rStyle w:val="CharSectno"/>
        </w:rPr>
        <w:t>61</w:t>
      </w:r>
      <w:r>
        <w:rPr>
          <w:snapToGrid w:val="0"/>
        </w:rPr>
        <w:t xml:space="preserve">. </w:t>
      </w:r>
      <w:r>
        <w:rPr>
          <w:snapToGrid w:val="0"/>
        </w:rPr>
        <w:tab/>
        <w:t>Offences for which infringement notice may be given</w:t>
      </w:r>
      <w:bookmarkEnd w:id="111"/>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112" w:name="_Toc44414327"/>
      <w:r>
        <w:rPr>
          <w:rStyle w:val="CharSectno"/>
        </w:rPr>
        <w:t>62</w:t>
      </w:r>
      <w:r>
        <w:rPr>
          <w:snapToGrid w:val="0"/>
        </w:rPr>
        <w:t xml:space="preserve">. </w:t>
      </w:r>
      <w:r>
        <w:rPr>
          <w:snapToGrid w:val="0"/>
        </w:rPr>
        <w:tab/>
        <w:t>Modified penalties</w:t>
      </w:r>
      <w:bookmarkEnd w:id="112"/>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113" w:name="_Toc44414328"/>
      <w:r>
        <w:rPr>
          <w:rStyle w:val="CharSectno"/>
        </w:rPr>
        <w:t>63</w:t>
      </w:r>
      <w:r>
        <w:rPr>
          <w:snapToGrid w:val="0"/>
        </w:rPr>
        <w:t xml:space="preserve">. </w:t>
      </w:r>
      <w:r>
        <w:rPr>
          <w:snapToGrid w:val="0"/>
        </w:rPr>
        <w:tab/>
        <w:t>Form of infringement notice — Form 3</w:t>
      </w:r>
      <w:bookmarkEnd w:id="113"/>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114" w:name="_Toc44414329"/>
      <w:r>
        <w:rPr>
          <w:rStyle w:val="CharSectno"/>
        </w:rPr>
        <w:t>64</w:t>
      </w:r>
      <w:r>
        <w:rPr>
          <w:snapToGrid w:val="0"/>
        </w:rPr>
        <w:t xml:space="preserve">. </w:t>
      </w:r>
      <w:r>
        <w:rPr>
          <w:snapToGrid w:val="0"/>
        </w:rPr>
        <w:tab/>
        <w:t>Form of notice of withdrawal of infringement notice — Form 4</w:t>
      </w:r>
      <w:bookmarkEnd w:id="114"/>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115" w:name="_Toc44400123"/>
      <w:bookmarkStart w:id="116" w:name="_Toc44402054"/>
      <w:bookmarkStart w:id="117" w:name="_Toc44414330"/>
      <w:r>
        <w:rPr>
          <w:rStyle w:val="CharPartNo"/>
        </w:rPr>
        <w:t>Part 8</w:t>
      </w:r>
      <w:r>
        <w:rPr>
          <w:rStyle w:val="CharDivNo"/>
        </w:rPr>
        <w:t> </w:t>
      </w:r>
      <w:r>
        <w:t>—</w:t>
      </w:r>
      <w:r>
        <w:rPr>
          <w:rStyle w:val="CharDivText"/>
        </w:rPr>
        <w:t> </w:t>
      </w:r>
      <w:r>
        <w:rPr>
          <w:rStyle w:val="CharPartText"/>
        </w:rPr>
        <w:t>Miscellaneous</w:t>
      </w:r>
      <w:bookmarkEnd w:id="115"/>
      <w:bookmarkEnd w:id="116"/>
      <w:bookmarkEnd w:id="117"/>
      <w:r>
        <w:rPr>
          <w:rStyle w:val="CharPartText"/>
        </w:rPr>
        <w:t xml:space="preserve"> </w:t>
      </w:r>
    </w:p>
    <w:p>
      <w:pPr>
        <w:pStyle w:val="Heading5"/>
        <w:spacing w:before="180"/>
        <w:rPr>
          <w:snapToGrid w:val="0"/>
        </w:rPr>
      </w:pPr>
      <w:bookmarkStart w:id="118" w:name="_Toc44414331"/>
      <w:r>
        <w:rPr>
          <w:rStyle w:val="CharSectno"/>
        </w:rPr>
        <w:t>65</w:t>
      </w:r>
      <w:r>
        <w:rPr>
          <w:snapToGrid w:val="0"/>
        </w:rPr>
        <w:t xml:space="preserve">. </w:t>
      </w:r>
      <w:r>
        <w:rPr>
          <w:snapToGrid w:val="0"/>
        </w:rPr>
        <w:tab/>
        <w:t>Register of occupiers</w:t>
      </w:r>
      <w:bookmarkEnd w:id="118"/>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 and</w:t>
      </w:r>
    </w:p>
    <w:p>
      <w:pPr>
        <w:pStyle w:val="Indenta"/>
        <w:rPr>
          <w:snapToGrid w:val="0"/>
        </w:rPr>
      </w:pPr>
      <w:r>
        <w:rPr>
          <w:snapToGrid w:val="0"/>
        </w:rPr>
        <w:tab/>
        <w:t>(b)</w:t>
      </w:r>
      <w:r>
        <w:rPr>
          <w:snapToGrid w:val="0"/>
        </w:rPr>
        <w:tab/>
        <w:t>which site is occupied by a particular occupier, or group of occupiers; and</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the caravan; and</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Gazette 25 Aug 2000 p. 4916.]</w:t>
      </w:r>
    </w:p>
    <w:p>
      <w:pPr>
        <w:pStyle w:val="Heading5"/>
        <w:spacing w:before="180"/>
        <w:rPr>
          <w:snapToGrid w:val="0"/>
        </w:rPr>
      </w:pPr>
      <w:bookmarkStart w:id="119" w:name="_Toc44414332"/>
      <w:r>
        <w:rPr>
          <w:rStyle w:val="CharSectno"/>
        </w:rPr>
        <w:t>66</w:t>
      </w:r>
      <w:r>
        <w:rPr>
          <w:snapToGrid w:val="0"/>
        </w:rPr>
        <w:t xml:space="preserve">. </w:t>
      </w:r>
      <w:r>
        <w:rPr>
          <w:snapToGrid w:val="0"/>
        </w:rPr>
        <w:tab/>
        <w:t>Local government register of licences</w:t>
      </w:r>
      <w:bookmarkEnd w:id="119"/>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120" w:name="_Toc44414333"/>
      <w:r>
        <w:rPr>
          <w:rStyle w:val="CharSectno"/>
        </w:rPr>
        <w:t>67</w:t>
      </w:r>
      <w:r>
        <w:rPr>
          <w:snapToGrid w:val="0"/>
        </w:rPr>
        <w:t xml:space="preserve">. </w:t>
      </w:r>
      <w:r>
        <w:rPr>
          <w:snapToGrid w:val="0"/>
        </w:rPr>
        <w:tab/>
        <w:t>Local government to keep copy of approvals and certificates</w:t>
      </w:r>
      <w:bookmarkEnd w:id="120"/>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121" w:name="_Toc44414334"/>
      <w:r>
        <w:rPr>
          <w:rStyle w:val="CharSectno"/>
        </w:rPr>
        <w:t>68</w:t>
      </w:r>
      <w:r>
        <w:rPr>
          <w:snapToGrid w:val="0"/>
        </w:rPr>
        <w:t xml:space="preserve">. </w:t>
      </w:r>
      <w:r>
        <w:rPr>
          <w:snapToGrid w:val="0"/>
        </w:rPr>
        <w:tab/>
        <w:t>Form of identity card for authorised person — Form 5</w:t>
      </w:r>
      <w:bookmarkEnd w:id="121"/>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Gazette 30 Dec 2004 p. 7011.]</w:t>
      </w:r>
    </w:p>
    <w:p>
      <w:pPr>
        <w:pStyle w:val="Heading5"/>
        <w:rPr>
          <w:snapToGrid w:val="0"/>
        </w:rPr>
      </w:pPr>
      <w:bookmarkStart w:id="122" w:name="_Toc44414335"/>
      <w:r>
        <w:rPr>
          <w:rStyle w:val="CharSectno"/>
        </w:rPr>
        <w:t>70</w:t>
      </w:r>
      <w:r>
        <w:rPr>
          <w:snapToGrid w:val="0"/>
        </w:rPr>
        <w:t xml:space="preserve">. </w:t>
      </w:r>
      <w:r>
        <w:rPr>
          <w:snapToGrid w:val="0"/>
        </w:rPr>
        <w:tab/>
        <w:t>Application for exemption, variation or modification from subsidiary legislation</w:t>
      </w:r>
      <w:bookmarkEnd w:id="122"/>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 and</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123" w:name="_Toc44414336"/>
      <w:r>
        <w:rPr>
          <w:rStyle w:val="CharSectno"/>
        </w:rPr>
        <w:t>71</w:t>
      </w:r>
      <w:r>
        <w:rPr>
          <w:snapToGrid w:val="0"/>
        </w:rPr>
        <w:t xml:space="preserve">. </w:t>
      </w:r>
      <w:r>
        <w:rPr>
          <w:snapToGrid w:val="0"/>
        </w:rPr>
        <w:tab/>
        <w:t>Application to extend exemption from subsidiary legislation</w:t>
      </w:r>
      <w:bookmarkEnd w:id="123"/>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 and</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124" w:name="_Toc44414337"/>
      <w:r>
        <w:rPr>
          <w:rStyle w:val="CharSectno"/>
        </w:rPr>
        <w:t>72</w:t>
      </w:r>
      <w:r>
        <w:rPr>
          <w:snapToGrid w:val="0"/>
        </w:rPr>
        <w:t xml:space="preserve">. </w:t>
      </w:r>
      <w:r>
        <w:rPr>
          <w:snapToGrid w:val="0"/>
        </w:rPr>
        <w:tab/>
        <w:t>Entry under Act s. 20</w:t>
      </w:r>
      <w:bookmarkEnd w:id="124"/>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spacing w:before="180"/>
        <w:rPr>
          <w:snapToGrid w:val="0"/>
        </w:rPr>
      </w:pPr>
      <w:bookmarkStart w:id="125" w:name="_Toc44414338"/>
      <w:r>
        <w:rPr>
          <w:rStyle w:val="CharSectno"/>
        </w:rPr>
        <w:t>73</w:t>
      </w:r>
      <w:r>
        <w:rPr>
          <w:snapToGrid w:val="0"/>
        </w:rPr>
        <w:t xml:space="preserve">. </w:t>
      </w:r>
      <w:r>
        <w:rPr>
          <w:snapToGrid w:val="0"/>
        </w:rPr>
        <w:tab/>
        <w:t>Transitional provisions — Schedule 9</w:t>
      </w:r>
      <w:bookmarkEnd w:id="125"/>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keepNext w:val="0"/>
        <w:outlineLvl w:val="0"/>
      </w:pPr>
      <w:bookmarkStart w:id="126" w:name="_Toc44400132"/>
      <w:bookmarkStart w:id="127" w:name="_Toc44402063"/>
      <w:bookmarkStart w:id="128" w:name="_Toc44414339"/>
      <w:r>
        <w:rPr>
          <w:rStyle w:val="CharSchNo"/>
        </w:rPr>
        <w:t>Schedule 1</w:t>
      </w:r>
      <w:r>
        <w:rPr>
          <w:rStyle w:val="CharSClsNo"/>
        </w:rPr>
        <w:t> </w:t>
      </w:r>
      <w:r>
        <w:t>— </w:t>
      </w:r>
      <w:r>
        <w:rPr>
          <w:rStyle w:val="CharSchText"/>
        </w:rPr>
        <w:t>Forms</w:t>
      </w:r>
      <w:bookmarkEnd w:id="126"/>
      <w:bookmarkEnd w:id="127"/>
      <w:bookmarkEnd w:id="128"/>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p>
        </w:tc>
        <w:tc>
          <w:tcPr>
            <w:tcW w:w="1418" w:type="dxa"/>
          </w:tcPr>
          <w:p>
            <w:pPr>
              <w:pStyle w:val="yTable"/>
              <w:jc w:val="right"/>
              <w:rPr>
                <w:snapToGrid w:val="0"/>
              </w:rPr>
            </w:pPr>
          </w:p>
        </w:tc>
      </w:tr>
    </w:tbl>
    <w:p>
      <w:pPr>
        <w:pStyle w:val="yShoulderClause"/>
        <w:pageBreakBefore/>
        <w:rPr>
          <w:snapToGrid w:val="0"/>
        </w:r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houlderClause"/>
        <w:pageBreakBefore/>
        <w:rPr>
          <w:snapToGrid w:val="0"/>
        </w:rPr>
      </w:pPr>
      <w:r>
        <w:rPr>
          <w:snapToGrid w:val="0"/>
        </w:rPr>
        <w:t>[Regs. 41 and 42.]</w:t>
      </w:r>
    </w:p>
    <w:p>
      <w:pPr>
        <w:pStyle w:val="MiscellaneousHeading"/>
        <w:spacing w:after="120"/>
        <w:outlineLvl w:val="0"/>
        <w:rPr>
          <w:b/>
          <w:sz w:val="20"/>
        </w:rPr>
      </w:pPr>
      <w:r>
        <w:rPr>
          <w:rStyle w:val="CharSClsNo"/>
          <w:b/>
        </w:rPr>
        <w:t>Form 1</w:t>
      </w:r>
      <w:r>
        <w:rPr>
          <w:b/>
          <w:sz w:val="20"/>
        </w:rPr>
        <w:t xml:space="preserve">.  </w:t>
      </w:r>
      <w:r>
        <w:rPr>
          <w:b/>
          <w:sz w:val="22"/>
          <w:szCs w:val="22"/>
        </w:rPr>
        <w:t>Application for Grant or Renewal of Licence</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r>
        <w:rPr>
          <w:sz w:val="16"/>
        </w:rP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 Gazette 12 Dec 2014 p. 4727.]</w:t>
      </w:r>
    </w:p>
    <w:p>
      <w:pPr>
        <w:pStyle w:val="MiscellaneousHeading"/>
        <w:pageBreakBefore/>
        <w:spacing w:after="120"/>
        <w:rPr>
          <w:b/>
          <w:sz w:val="20"/>
        </w:rPr>
      </w:pPr>
      <w:r>
        <w:rPr>
          <w:rStyle w:val="CharSClsNo"/>
          <w:b/>
        </w:rPr>
        <w:t>Form 2</w:t>
      </w:r>
      <w:r>
        <w:rPr>
          <w:b/>
          <w:sz w:val="20"/>
        </w:rPr>
        <w:t xml:space="preserve">.  </w:t>
      </w:r>
      <w:r>
        <w:rPr>
          <w:b/>
          <w:sz w:val="22"/>
          <w:szCs w:val="22"/>
        </w:rPr>
        <w:t>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rStyle w:val="CharSClsNo"/>
          <w:b/>
        </w:rPr>
        <w:t>Form 3</w:t>
      </w:r>
      <w:r>
        <w:rPr>
          <w:b/>
          <w:sz w:val="20"/>
        </w:rPr>
        <w:t xml:space="preserve">.  </w:t>
      </w:r>
      <w:r>
        <w:rPr>
          <w:b/>
          <w:sz w:val="22"/>
          <w:szCs w:val="22"/>
        </w:rPr>
        <w:t>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MiscellaneousBody"/>
        <w:jc w:val="center"/>
        <w:rPr>
          <w:b/>
        </w:rP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MiscellaneousBody"/>
              <w:rPr>
                <w:b/>
                <w:sz w:val="18"/>
                <w:szCs w:val="18"/>
              </w:rPr>
            </w:pPr>
            <w:r>
              <w:rPr>
                <w:b/>
                <w:sz w:val="18"/>
                <w:szCs w:val="18"/>
              </w:rPr>
              <w:t>WHAT YOU MUST DO</w:t>
            </w:r>
          </w:p>
        </w:tc>
        <w:tc>
          <w:tcPr>
            <w:tcW w:w="5868" w:type="dxa"/>
            <w:tcBorders>
              <w:bottom w:val="single" w:sz="4" w:space="0" w:color="auto"/>
            </w:tcBorders>
          </w:tcPr>
          <w:p>
            <w:pPr>
              <w:pStyle w:val="yMiscellaneousBody"/>
              <w:ind w:left="549" w:hanging="549"/>
              <w:rPr>
                <w:sz w:val="18"/>
                <w:szCs w:val="18"/>
              </w:rPr>
            </w:pPr>
            <w:r>
              <w:rPr>
                <w:sz w:val="18"/>
                <w:szCs w:val="18"/>
              </w:rPr>
              <w:t>1.</w:t>
            </w:r>
            <w:r>
              <w:rPr>
                <w:sz w:val="18"/>
                <w:szCs w:val="18"/>
              </w:rPr>
              <w:tab/>
              <w:t>You may dispose of this matter within 28 days after the service of this notice by paying the modified penalty.</w:t>
            </w:r>
          </w:p>
          <w:p>
            <w:pPr>
              <w:pStyle w:val="yMiscellaneousBody"/>
              <w:rPr>
                <w:sz w:val="18"/>
                <w:szCs w:val="18"/>
              </w:rPr>
            </w:pPr>
            <w:r>
              <w:rPr>
                <w:sz w:val="18"/>
                <w:szCs w:val="18"/>
              </w:rPr>
              <w:t>OR</w:t>
            </w:r>
          </w:p>
          <w:p>
            <w:pPr>
              <w:pStyle w:val="yMiscellaneousBody"/>
              <w:ind w:left="549" w:hanging="549"/>
              <w:rPr>
                <w:sz w:val="18"/>
                <w:szCs w:val="18"/>
              </w:rPr>
            </w:pPr>
            <w:r>
              <w:rPr>
                <w:sz w:val="18"/>
                <w:szCs w:val="18"/>
              </w:rPr>
              <w:t>2.</w:t>
            </w:r>
            <w:r>
              <w:rPr>
                <w:sz w:val="18"/>
                <w:szCs w:val="18"/>
              </w:rPr>
              <w:tab/>
              <w:t>Elect to have this matter dealt with before a COURT.</w:t>
            </w:r>
          </w:p>
          <w:p>
            <w:pPr>
              <w:pStyle w:val="yMiscellaneousBody"/>
              <w:rPr>
                <w:sz w:val="18"/>
                <w:szCs w:val="18"/>
              </w:rPr>
            </w:pPr>
            <w:r>
              <w:rPr>
                <w:sz w:val="18"/>
                <w:szCs w:val="18"/>
              </w:rPr>
              <w:t xml:space="preserve">Should you not pursue one of the above options within the time specified above, additional administrative charges may be incurred 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Ednotesection"/>
      </w:pPr>
      <w:r>
        <w:tab/>
        <w:t>[Form 3 amended: Gazette 20 Aug 2013 p. 3851; SL 2020/99 r. 4.]</w:t>
      </w:r>
    </w:p>
    <w:p>
      <w:pPr>
        <w:pStyle w:val="MiscellaneousHeading"/>
        <w:pageBreakBefore/>
        <w:spacing w:after="120"/>
        <w:rPr>
          <w:b/>
          <w:sz w:val="20"/>
        </w:rPr>
      </w:pPr>
      <w:r>
        <w:rPr>
          <w:rStyle w:val="CharSClsNo"/>
          <w:b/>
        </w:rPr>
        <w:t>Form 4</w:t>
      </w:r>
      <w:r>
        <w:rPr>
          <w:b/>
          <w:sz w:val="20"/>
        </w:rPr>
        <w:t xml:space="preserve">.  </w:t>
      </w:r>
      <w:r>
        <w:rPr>
          <w:b/>
          <w:sz w:val="22"/>
          <w:szCs w:val="22"/>
        </w:rPr>
        <w:t>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rStyle w:val="CharSClsNo"/>
          <w:b/>
        </w:rPr>
        <w:t>Form 5</w:t>
      </w:r>
      <w:r>
        <w:rPr>
          <w:b/>
          <w:sz w:val="20"/>
        </w:rPr>
        <w:t xml:space="preserve">.  </w:t>
      </w:r>
      <w:r>
        <w:rPr>
          <w:b/>
          <w:sz w:val="22"/>
          <w:szCs w:val="22"/>
        </w:rPr>
        <w:t>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r>
              <w:rPr>
                <w:sz w:val="18"/>
              </w:rPr>
              <w:t>WESTERN AUSTRALIA</w:t>
            </w:r>
          </w:p>
          <w:p>
            <w:pPr>
              <w:pStyle w:val="yTable"/>
              <w:jc w:val="center"/>
              <w:rPr>
                <w:sz w:val="18"/>
              </w:rPr>
            </w:pPr>
            <w:r>
              <w:rPr>
                <w:i/>
                <w:sz w:val="18"/>
              </w:rPr>
              <w:t>Caravan Parks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r>
              <w:rPr>
                <w:i/>
                <w:sz w:val="18"/>
              </w:rPr>
              <w:t>Caravan Parks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w:t>
            </w:r>
            <w:r>
              <w:rPr>
                <w:sz w:val="18"/>
                <w:vertAlign w:val="superscript"/>
              </w:rPr>
              <w:t> 1</w:t>
            </w:r>
            <w:r>
              <w:rPr>
                <w:sz w:val="18"/>
              </w:rPr>
              <w: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Gazette 30 Dec 2004 p. 7011.]</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keepNext w:val="0"/>
        <w:outlineLvl w:val="0"/>
      </w:pPr>
      <w:bookmarkStart w:id="130" w:name="_Toc44400133"/>
      <w:bookmarkStart w:id="131" w:name="_Toc44402064"/>
      <w:bookmarkStart w:id="132" w:name="_Toc44414340"/>
      <w:r>
        <w:rPr>
          <w:rStyle w:val="CharSchNo"/>
        </w:rPr>
        <w:t>Schedule 2</w:t>
      </w:r>
      <w:r>
        <w:t xml:space="preserve"> — </w:t>
      </w:r>
      <w:r>
        <w:rPr>
          <w:rStyle w:val="CharSchText"/>
        </w:rPr>
        <w:t>Types of facilities and licences</w:t>
      </w:r>
      <w:bookmarkEnd w:id="130"/>
      <w:bookmarkEnd w:id="131"/>
      <w:bookmarkEnd w:id="132"/>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Gazette 25 Aug 2000 p. 4920.]</w:t>
      </w:r>
    </w:p>
    <w:p>
      <w:pPr>
        <w:pStyle w:val="yScheduleHeading"/>
        <w:outlineLvl w:val="0"/>
      </w:pPr>
      <w:bookmarkStart w:id="133" w:name="_Toc44400134"/>
      <w:bookmarkStart w:id="134" w:name="_Toc44402065"/>
      <w:bookmarkStart w:id="135" w:name="_Toc44414341"/>
      <w:r>
        <w:rPr>
          <w:rStyle w:val="CharSchNo"/>
        </w:rPr>
        <w:t>Schedule 3</w:t>
      </w:r>
      <w:r>
        <w:t xml:space="preserve"> — </w:t>
      </w:r>
      <w:r>
        <w:rPr>
          <w:rStyle w:val="CharSchText"/>
        </w:rPr>
        <w:t>Fees</w:t>
      </w:r>
      <w:bookmarkEnd w:id="133"/>
      <w:bookmarkEnd w:id="134"/>
      <w:bookmarkEnd w:id="135"/>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p>
        </w:tc>
        <w:tc>
          <w:tcPr>
            <w:tcW w:w="2943" w:type="dxa"/>
          </w:tcPr>
          <w:p>
            <w:pPr>
              <w:pStyle w:val="yTable"/>
              <w:rPr>
                <w:sz w:val="18"/>
              </w:rPr>
            </w:pPr>
          </w:p>
        </w:tc>
      </w:tr>
    </w:tbl>
    <w:p>
      <w:pPr>
        <w:pStyle w:val="yFootnotesection"/>
      </w:pPr>
      <w:r>
        <w:t>[Schedule 3 amended: Gazette 25 Aug 2000 p. 4920; 30 Dec 2004 p. 7012.]</w:t>
      </w:r>
    </w:p>
    <w:p>
      <w:pPr>
        <w:pStyle w:val="yScheduleHeading"/>
        <w:keepNext w:val="0"/>
        <w:outlineLvl w:val="0"/>
        <w:rPr>
          <w:rStyle w:val="CharSchNo"/>
        </w:r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keepNext w:val="0"/>
        <w:outlineLvl w:val="0"/>
      </w:pPr>
      <w:bookmarkStart w:id="136" w:name="_Toc44400135"/>
      <w:bookmarkStart w:id="137" w:name="_Toc44402066"/>
      <w:bookmarkStart w:id="138" w:name="_Toc44414342"/>
      <w:r>
        <w:rPr>
          <w:rStyle w:val="CharSchNo"/>
        </w:rPr>
        <w:t>Schedule 4</w:t>
      </w:r>
      <w:r>
        <w:t xml:space="preserve"> — </w:t>
      </w:r>
      <w:r>
        <w:rPr>
          <w:rStyle w:val="CharSchText"/>
        </w:rPr>
        <w:t>Modified penalties</w:t>
      </w:r>
      <w:bookmarkEnd w:id="136"/>
      <w:bookmarkEnd w:id="137"/>
      <w:bookmarkEnd w:id="138"/>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Gazette 25 Aug 2000 p. 4916.]</w:t>
      </w:r>
    </w:p>
    <w:p>
      <w:pPr>
        <w:pStyle w:val="yScheduleHeading"/>
        <w:keepNext w:val="0"/>
        <w:outlineLvl w:val="0"/>
        <w:rPr>
          <w:rStyle w:val="CharSchNo"/>
        </w:rPr>
        <w:sectPr>
          <w:headerReference w:type="default" r:id="rId32"/>
          <w:pgSz w:w="11907" w:h="16840" w:code="9"/>
          <w:pgMar w:top="2381" w:right="2409" w:bottom="3543" w:left="2409" w:header="720" w:footer="3380" w:gutter="0"/>
          <w:cols w:space="720"/>
          <w:noEndnote/>
          <w:docGrid w:linePitch="326"/>
        </w:sectPr>
      </w:pPr>
    </w:p>
    <w:p>
      <w:pPr>
        <w:pStyle w:val="yScheduleHeading"/>
        <w:keepNext w:val="0"/>
        <w:outlineLvl w:val="0"/>
      </w:pPr>
      <w:bookmarkStart w:id="139" w:name="_Toc44400136"/>
      <w:bookmarkStart w:id="140" w:name="_Toc44402067"/>
      <w:bookmarkStart w:id="141" w:name="_Toc44414343"/>
      <w:r>
        <w:rPr>
          <w:rStyle w:val="CharSchNo"/>
        </w:rPr>
        <w:t>Schedule 5</w:t>
      </w:r>
      <w:r>
        <w:t xml:space="preserve"> — </w:t>
      </w:r>
      <w:r>
        <w:rPr>
          <w:rStyle w:val="CharSchText"/>
        </w:rPr>
        <w:t>Standards for caravans</w:t>
      </w:r>
      <w:bookmarkEnd w:id="139"/>
      <w:bookmarkEnd w:id="140"/>
      <w:bookmarkEnd w:id="141"/>
    </w:p>
    <w:p>
      <w:pPr>
        <w:pStyle w:val="yShoulderClause"/>
      </w:pPr>
      <w:r>
        <w:t>[Regs. 16(a) and 22(a).]</w:t>
      </w:r>
    </w:p>
    <w:p>
      <w:pPr>
        <w:pStyle w:val="yHeading3"/>
        <w:outlineLvl w:val="0"/>
      </w:pPr>
      <w:bookmarkStart w:id="142" w:name="_Toc44400137"/>
      <w:bookmarkStart w:id="143" w:name="_Toc44402068"/>
      <w:bookmarkStart w:id="144" w:name="_Toc44414344"/>
      <w:r>
        <w:rPr>
          <w:rStyle w:val="CharSDivNo"/>
        </w:rPr>
        <w:t>Division 1</w:t>
      </w:r>
      <w:r>
        <w:t xml:space="preserve"> — </w:t>
      </w:r>
      <w:r>
        <w:rPr>
          <w:rStyle w:val="CharSDivText"/>
        </w:rPr>
        <w:t>Standards applying to all caravans</w:t>
      </w:r>
      <w:bookmarkEnd w:id="142"/>
      <w:bookmarkEnd w:id="143"/>
      <w:bookmarkEnd w:id="144"/>
    </w:p>
    <w:p>
      <w:pPr>
        <w:pStyle w:val="yHeading5"/>
        <w:outlineLvl w:val="0"/>
      </w:pPr>
      <w:bookmarkStart w:id="145" w:name="_Toc44414345"/>
      <w:r>
        <w:rPr>
          <w:rStyle w:val="CharSClsNo"/>
        </w:rPr>
        <w:t>1</w:t>
      </w:r>
      <w:r>
        <w:t>.</w:t>
      </w:r>
      <w:r>
        <w:tab/>
        <w:t>Caravans not to be attached to each other</w:t>
      </w:r>
      <w:bookmarkEnd w:id="145"/>
    </w:p>
    <w:p>
      <w:pPr>
        <w:pStyle w:val="ySubsection"/>
      </w:pPr>
      <w:r>
        <w:tab/>
      </w:r>
      <w:r>
        <w:tab/>
        <w:t>A caravan is not to be attached to another caravan.</w:t>
      </w:r>
    </w:p>
    <w:p>
      <w:pPr>
        <w:pStyle w:val="yHeading3"/>
        <w:outlineLvl w:val="0"/>
      </w:pPr>
      <w:bookmarkStart w:id="146" w:name="_Toc44400139"/>
      <w:bookmarkStart w:id="147" w:name="_Toc44402070"/>
      <w:bookmarkStart w:id="148" w:name="_Toc44414346"/>
      <w:r>
        <w:rPr>
          <w:rStyle w:val="CharSDivNo"/>
        </w:rPr>
        <w:t>Division 2</w:t>
      </w:r>
      <w:r>
        <w:t> — </w:t>
      </w:r>
      <w:r>
        <w:rPr>
          <w:rStyle w:val="CharSDivText"/>
        </w:rPr>
        <w:t>Standards applying to park homes</w:t>
      </w:r>
      <w:bookmarkEnd w:id="146"/>
      <w:bookmarkEnd w:id="147"/>
      <w:bookmarkEnd w:id="148"/>
    </w:p>
    <w:p>
      <w:pPr>
        <w:pStyle w:val="yHeading5"/>
        <w:outlineLvl w:val="0"/>
      </w:pPr>
      <w:bookmarkStart w:id="149" w:name="_Toc44414347"/>
      <w:r>
        <w:rPr>
          <w:rStyle w:val="CharSClsNo"/>
        </w:rPr>
        <w:t>2</w:t>
      </w:r>
      <w:r>
        <w:t>.</w:t>
      </w:r>
      <w:r>
        <w:tab/>
        <w:t>Park homes to be of one storey</w:t>
      </w:r>
      <w:bookmarkEnd w:id="149"/>
    </w:p>
    <w:p>
      <w:pPr>
        <w:pStyle w:val="ySubsection"/>
      </w:pPr>
      <w:r>
        <w:tab/>
      </w:r>
      <w:r>
        <w:tab/>
        <w:t>A park home is to have only one storey.</w:t>
      </w:r>
    </w:p>
    <w:p>
      <w:pPr>
        <w:pStyle w:val="yHeading5"/>
        <w:outlineLvl w:val="0"/>
      </w:pPr>
      <w:bookmarkStart w:id="150" w:name="_Toc44414348"/>
      <w:r>
        <w:rPr>
          <w:rStyle w:val="CharSClsNo"/>
        </w:rPr>
        <w:t>3</w:t>
      </w:r>
      <w:r>
        <w:t>.</w:t>
      </w:r>
      <w:r>
        <w:tab/>
        <w:t>Park home to have chassis, wheels, tie down points etc.</w:t>
      </w:r>
      <w:bookmarkEnd w:id="150"/>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outlineLvl w:val="0"/>
      </w:pPr>
      <w:bookmarkStart w:id="151" w:name="_Toc44414349"/>
      <w:r>
        <w:rPr>
          <w:rStyle w:val="CharSClsNo"/>
        </w:rPr>
        <w:t>4</w:t>
      </w:r>
      <w:r>
        <w:t>.</w:t>
      </w:r>
      <w:r>
        <w:tab/>
        <w:t>Park home stabilised and secured</w:t>
      </w:r>
      <w:bookmarkEnd w:id="151"/>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outlineLvl w:val="0"/>
      </w:pPr>
      <w:bookmarkStart w:id="152" w:name="_Toc44414350"/>
      <w:r>
        <w:rPr>
          <w:rStyle w:val="CharSClsNo"/>
        </w:rPr>
        <w:t>5</w:t>
      </w:r>
      <w:r>
        <w:t>.</w:t>
      </w:r>
      <w:r>
        <w:tab/>
        <w:t>Corrosion protection</w:t>
      </w:r>
      <w:bookmarkEnd w:id="152"/>
    </w:p>
    <w:p>
      <w:pPr>
        <w:pStyle w:val="ySubsection"/>
      </w:pPr>
      <w:r>
        <w:tab/>
      </w:r>
      <w:r>
        <w:tab/>
        <w:t>Metal coverings and exposed metal on a park home are to be of corrosion resistant materials, or are to be treated to resist corrosion.</w:t>
      </w:r>
    </w:p>
    <w:p>
      <w:pPr>
        <w:pStyle w:val="yScheduleHeading"/>
        <w:keepNext w:val="0"/>
        <w:outlineLvl w:val="0"/>
      </w:pPr>
      <w:bookmarkStart w:id="153" w:name="_Toc44400144"/>
      <w:bookmarkStart w:id="154" w:name="_Toc44402075"/>
      <w:bookmarkStart w:id="155" w:name="_Toc44414351"/>
      <w:r>
        <w:rPr>
          <w:rStyle w:val="CharSchNo"/>
        </w:rPr>
        <w:t>Schedule 6</w:t>
      </w:r>
      <w:r>
        <w:rPr>
          <w:rStyle w:val="CharSDivNo"/>
        </w:rPr>
        <w:t> </w:t>
      </w:r>
      <w:r>
        <w:t>—</w:t>
      </w:r>
      <w:r>
        <w:rPr>
          <w:rStyle w:val="CharSDivText"/>
        </w:rPr>
        <w:t> </w:t>
      </w:r>
      <w:r>
        <w:rPr>
          <w:rStyle w:val="CharSchText"/>
        </w:rPr>
        <w:t>Standards for annexes</w:t>
      </w:r>
      <w:bookmarkEnd w:id="153"/>
      <w:bookmarkEnd w:id="154"/>
      <w:bookmarkEnd w:id="155"/>
    </w:p>
    <w:p>
      <w:pPr>
        <w:pStyle w:val="yShoulderClause"/>
      </w:pPr>
      <w:r>
        <w:t>[Regs. 16(b), 22(b) and 34(3)(a).]</w:t>
      </w:r>
    </w:p>
    <w:p>
      <w:pPr>
        <w:pStyle w:val="yHeading5"/>
        <w:spacing w:before="240"/>
        <w:outlineLvl w:val="0"/>
      </w:pPr>
      <w:bookmarkStart w:id="156" w:name="_Toc44414352"/>
      <w:r>
        <w:rPr>
          <w:rStyle w:val="CharSClsNo"/>
        </w:rPr>
        <w:t>1</w:t>
      </w:r>
      <w:r>
        <w:t>.</w:t>
      </w:r>
      <w:r>
        <w:tab/>
        <w:t>Annexes</w:t>
      </w:r>
      <w:bookmarkEnd w:id="156"/>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outlineLvl w:val="0"/>
      </w:pPr>
      <w:bookmarkStart w:id="157" w:name="_Toc44414353"/>
      <w:r>
        <w:rPr>
          <w:rStyle w:val="CharSClsNo"/>
        </w:rPr>
        <w:t>2</w:t>
      </w:r>
      <w:r>
        <w:t>.</w:t>
      </w:r>
      <w:r>
        <w:tab/>
        <w:t>Size of annexes</w:t>
      </w:r>
      <w:bookmarkEnd w:id="157"/>
    </w:p>
    <w:p>
      <w:pPr>
        <w:pStyle w:val="ySubsection"/>
      </w:pPr>
      <w:r>
        <w:tab/>
      </w:r>
      <w:r>
        <w:tab/>
        <w:t>An annexe — </w:t>
      </w:r>
    </w:p>
    <w:p>
      <w:pPr>
        <w:pStyle w:val="yIndenta"/>
      </w:pPr>
      <w:r>
        <w:tab/>
        <w:t>(a)</w:t>
      </w:r>
      <w:r>
        <w:tab/>
        <w:t>is not to be longer than the caravan to which it is attached; and</w:t>
      </w:r>
    </w:p>
    <w:p>
      <w:pPr>
        <w:pStyle w:val="yIndenta"/>
      </w:pPr>
      <w:r>
        <w:tab/>
        <w:t>(b)</w:t>
      </w:r>
      <w:r>
        <w:tab/>
        <w:t>may be higher than the caravan to which it is attached by not more than 300 mm; and</w:t>
      </w:r>
    </w:p>
    <w:p>
      <w:pPr>
        <w:pStyle w:val="yIndenta"/>
      </w:pPr>
      <w:r>
        <w:tab/>
        <w:t>(c)</w:t>
      </w:r>
      <w:r>
        <w:tab/>
        <w:t>is not to be wider than 3.6 m.</w:t>
      </w:r>
    </w:p>
    <w:p>
      <w:pPr>
        <w:pStyle w:val="yHeading5"/>
        <w:spacing w:before="240"/>
        <w:outlineLvl w:val="0"/>
      </w:pPr>
      <w:bookmarkStart w:id="158" w:name="_Toc44414354"/>
      <w:r>
        <w:rPr>
          <w:rStyle w:val="CharSClsNo"/>
        </w:rPr>
        <w:t>3</w:t>
      </w:r>
      <w:r>
        <w:t>.</w:t>
      </w:r>
      <w:r>
        <w:tab/>
        <w:t>Flexible annexes</w:t>
      </w:r>
      <w:bookmarkEnd w:id="158"/>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self-contained chemical toilet) or any laundry facility.</w:t>
      </w:r>
    </w:p>
    <w:p>
      <w:pPr>
        <w:pStyle w:val="yHeading5"/>
        <w:outlineLvl w:val="0"/>
      </w:pPr>
      <w:bookmarkStart w:id="159" w:name="_Toc44414355"/>
      <w:r>
        <w:rPr>
          <w:rStyle w:val="CharSClsNo"/>
        </w:rPr>
        <w:t>4</w:t>
      </w:r>
      <w:r>
        <w:t>.</w:t>
      </w:r>
      <w:r>
        <w:tab/>
        <w:t>Rigid annexes</w:t>
      </w:r>
      <w:bookmarkEnd w:id="159"/>
    </w:p>
    <w:p>
      <w:pPr>
        <w:pStyle w:val="ySubsection"/>
      </w:pPr>
      <w:r>
        <w:tab/>
      </w:r>
      <w:r>
        <w:tab/>
        <w:t>A rigid annexe is to — </w:t>
      </w:r>
    </w:p>
    <w:p>
      <w:pPr>
        <w:pStyle w:val="yIndenta"/>
      </w:pPr>
      <w:r>
        <w:tab/>
        <w:t>(a)</w:t>
      </w:r>
      <w:r>
        <w:tab/>
        <w:t>have walls of prefabricated modular panels or sections; and</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outlineLvl w:val="0"/>
      </w:pPr>
      <w:bookmarkStart w:id="160" w:name="_Toc44400149"/>
      <w:bookmarkStart w:id="161" w:name="_Toc44402080"/>
      <w:bookmarkStart w:id="162" w:name="_Toc44414356"/>
      <w:r>
        <w:rPr>
          <w:rStyle w:val="CharSchNo"/>
        </w:rPr>
        <w:t>Schedule 7</w:t>
      </w:r>
      <w:r>
        <w:t> — </w:t>
      </w:r>
      <w:r>
        <w:rPr>
          <w:rStyle w:val="CharSchText"/>
        </w:rPr>
        <w:t>Caravan parks and camping grounds</w:t>
      </w:r>
      <w:bookmarkEnd w:id="160"/>
      <w:bookmarkEnd w:id="161"/>
      <w:bookmarkEnd w:id="162"/>
    </w:p>
    <w:p>
      <w:pPr>
        <w:pStyle w:val="yShoulderClause"/>
      </w:pPr>
      <w:r>
        <w:t>[Regs. 17, 23, 34(3)(a), 39(2)(a) and 40(2)(a).]</w:t>
      </w:r>
    </w:p>
    <w:p>
      <w:pPr>
        <w:pStyle w:val="yHeading3"/>
        <w:spacing w:before="220"/>
        <w:outlineLvl w:val="0"/>
      </w:pPr>
      <w:bookmarkStart w:id="163" w:name="_Toc44400150"/>
      <w:bookmarkStart w:id="164" w:name="_Toc44402081"/>
      <w:bookmarkStart w:id="165" w:name="_Toc44414357"/>
      <w:r>
        <w:rPr>
          <w:rStyle w:val="CharSDivNo"/>
        </w:rPr>
        <w:t>Division 1</w:t>
      </w:r>
      <w:r>
        <w:t> — </w:t>
      </w:r>
      <w:r>
        <w:rPr>
          <w:rStyle w:val="CharSDivText"/>
        </w:rPr>
        <w:t>General provisions</w:t>
      </w:r>
      <w:bookmarkEnd w:id="163"/>
      <w:bookmarkEnd w:id="164"/>
      <w:bookmarkEnd w:id="165"/>
    </w:p>
    <w:p>
      <w:pPr>
        <w:pStyle w:val="yHeading5"/>
        <w:spacing w:before="180"/>
        <w:outlineLvl w:val="0"/>
      </w:pPr>
      <w:bookmarkStart w:id="166" w:name="_Toc44414358"/>
      <w:r>
        <w:rPr>
          <w:rStyle w:val="CharSClsNo"/>
        </w:rPr>
        <w:t>1</w:t>
      </w:r>
      <w:r>
        <w:t>.</w:t>
      </w:r>
      <w:r>
        <w:tab/>
        <w:t>Only one caravan on caravan site</w:t>
      </w:r>
      <w:bookmarkEnd w:id="166"/>
    </w:p>
    <w:p>
      <w:pPr>
        <w:pStyle w:val="ySubsection"/>
      </w:pPr>
      <w:r>
        <w:tab/>
      </w:r>
      <w:r>
        <w:tab/>
        <w:t>There may be only one caravan used for habitation on a caravan site at any one time, unless otherwise specified in this Schedule.</w:t>
      </w:r>
    </w:p>
    <w:p>
      <w:pPr>
        <w:pStyle w:val="yHeading5"/>
        <w:spacing w:before="180"/>
        <w:outlineLvl w:val="0"/>
      </w:pPr>
      <w:bookmarkStart w:id="167" w:name="_Toc44414359"/>
      <w:r>
        <w:rPr>
          <w:rStyle w:val="CharSClsNo"/>
        </w:rPr>
        <w:t>2</w:t>
      </w:r>
      <w:r>
        <w:t>.</w:t>
      </w:r>
      <w:r>
        <w:tab/>
        <w:t>Caravans to be freely movable from sites</w:t>
      </w:r>
      <w:bookmarkEnd w:id="167"/>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180"/>
        <w:outlineLvl w:val="0"/>
      </w:pPr>
      <w:bookmarkStart w:id="168" w:name="_Toc44414360"/>
      <w:r>
        <w:rPr>
          <w:rStyle w:val="CharSClsNo"/>
        </w:rPr>
        <w:t>3</w:t>
      </w:r>
      <w:r>
        <w:t>.</w:t>
      </w:r>
      <w:r>
        <w:tab/>
        <w:t>Tent may be on caravan site</w:t>
      </w:r>
      <w:bookmarkEnd w:id="168"/>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180"/>
        <w:outlineLvl w:val="0"/>
      </w:pPr>
      <w:bookmarkStart w:id="169" w:name="_Toc44414361"/>
      <w:r>
        <w:rPr>
          <w:rStyle w:val="CharSClsNo"/>
        </w:rPr>
        <w:t>4</w:t>
      </w:r>
      <w:r>
        <w:t>.</w:t>
      </w:r>
      <w:r>
        <w:tab/>
        <w:t>Limit to number of people on site</w:t>
      </w:r>
      <w:bookmarkEnd w:id="169"/>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Footnotesection"/>
      </w:pPr>
      <w:r>
        <w:tab/>
        <w:t>[Clause 4 amended: Gazette 25 Aug 2000 p. 4917.]</w:t>
      </w:r>
    </w:p>
    <w:p>
      <w:pPr>
        <w:pStyle w:val="yHeading5"/>
        <w:spacing w:before="180"/>
        <w:outlineLvl w:val="0"/>
      </w:pPr>
      <w:bookmarkStart w:id="170" w:name="_Toc44414362"/>
      <w:r>
        <w:rPr>
          <w:rStyle w:val="CharSClsNo"/>
        </w:rPr>
        <w:t>5A</w:t>
      </w:r>
      <w:r>
        <w:t>.</w:t>
      </w:r>
      <w:r>
        <w:tab/>
        <w:t>Length of stay at nature based parks</w:t>
      </w:r>
      <w:bookmarkEnd w:id="170"/>
    </w:p>
    <w:p>
      <w:pPr>
        <w:pStyle w:val="ySubsection"/>
        <w:spacing w:before="120"/>
      </w:pPr>
      <w:r>
        <w:tab/>
        <w:t>(1)</w:t>
      </w:r>
      <w:r>
        <w:tab/>
        <w:t>A person cannot be an occupier at a nature based park for more than 28 nights in total in a 3 month period starting on the first day that the person occupies a site at the facility.</w:t>
      </w:r>
    </w:p>
    <w:p>
      <w:pPr>
        <w:pStyle w:val="ySubsection"/>
      </w:pPr>
      <w:r>
        <w:tab/>
        <w:t>(2)</w:t>
      </w:r>
      <w:r>
        <w:tab/>
        <w:t>Subclause (1) does not apply to the manager of the facility.</w:t>
      </w:r>
    </w:p>
    <w:p>
      <w:pPr>
        <w:pStyle w:val="ySubsection"/>
        <w:spacing w:before="180"/>
      </w:pPr>
      <w:r>
        <w:tab/>
        <w:t>(3)</w:t>
      </w:r>
      <w:r>
        <w:tab/>
        <w:t>Subclause (1) applies only to stays that commence on or after 1 January 2015.</w:t>
      </w:r>
    </w:p>
    <w:p>
      <w:pPr>
        <w:pStyle w:val="yFootnotesection"/>
      </w:pPr>
      <w:r>
        <w:tab/>
        <w:t>[Clause 5A inserted: Gazette 12 Dec 2014 p. 4727.]</w:t>
      </w:r>
    </w:p>
    <w:p>
      <w:pPr>
        <w:pStyle w:val="yHeading5"/>
        <w:spacing w:before="240"/>
        <w:outlineLvl w:val="0"/>
      </w:pPr>
      <w:bookmarkStart w:id="171" w:name="_Toc44414363"/>
      <w:r>
        <w:rPr>
          <w:rStyle w:val="CharSClsNo"/>
        </w:rPr>
        <w:t>5</w:t>
      </w:r>
      <w:r>
        <w:t>.</w:t>
      </w:r>
      <w:r>
        <w:tab/>
        <w:t>On</w:t>
      </w:r>
      <w:r>
        <w:noBreakHyphen/>
        <w:t>site caravans</w:t>
      </w:r>
      <w:bookmarkEnd w:id="171"/>
    </w:p>
    <w:p>
      <w:pPr>
        <w:pStyle w:val="ySubsection"/>
        <w:spacing w:before="180"/>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Footnotesection"/>
      </w:pPr>
      <w:r>
        <w:tab/>
        <w:t>[Clause 5 amended: Gazette 25 Aug 2000 p. 4917.]</w:t>
      </w:r>
    </w:p>
    <w:p>
      <w:pPr>
        <w:pStyle w:val="yHeading5"/>
        <w:spacing w:before="240"/>
        <w:outlineLvl w:val="0"/>
      </w:pPr>
      <w:bookmarkStart w:id="172" w:name="_Toc44414364"/>
      <w:r>
        <w:rPr>
          <w:rStyle w:val="CharSClsNo"/>
        </w:rPr>
        <w:t>6</w:t>
      </w:r>
      <w:r>
        <w:t>.</w:t>
      </w:r>
      <w:r>
        <w:tab/>
        <w:t>Part D3 of Building Code “Access for People with Disabilities” to be complied with</w:t>
      </w:r>
      <w:bookmarkEnd w:id="172"/>
    </w:p>
    <w:p>
      <w:pPr>
        <w:pStyle w:val="ySubsection"/>
        <w:spacing w:before="180"/>
      </w:pPr>
      <w:r>
        <w:tab/>
        <w:t>(1)</w:t>
      </w:r>
      <w:r>
        <w:tab/>
        <w:t xml:space="preserve">A caravan park is to comply with Part D3 of the Building Code in as far as the provisions of that Part can be applied to a caravan park. </w:t>
      </w:r>
    </w:p>
    <w:p>
      <w:pPr>
        <w:pStyle w:val="ySubsection"/>
        <w:spacing w:before="180"/>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outlineLvl w:val="0"/>
      </w:pPr>
      <w:bookmarkStart w:id="173" w:name="_Toc44400158"/>
      <w:bookmarkStart w:id="174" w:name="_Toc44402089"/>
      <w:bookmarkStart w:id="175" w:name="_Toc44414365"/>
      <w:r>
        <w:rPr>
          <w:rStyle w:val="CharSDivNo"/>
        </w:rPr>
        <w:t>Division 2</w:t>
      </w:r>
      <w:r>
        <w:t> — </w:t>
      </w:r>
      <w:r>
        <w:rPr>
          <w:rStyle w:val="CharSDivText"/>
        </w:rPr>
        <w:t>Distances between caravans, camps, buildings, etc.</w:t>
      </w:r>
      <w:bookmarkEnd w:id="173"/>
      <w:bookmarkEnd w:id="174"/>
      <w:bookmarkEnd w:id="175"/>
    </w:p>
    <w:p>
      <w:pPr>
        <w:pStyle w:val="yHeading5"/>
        <w:spacing w:before="240"/>
        <w:outlineLvl w:val="0"/>
      </w:pPr>
      <w:bookmarkStart w:id="176" w:name="_Toc44414366"/>
      <w:r>
        <w:rPr>
          <w:rStyle w:val="CharSClsNo"/>
        </w:rPr>
        <w:t>7</w:t>
      </w:r>
      <w:r>
        <w:t>.</w:t>
      </w:r>
      <w:r>
        <w:tab/>
        <w:t>Local government or licence holder may increase minimum distances in particular cases</w:t>
      </w:r>
      <w:bookmarkEnd w:id="176"/>
    </w:p>
    <w:p>
      <w:pPr>
        <w:pStyle w:val="ySubsection"/>
        <w:spacing w:before="180"/>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keepNext/>
        <w:spacing w:before="180"/>
      </w:pPr>
      <w:r>
        <w:tab/>
        <w:t>(2)</w:t>
      </w:r>
      <w:r>
        <w:tab/>
        <w:t xml:space="preserve">A local government may only direct that a distance be increased under subclause (1) in a respect of a facility which has fire extinguishers. </w:t>
      </w:r>
    </w:p>
    <w:p>
      <w:pPr>
        <w:pStyle w:val="yHeading5"/>
        <w:outlineLvl w:val="0"/>
      </w:pPr>
      <w:bookmarkStart w:id="177" w:name="_Toc44414367"/>
      <w:r>
        <w:rPr>
          <w:rStyle w:val="CharSClsNo"/>
        </w:rPr>
        <w:t>8</w:t>
      </w:r>
      <w:r>
        <w:t>.</w:t>
      </w:r>
      <w:r>
        <w:tab/>
        <w:t>Position of caravans, annexes and camps</w:t>
      </w:r>
      <w:bookmarkEnd w:id="177"/>
    </w:p>
    <w:p>
      <w:pPr>
        <w:pStyle w:val="ySubsection"/>
        <w:spacing w:before="180"/>
      </w:pPr>
      <w:r>
        <w:tab/>
        <w:t>(1)</w:t>
      </w:r>
      <w:r>
        <w:tab/>
        <w:t>There is to be at least 3 m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spacing w:before="180"/>
      </w:pPr>
      <w:r>
        <w:tab/>
        <w:t>(2)</w:t>
      </w:r>
      <w:r>
        <w:tab/>
        <w:t>There is to be at least 3 m between any camp described in clause 4(2) and the camp of any person who is not a member of the group.</w:t>
      </w:r>
    </w:p>
    <w:p>
      <w:pPr>
        <w:pStyle w:val="ySubsection"/>
        <w:spacing w:before="180"/>
      </w:pPr>
      <w:r>
        <w:tab/>
        <w:t>(3)</w:t>
      </w:r>
      <w:r>
        <w:tab/>
        <w:t>There is to be at least 1 m, or such shorter distance as is approved under subclause (3a), between any caravan, camp, annexe or other structure or building and any facility road.</w:t>
      </w:r>
    </w:p>
    <w:p>
      <w:pPr>
        <w:pStyle w:val="ySubsection"/>
        <w:spacing w:before="180"/>
      </w:pPr>
      <w:r>
        <w:tab/>
        <w:t>(3a)</w:t>
      </w:r>
      <w:r>
        <w:tab/>
        <w:t xml:space="preserve">A shorter distance may only be approved under subclause (3) if the distance was shorter than 1 m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r>
        <w:t>.</w:t>
      </w:r>
    </w:p>
    <w:p>
      <w:pPr>
        <w:pStyle w:val="ySubsection"/>
        <w:spacing w:before="180"/>
      </w:pPr>
      <w:r>
        <w:tab/>
        <w:t>(4)</w:t>
      </w:r>
      <w:r>
        <w:tab/>
        <w:t>There is to be at least 6 m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than 2.5 m from such land.</w:t>
      </w:r>
    </w:p>
    <w:p>
      <w:pPr>
        <w:pStyle w:val="ySubsection"/>
        <w:spacing w:before="180"/>
      </w:pPr>
      <w:r>
        <w:tab/>
        <w:t>(5)</w:t>
      </w:r>
      <w:r>
        <w:tab/>
        <w:t>There is to be at least 1 m between the boundary of a facility and a caravan, camp, annexe or other structure or building on the facility.</w:t>
      </w:r>
    </w:p>
    <w:p>
      <w:pPr>
        <w:pStyle w:val="yFootnotesection"/>
      </w:pPr>
      <w:r>
        <w:tab/>
        <w:t>[Clause 8 amended: Gazette 25 Aug 2000 p. 4917.]</w:t>
      </w:r>
    </w:p>
    <w:p>
      <w:pPr>
        <w:pStyle w:val="yHeading5"/>
        <w:spacing w:before="240"/>
        <w:outlineLvl w:val="0"/>
      </w:pPr>
      <w:bookmarkStart w:id="178" w:name="_Toc44414368"/>
      <w:r>
        <w:rPr>
          <w:rStyle w:val="CharSClsNo"/>
        </w:rPr>
        <w:t>9</w:t>
      </w:r>
      <w:r>
        <w:t>.</w:t>
      </w:r>
      <w:r>
        <w:tab/>
        <w:t>Position of carports, en suites and other buildings</w:t>
      </w:r>
      <w:bookmarkEnd w:id="178"/>
    </w:p>
    <w:p>
      <w:pPr>
        <w:pStyle w:val="ySubsection"/>
        <w:spacing w:before="180"/>
      </w:pPr>
      <w:r>
        <w:tab/>
        <w:t>(1)</w:t>
      </w:r>
      <w:r>
        <w:tab/>
        <w:t>There is to be at least 1 m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spacing w:before="180"/>
      </w:pPr>
      <w:r>
        <w:tab/>
        <w:t>(2)</w:t>
      </w:r>
      <w:r>
        <w:tab/>
        <w:t>There is to be at least 2 m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spacing w:before="180"/>
      </w:pPr>
      <w:r>
        <w:tab/>
        <w:t>(3)</w:t>
      </w:r>
      <w:r>
        <w:tab/>
        <w:t>There is to be at least 1 m between an open sided double carport and a caravan, annexe, camp or other structure or building on another site.</w:t>
      </w:r>
    </w:p>
    <w:p>
      <w:pPr>
        <w:pStyle w:val="ySubsection"/>
        <w:spacing w:before="180"/>
      </w:pPr>
      <w:r>
        <w:tab/>
        <w:t>(4)</w:t>
      </w:r>
      <w:r>
        <w:tab/>
        <w:t>There is to be at least 2 m between a free standing storage shed on a site and a caravan, annexe or other building or structure on another site.</w:t>
      </w:r>
    </w:p>
    <w:p>
      <w:pPr>
        <w:pStyle w:val="ySubsection"/>
        <w:spacing w:before="180"/>
      </w:pPr>
      <w:r>
        <w:tab/>
        <w:t>(5)</w:t>
      </w:r>
      <w:r>
        <w:tab/>
        <w:t>An open sided double carport is not to be attached to a caravan if it is to be used by the occupants of a caravan on another site.</w:t>
      </w:r>
    </w:p>
    <w:p>
      <w:pPr>
        <w:pStyle w:val="ySubsection"/>
        <w:spacing w:before="180"/>
      </w:pPr>
      <w:r>
        <w:tab/>
        <w:t>(6)</w:t>
      </w:r>
      <w:r>
        <w:tab/>
        <w:t>There is no minimum distance between a caravan, annexe, camp or any other building or structure and an en suite on the same site.</w:t>
      </w:r>
    </w:p>
    <w:p>
      <w:pPr>
        <w:pStyle w:val="ySubsection"/>
        <w:spacing w:before="180"/>
      </w:pPr>
      <w:r>
        <w:tab/>
        <w:t>(7)</w:t>
      </w:r>
      <w:r>
        <w:tab/>
        <w:t xml:space="preserve">In this clause — </w:t>
      </w:r>
    </w:p>
    <w:p>
      <w:pPr>
        <w:pStyle w:val="yDefstart"/>
      </w:pPr>
      <w:r>
        <w:tab/>
      </w:r>
      <w:r>
        <w:rPr>
          <w:rStyle w:val="CharDefText"/>
        </w:rPr>
        <w:t>open sided double carport</w:t>
      </w:r>
      <w:r>
        <w:t xml:space="preserve"> means a double carport that is an open sided building.</w:t>
      </w:r>
    </w:p>
    <w:p>
      <w:pPr>
        <w:pStyle w:val="yFootnotesection"/>
      </w:pPr>
      <w:r>
        <w:tab/>
        <w:t>[Clause 9 amended: Gazette 25 Aug 2000 p. 4918.]</w:t>
      </w:r>
    </w:p>
    <w:p>
      <w:pPr>
        <w:pStyle w:val="yHeading3"/>
        <w:outlineLvl w:val="0"/>
      </w:pPr>
      <w:bookmarkStart w:id="179" w:name="_Toc44400162"/>
      <w:bookmarkStart w:id="180" w:name="_Toc44402093"/>
      <w:bookmarkStart w:id="181" w:name="_Toc44414369"/>
      <w:r>
        <w:rPr>
          <w:rStyle w:val="CharSDivNo"/>
        </w:rPr>
        <w:t>Division 3</w:t>
      </w:r>
      <w:r>
        <w:t> — </w:t>
      </w:r>
      <w:r>
        <w:rPr>
          <w:rStyle w:val="CharSDivText"/>
        </w:rPr>
        <w:t>Buildings, fences and hard stands</w:t>
      </w:r>
      <w:bookmarkEnd w:id="179"/>
      <w:bookmarkEnd w:id="180"/>
      <w:bookmarkEnd w:id="181"/>
    </w:p>
    <w:p>
      <w:pPr>
        <w:pStyle w:val="yEdnotesection"/>
        <w:spacing w:before="240"/>
      </w:pPr>
      <w:r>
        <w:t>[</w:t>
      </w:r>
      <w:r>
        <w:rPr>
          <w:b/>
        </w:rPr>
        <w:t>10.</w:t>
      </w:r>
      <w:r>
        <w:tab/>
        <w:t>deleted]</w:t>
      </w:r>
    </w:p>
    <w:p>
      <w:pPr>
        <w:pStyle w:val="yHeading5"/>
        <w:spacing w:before="240"/>
        <w:outlineLvl w:val="0"/>
      </w:pPr>
      <w:bookmarkStart w:id="182" w:name="_Toc44414370"/>
      <w:r>
        <w:rPr>
          <w:rStyle w:val="CharSClsNo"/>
        </w:rPr>
        <w:t>11</w:t>
      </w:r>
      <w:r>
        <w:t>.</w:t>
      </w:r>
      <w:r>
        <w:tab/>
        <w:t>Buildings on facility</w:t>
      </w:r>
      <w:bookmarkEnd w:id="182"/>
    </w:p>
    <w:p>
      <w:pPr>
        <w:pStyle w:val="ySubsection"/>
        <w:spacing w:before="180"/>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spacing w:before="180"/>
      </w:pPr>
      <w:r>
        <w:tab/>
        <w:t>(2)</w:t>
      </w:r>
      <w:r>
        <w:tab/>
        <w:t xml:space="preserve">A building referred to in subclause (1) may not be located on a site, unless it is — </w:t>
      </w:r>
    </w:p>
    <w:p>
      <w:pPr>
        <w:pStyle w:val="yIndenta"/>
      </w:pPr>
      <w:r>
        <w:tab/>
        <w:t>(a)</w:t>
      </w:r>
      <w:r>
        <w:tab/>
        <w:t>a building classified as a Class 10a building under the Building Code; and</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spacing w:before="180"/>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spacing w:before="180"/>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spacing w:before="180"/>
      </w:pPr>
      <w:r>
        <w:tab/>
        <w:t>(5)</w:t>
      </w:r>
      <w:r>
        <w:tab/>
        <w:t>A building referred to in subclause (4)(b)(i), (ii) or (iii) or (c) must not be located on a site.</w:t>
      </w:r>
    </w:p>
    <w:p>
      <w:pPr>
        <w:pStyle w:val="ySubsection"/>
        <w:spacing w:before="180"/>
      </w:pPr>
      <w:r>
        <w:tab/>
        <w:t>(6)</w:t>
      </w:r>
      <w:r>
        <w:tab/>
        <w:t>A carport, pergola or storage shed may be on the manager’s residence site at a nature based park but otherwise must not be on a site.</w:t>
      </w:r>
    </w:p>
    <w:p>
      <w:pPr>
        <w:pStyle w:val="ySubsection"/>
        <w:spacing w:before="120"/>
      </w:pPr>
      <w:r>
        <w:tab/>
        <w:t>(7)</w:t>
      </w:r>
      <w:r>
        <w:tab/>
        <w:t>Subclauses (4), (5) and (6) do not apply to a building on a nature based park if the building’s construction and location is in accordance with approval given before 1 January 2015.</w:t>
      </w:r>
    </w:p>
    <w:p>
      <w:pPr>
        <w:pStyle w:val="yFootnotesection"/>
      </w:pPr>
      <w:r>
        <w:tab/>
        <w:t>[Clause 11 amended: Gazette 25 Aug 2000; p. 4918 12 Dec 2014 p. 4727-8.]</w:t>
      </w:r>
    </w:p>
    <w:p>
      <w:pPr>
        <w:pStyle w:val="yHeading5"/>
        <w:spacing w:before="240"/>
        <w:outlineLvl w:val="0"/>
      </w:pPr>
      <w:bookmarkStart w:id="183" w:name="_Toc44414371"/>
      <w:r>
        <w:rPr>
          <w:rStyle w:val="CharSClsNo"/>
        </w:rPr>
        <w:t>12</w:t>
      </w:r>
      <w:r>
        <w:t>.</w:t>
      </w:r>
      <w:r>
        <w:tab/>
        <w:t>Storage sheds</w:t>
      </w:r>
      <w:bookmarkEnd w:id="183"/>
    </w:p>
    <w:p>
      <w:pPr>
        <w:pStyle w:val="ySubsection"/>
        <w:spacing w:before="180"/>
      </w:pPr>
      <w:r>
        <w:tab/>
        <w:t>(1)</w:t>
      </w:r>
      <w:r>
        <w:tab/>
        <w:t>A storage shed — </w:t>
      </w:r>
    </w:p>
    <w:p>
      <w:pPr>
        <w:pStyle w:val="yIndenta"/>
      </w:pPr>
      <w:r>
        <w:tab/>
        <w:t>(a)</w:t>
      </w:r>
      <w:r>
        <w:tab/>
        <w:t>is not to exceed 6 m</w:t>
      </w:r>
      <w:r>
        <w:rPr>
          <w:vertAlign w:val="superscript"/>
        </w:rPr>
        <w:t> 2</w:t>
      </w:r>
      <w:r>
        <w:t xml:space="preserve"> in area and, unless forming part of a carport, 2.1 m in height; and</w:t>
      </w:r>
    </w:p>
    <w:p>
      <w:pPr>
        <w:pStyle w:val="yIndenta"/>
      </w:pPr>
      <w:r>
        <w:tab/>
        <w:t>(b)</w:t>
      </w:r>
      <w:r>
        <w:tab/>
        <w:t>is to be built of light weight portable material.</w:t>
      </w:r>
    </w:p>
    <w:p>
      <w:pPr>
        <w:pStyle w:val="ySubsection"/>
        <w:spacing w:before="180"/>
      </w:pPr>
      <w:r>
        <w:tab/>
        <w:t>(2)</w:t>
      </w:r>
      <w:r>
        <w:tab/>
        <w:t>There must be no more than one storage shed on a nature based park.</w:t>
      </w:r>
    </w:p>
    <w:p>
      <w:pPr>
        <w:pStyle w:val="ySubsection"/>
        <w:spacing w:before="180"/>
      </w:pPr>
      <w:r>
        <w:tab/>
        <w:t>(3)</w:t>
      </w:r>
      <w:r>
        <w:tab/>
        <w:t>Subclause (2) does not apply to a storage shed on a nature based park if the shed’s presence is in accordance with approval given before 1 January 2015.</w:t>
      </w:r>
    </w:p>
    <w:p>
      <w:pPr>
        <w:pStyle w:val="yFootnotesection"/>
      </w:pPr>
      <w:r>
        <w:tab/>
        <w:t>[Clause 12 inserted: Gazette 12 Dec 2014 p. 4728.]</w:t>
      </w:r>
    </w:p>
    <w:p>
      <w:pPr>
        <w:pStyle w:val="yHeading5"/>
        <w:spacing w:before="180"/>
        <w:outlineLvl w:val="0"/>
      </w:pPr>
      <w:bookmarkStart w:id="184" w:name="_Toc44414372"/>
      <w:r>
        <w:rPr>
          <w:rStyle w:val="CharSClsNo"/>
        </w:rPr>
        <w:t>13</w:t>
      </w:r>
      <w:r>
        <w:t>.</w:t>
      </w:r>
      <w:r>
        <w:tab/>
        <w:t>Paved areas and areas under some annexes</w:t>
      </w:r>
      <w:bookmarkEnd w:id="184"/>
    </w:p>
    <w:p>
      <w:pPr>
        <w:pStyle w:val="ySubsection"/>
        <w:spacing w:before="180"/>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spacing w:before="180"/>
      </w:pPr>
      <w:r>
        <w:tab/>
        <w:t>(2)</w:t>
      </w:r>
      <w:r>
        <w:tab/>
        <w:t>The construction of — </w:t>
      </w:r>
    </w:p>
    <w:p>
      <w:pPr>
        <w:pStyle w:val="yIndenta"/>
      </w:pPr>
      <w:r>
        <w:tab/>
        <w:t>(a)</w:t>
      </w:r>
      <w:r>
        <w:tab/>
        <w:t>a hard stand on a site; and</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spacing w:before="180"/>
      </w:pPr>
      <w:r>
        <w:tab/>
      </w:r>
      <w:r>
        <w:tab/>
        <w:t>is to be as approved.</w:t>
      </w:r>
    </w:p>
    <w:p>
      <w:pPr>
        <w:pStyle w:val="yHeading5"/>
        <w:spacing w:before="180"/>
        <w:outlineLvl w:val="0"/>
      </w:pPr>
      <w:bookmarkStart w:id="185" w:name="_Toc44414373"/>
      <w:r>
        <w:rPr>
          <w:rStyle w:val="CharSClsNo"/>
        </w:rPr>
        <w:t>14</w:t>
      </w:r>
      <w:r>
        <w:t>.</w:t>
      </w:r>
      <w:r>
        <w:tab/>
        <w:t>Fences</w:t>
      </w:r>
      <w:bookmarkEnd w:id="185"/>
    </w:p>
    <w:p>
      <w:pPr>
        <w:pStyle w:val="ySubsection"/>
        <w:spacing w:before="120"/>
      </w:pPr>
      <w:r>
        <w:tab/>
        <w:t>(1)</w:t>
      </w:r>
      <w:r>
        <w:tab/>
        <w:t>A fence on a site is — </w:t>
      </w:r>
    </w:p>
    <w:p>
      <w:pPr>
        <w:pStyle w:val="yIndenta"/>
      </w:pPr>
      <w:r>
        <w:tab/>
        <w:t>(a)</w:t>
      </w:r>
      <w:r>
        <w:tab/>
        <w:t>not to be higher than 1.2 m; and</w:t>
      </w:r>
    </w:p>
    <w:p>
      <w:pPr>
        <w:pStyle w:val="yIndenta"/>
      </w:pPr>
      <w:r>
        <w:tab/>
        <w:t>(b)</w:t>
      </w:r>
      <w:r>
        <w:tab/>
        <w:t>to be built of lightweight material or mesh.</w:t>
      </w:r>
    </w:p>
    <w:p>
      <w:pPr>
        <w:pStyle w:val="ySubsection"/>
        <w:spacing w:before="180"/>
      </w:pPr>
      <w:r>
        <w:tab/>
        <w:t>(2)</w:t>
      </w:r>
      <w:r>
        <w:tab/>
        <w:t>A fence on a site is to be built in accordance with the prior written approval of the licence holder of the facility.</w:t>
      </w:r>
    </w:p>
    <w:p>
      <w:pPr>
        <w:pStyle w:val="ySubsection"/>
        <w:spacing w:before="180"/>
      </w:pPr>
      <w:r>
        <w:tab/>
        <w:t>(3)</w:t>
      </w:r>
      <w:r>
        <w:tab/>
        <w:t>There is to be no fence in the set back area prescribed under clause 8(3) between a facility road and a caravan.</w:t>
      </w:r>
    </w:p>
    <w:p>
      <w:pPr>
        <w:pStyle w:val="yFootnotesection"/>
      </w:pPr>
      <w:r>
        <w:tab/>
        <w:t>[Clause 14 amended: Gazette 25 Aug 2000 p. 4919.]</w:t>
      </w:r>
    </w:p>
    <w:p>
      <w:pPr>
        <w:pStyle w:val="yHeading3"/>
        <w:outlineLvl w:val="0"/>
      </w:pPr>
      <w:bookmarkStart w:id="186" w:name="_Toc44400167"/>
      <w:bookmarkStart w:id="187" w:name="_Toc44402098"/>
      <w:bookmarkStart w:id="188" w:name="_Toc44414374"/>
      <w:r>
        <w:rPr>
          <w:rStyle w:val="CharSDivNo"/>
        </w:rPr>
        <w:t>Division 4</w:t>
      </w:r>
      <w:r>
        <w:t> — </w:t>
      </w:r>
      <w:r>
        <w:rPr>
          <w:rStyle w:val="CharSDivText"/>
        </w:rPr>
        <w:t>Roads and parking</w:t>
      </w:r>
      <w:bookmarkEnd w:id="186"/>
      <w:bookmarkEnd w:id="187"/>
      <w:bookmarkEnd w:id="188"/>
    </w:p>
    <w:p>
      <w:pPr>
        <w:pStyle w:val="yHeading5"/>
        <w:spacing w:before="240"/>
        <w:outlineLvl w:val="0"/>
      </w:pPr>
      <w:bookmarkStart w:id="189" w:name="_Toc44414375"/>
      <w:r>
        <w:rPr>
          <w:rStyle w:val="CharSClsNo"/>
        </w:rPr>
        <w:t>15</w:t>
      </w:r>
      <w:r>
        <w:t>.</w:t>
      </w:r>
      <w:r>
        <w:tab/>
        <w:t>Facility roads in facilities other than nature based parks</w:t>
      </w:r>
      <w:bookmarkEnd w:id="189"/>
    </w:p>
    <w:p>
      <w:pPr>
        <w:pStyle w:val="ySubsection"/>
        <w:spacing w:before="180"/>
      </w:pPr>
      <w:r>
        <w:tab/>
        <w:t>(1A)</w:t>
      </w:r>
      <w:r>
        <w:tab/>
        <w:t>This clause applies to facilities other than nature based parks.</w:t>
      </w:r>
    </w:p>
    <w:p>
      <w:pPr>
        <w:pStyle w:val="ySubsection"/>
        <w:spacing w:before="180"/>
      </w:pPr>
      <w:r>
        <w:tab/>
        <w:t>(1)</w:t>
      </w:r>
      <w:r>
        <w:tab/>
        <w:t>A facility entrance road is to be at least 6 m wide.</w:t>
      </w:r>
    </w:p>
    <w:p>
      <w:pPr>
        <w:pStyle w:val="ySubsection"/>
        <w:spacing w:before="180"/>
      </w:pPr>
      <w:r>
        <w:tab/>
        <w:t>(2)</w:t>
      </w:r>
      <w:r>
        <w:tab/>
        <w:t>A facility road which is a one way road is to be at least 4 m wide, or such shorter distance as is approved under subclause (3a).</w:t>
      </w:r>
    </w:p>
    <w:p>
      <w:pPr>
        <w:pStyle w:val="ySubsection"/>
        <w:spacing w:before="180"/>
      </w:pPr>
      <w:r>
        <w:tab/>
        <w:t>(3)</w:t>
      </w:r>
      <w:r>
        <w:tab/>
        <w:t>A facility road which is a 2 way road is to be at least 6 m wide, or such shorter distance as is approved under subclause (3a).</w:t>
      </w:r>
    </w:p>
    <w:p>
      <w:pPr>
        <w:pStyle w:val="ySubsection"/>
        <w:spacing w:before="180"/>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p>
    <w:p>
      <w:pPr>
        <w:pStyle w:val="ySubsection"/>
        <w:spacing w:before="180"/>
      </w:pPr>
      <w:r>
        <w:tab/>
        <w:t>(4)</w:t>
      </w:r>
      <w:r>
        <w:tab/>
        <w:t>Subject to subclause (5), a facility road is to be constructed and maintained as is approved.</w:t>
      </w:r>
    </w:p>
    <w:p>
      <w:pPr>
        <w:pStyle w:val="ySubsection"/>
        <w:spacing w:before="180"/>
      </w:pPr>
      <w:r>
        <w:tab/>
        <w:t>(5)</w:t>
      </w:r>
      <w:r>
        <w:tab/>
        <w:t>A facility road in a transit park need not be paved or sealed.</w:t>
      </w:r>
    </w:p>
    <w:p>
      <w:pPr>
        <w:pStyle w:val="yFootnotesection"/>
      </w:pPr>
      <w:r>
        <w:tab/>
        <w:t>[Clause 15 amended: Gazette 25 Aug 2000 p. 4919 and 20; 12 Dec 2014 p. 4728.]</w:t>
      </w:r>
    </w:p>
    <w:p>
      <w:pPr>
        <w:pStyle w:val="yHeading5"/>
      </w:pPr>
      <w:bookmarkStart w:id="190" w:name="_Toc44414376"/>
      <w:r>
        <w:rPr>
          <w:rStyle w:val="CharSClsNo"/>
        </w:rPr>
        <w:t>16A</w:t>
      </w:r>
      <w:r>
        <w:t>.</w:t>
      </w:r>
      <w:r>
        <w:tab/>
        <w:t>Facility roads in nature based parks</w:t>
      </w:r>
      <w:bookmarkEnd w:id="190"/>
    </w:p>
    <w:p>
      <w:pPr>
        <w:pStyle w:val="ySubsection"/>
      </w:pPr>
      <w:r>
        <w:tab/>
        <w:t>(1)</w:t>
      </w:r>
      <w:r>
        <w:tab/>
        <w:t>This clause applies to nature based parks.</w:t>
      </w:r>
    </w:p>
    <w:p>
      <w:pPr>
        <w:pStyle w:val="ySubsection"/>
      </w:pPr>
      <w:r>
        <w:tab/>
        <w:t>(2)</w:t>
      </w:r>
      <w:r>
        <w:tab/>
        <w:t>A facility entrance road is to be at least 6 m wide or a narrower width that is approved.</w:t>
      </w:r>
    </w:p>
    <w:p>
      <w:pPr>
        <w:pStyle w:val="ySubsection"/>
      </w:pPr>
      <w:r>
        <w:tab/>
        <w:t>(3)</w:t>
      </w:r>
      <w:r>
        <w:tab/>
        <w:t>A facility road which is a one way road is to be at least 4 m wide or a narrower width that is approved.</w:t>
      </w:r>
    </w:p>
    <w:p>
      <w:pPr>
        <w:pStyle w:val="ySubsection"/>
      </w:pPr>
      <w:r>
        <w:tab/>
        <w:t>(4)</w:t>
      </w:r>
      <w:r>
        <w:tab/>
        <w:t>A facility road which is a 2 way road is to be at least 6 m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 Gazette 12 Dec 2014 p. 4728-9.]</w:t>
      </w:r>
    </w:p>
    <w:p>
      <w:pPr>
        <w:pStyle w:val="yHeading5"/>
        <w:outlineLvl w:val="0"/>
      </w:pPr>
      <w:bookmarkStart w:id="191" w:name="_Toc44414377"/>
      <w:r>
        <w:rPr>
          <w:rStyle w:val="CharSClsNo"/>
        </w:rPr>
        <w:t>16</w:t>
      </w:r>
      <w:r>
        <w:t>.</w:t>
      </w:r>
      <w:r>
        <w:tab/>
        <w:t>Parking</w:t>
      </w:r>
      <w:bookmarkEnd w:id="191"/>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Footnotesection"/>
      </w:pPr>
      <w:r>
        <w:tab/>
        <w:t>[Clause 16 amended: Gazette 25 Aug 2000 p. 4919.]</w:t>
      </w:r>
    </w:p>
    <w:p>
      <w:pPr>
        <w:pStyle w:val="yHeading5"/>
        <w:spacing w:before="180"/>
        <w:outlineLvl w:val="0"/>
      </w:pPr>
      <w:bookmarkStart w:id="192" w:name="_Toc44414378"/>
      <w:r>
        <w:rPr>
          <w:rStyle w:val="CharSClsNo"/>
        </w:rPr>
        <w:t>17</w:t>
      </w:r>
      <w:r>
        <w:t>.</w:t>
      </w:r>
      <w:r>
        <w:tab/>
        <w:t>Car parks</w:t>
      </w:r>
      <w:bookmarkEnd w:id="192"/>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Footnotesection"/>
      </w:pPr>
      <w:r>
        <w:tab/>
        <w:t>[Clause 17 amended: Gazette 25 Aug 2000 p. 4920.]</w:t>
      </w:r>
    </w:p>
    <w:p>
      <w:pPr>
        <w:pStyle w:val="yHeading3"/>
        <w:spacing w:before="200"/>
        <w:outlineLvl w:val="0"/>
      </w:pPr>
      <w:bookmarkStart w:id="193" w:name="_Toc44400172"/>
      <w:bookmarkStart w:id="194" w:name="_Toc44402103"/>
      <w:bookmarkStart w:id="195" w:name="_Toc44414379"/>
      <w:r>
        <w:rPr>
          <w:rStyle w:val="CharSDivNo"/>
        </w:rPr>
        <w:t>Division 5</w:t>
      </w:r>
      <w:r>
        <w:t> — </w:t>
      </w:r>
      <w:r>
        <w:rPr>
          <w:rStyle w:val="CharSDivText"/>
        </w:rPr>
        <w:t>Recreational areas</w:t>
      </w:r>
      <w:bookmarkEnd w:id="193"/>
      <w:bookmarkEnd w:id="194"/>
      <w:bookmarkEnd w:id="195"/>
    </w:p>
    <w:p>
      <w:pPr>
        <w:pStyle w:val="yHeading5"/>
        <w:spacing w:before="180"/>
        <w:outlineLvl w:val="0"/>
      </w:pPr>
      <w:bookmarkStart w:id="196" w:name="_Toc44414380"/>
      <w:r>
        <w:rPr>
          <w:rStyle w:val="CharSClsNo"/>
        </w:rPr>
        <w:t>18</w:t>
      </w:r>
      <w:r>
        <w:t>.</w:t>
      </w:r>
      <w:r>
        <w:tab/>
        <w:t>Recreational areas</w:t>
      </w:r>
      <w:bookmarkEnd w:id="196"/>
    </w:p>
    <w:p>
      <w:pPr>
        <w:pStyle w:val="ySubsection"/>
        <w:spacing w:before="140"/>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spacing w:before="140"/>
      </w:pPr>
      <w:r>
        <w:tab/>
        <w:t>(2)</w:t>
      </w:r>
      <w:r>
        <w:tab/>
        <w:t>Facility roads are not included in calculating recreational areas.</w:t>
      </w:r>
    </w:p>
    <w:p>
      <w:pPr>
        <w:pStyle w:val="ySubsection"/>
        <w:keepNext/>
        <w:spacing w:before="140"/>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spacing w:before="140"/>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Footnotesection"/>
      </w:pPr>
      <w:r>
        <w:tab/>
        <w:t>[Clause 18 amended: Gazette 25 Aug 2000 p. 4920.]</w:t>
      </w:r>
    </w:p>
    <w:p>
      <w:pPr>
        <w:pStyle w:val="yHeading3"/>
        <w:outlineLvl w:val="0"/>
      </w:pPr>
      <w:bookmarkStart w:id="197" w:name="_Toc44400174"/>
      <w:bookmarkStart w:id="198" w:name="_Toc44402105"/>
      <w:bookmarkStart w:id="199" w:name="_Toc44414381"/>
      <w:r>
        <w:rPr>
          <w:rStyle w:val="CharSDivNo"/>
        </w:rPr>
        <w:t>Division 6</w:t>
      </w:r>
      <w:r>
        <w:t> — </w:t>
      </w:r>
      <w:r>
        <w:rPr>
          <w:rStyle w:val="CharSDivText"/>
        </w:rPr>
        <w:t>Ablution and toilet facilities</w:t>
      </w:r>
      <w:bookmarkEnd w:id="197"/>
      <w:bookmarkEnd w:id="198"/>
      <w:bookmarkEnd w:id="199"/>
    </w:p>
    <w:p>
      <w:pPr>
        <w:pStyle w:val="yHeading5"/>
        <w:spacing w:before="240"/>
      </w:pPr>
      <w:bookmarkStart w:id="200" w:name="_Toc44414382"/>
      <w:r>
        <w:rPr>
          <w:rStyle w:val="CharSClsNo"/>
        </w:rPr>
        <w:t>19</w:t>
      </w:r>
      <w:r>
        <w:t>.</w:t>
      </w:r>
      <w:r>
        <w:tab/>
        <w:t>Location of toilets and showers</w:t>
      </w:r>
      <w:bookmarkEnd w:id="200"/>
    </w:p>
    <w:p>
      <w:pPr>
        <w:pStyle w:val="ySubsection"/>
        <w:spacing w:before="180"/>
      </w:pPr>
      <w:r>
        <w:tab/>
        <w:t>(1)</w:t>
      </w:r>
      <w:r>
        <w:tab/>
        <w:t>There is to be at least one toilet and one shower within 90 m of each site on a facility other than a nature based park.</w:t>
      </w:r>
    </w:p>
    <w:p>
      <w:pPr>
        <w:pStyle w:val="ySubsection"/>
        <w:spacing w:before="180"/>
      </w:pPr>
      <w:r>
        <w:tab/>
        <w:t>(2)</w:t>
      </w:r>
      <w:r>
        <w:tab/>
        <w:t>The location of toilets and showers in a nature based park is to be as approved.</w:t>
      </w:r>
    </w:p>
    <w:p>
      <w:pPr>
        <w:pStyle w:val="ySubsection"/>
        <w:spacing w:before="180"/>
      </w:pPr>
      <w:r>
        <w:tab/>
        <w:t>(3)</w:t>
      </w:r>
      <w:r>
        <w:tab/>
        <w:t>Subclauses (1) and (2) apply despite anything else in this Division.</w:t>
      </w:r>
    </w:p>
    <w:p>
      <w:pPr>
        <w:pStyle w:val="yFootnotesection"/>
      </w:pPr>
      <w:r>
        <w:tab/>
        <w:t>[Clause 19 inserted: Gazette 12 Dec 2014 p. 4729.]</w:t>
      </w:r>
    </w:p>
    <w:p>
      <w:pPr>
        <w:pStyle w:val="yHeading5"/>
        <w:spacing w:before="240"/>
        <w:outlineLvl w:val="0"/>
      </w:pPr>
      <w:bookmarkStart w:id="201" w:name="_Toc44414383"/>
      <w:r>
        <w:rPr>
          <w:rStyle w:val="CharSClsNo"/>
        </w:rPr>
        <w:t>20</w:t>
      </w:r>
      <w:r>
        <w:t>.</w:t>
      </w:r>
      <w:r>
        <w:tab/>
        <w:t>Number of showers, toilets and hand basins, except at transit parks and nature based parks</w:t>
      </w:r>
      <w:bookmarkEnd w:id="201"/>
    </w:p>
    <w:p>
      <w:pPr>
        <w:pStyle w:val="ySubsection"/>
        <w:spacing w:before="180"/>
      </w:pPr>
      <w:r>
        <w:tab/>
        <w:t>(1)</w:t>
      </w:r>
      <w:r>
        <w:tab/>
        <w:t>This clause applies to all facilities except transit parks and nature based parks.</w:t>
      </w:r>
    </w:p>
    <w:p>
      <w:pPr>
        <w:pStyle w:val="ySubsection"/>
        <w:spacing w:before="180"/>
      </w:pPr>
      <w:r>
        <w:tab/>
        <w:t>(2)</w:t>
      </w:r>
      <w:r>
        <w:tab/>
        <w:t>A facility is to have at least as many showers, toilets and hand basins as is specified in the following Table opposite the number of sites the facility has.</w:t>
      </w:r>
    </w:p>
    <w:p>
      <w:pPr>
        <w:pStyle w:val="ySubsection"/>
        <w:spacing w:before="180"/>
      </w:pPr>
      <w:r>
        <w:tab/>
        <w:t>(3)</w:t>
      </w:r>
      <w:r>
        <w:tab/>
        <w:t>Instead of each 600 mm of urinal trough there may be provided — </w:t>
      </w:r>
    </w:p>
    <w:p>
      <w:pPr>
        <w:pStyle w:val="yIndenta"/>
      </w:pPr>
      <w:r>
        <w:tab/>
        <w:t>(a)</w:t>
      </w:r>
      <w:r>
        <w:tab/>
        <w:t>a wall hung urinal; or</w:t>
      </w:r>
    </w:p>
    <w:p>
      <w:pPr>
        <w:pStyle w:val="yIndenta"/>
        <w:spacing w:before="0"/>
      </w:pPr>
      <w:r>
        <w:tab/>
        <w:t>(b)</w:t>
      </w:r>
      <w:r>
        <w:tab/>
        <w:t>with approval, a pedestal toilet.</w:t>
      </w:r>
    </w:p>
    <w:p>
      <w:pPr>
        <w:pStyle w:val="yMiscellaneousHeading"/>
        <w:spacing w:before="120" w:after="60"/>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keepNext/>
              <w:jc w:val="center"/>
              <w:rPr>
                <w:b/>
                <w:sz w:val="20"/>
              </w:rPr>
            </w:pPr>
            <w:r>
              <w:rPr>
                <w:b/>
                <w:sz w:val="20"/>
              </w:rPr>
              <w:t>No. of sites</w:t>
            </w:r>
          </w:p>
        </w:tc>
        <w:tc>
          <w:tcPr>
            <w:tcW w:w="3446" w:type="dxa"/>
            <w:gridSpan w:val="3"/>
          </w:tcPr>
          <w:p>
            <w:pPr>
              <w:pStyle w:val="yTable"/>
              <w:keepNext/>
              <w:jc w:val="center"/>
              <w:rPr>
                <w:b/>
                <w:sz w:val="20"/>
              </w:rPr>
            </w:pPr>
            <w:r>
              <w:rPr>
                <w:b/>
                <w:sz w:val="20"/>
              </w:rPr>
              <w:t>Toilets</w:t>
            </w:r>
          </w:p>
        </w:tc>
        <w:tc>
          <w:tcPr>
            <w:tcW w:w="1134" w:type="dxa"/>
            <w:vMerge w:val="restart"/>
          </w:tcPr>
          <w:p>
            <w:pPr>
              <w:pStyle w:val="yTable"/>
              <w:keepNext/>
              <w:jc w:val="center"/>
              <w:rPr>
                <w:b/>
                <w:sz w:val="20"/>
              </w:rPr>
            </w:pPr>
            <w:r>
              <w:rPr>
                <w:b/>
                <w:sz w:val="20"/>
              </w:rPr>
              <w:t>No. of showers (each sex)</w:t>
            </w:r>
          </w:p>
        </w:tc>
        <w:tc>
          <w:tcPr>
            <w:tcW w:w="1270" w:type="dxa"/>
            <w:vMerge w:val="restart"/>
          </w:tcPr>
          <w:p>
            <w:pPr>
              <w:pStyle w:val="yTable"/>
              <w:keepNext/>
              <w:jc w:val="center"/>
              <w:rPr>
                <w:b/>
                <w:sz w:val="20"/>
              </w:rPr>
            </w:pPr>
            <w:r>
              <w:rPr>
                <w:b/>
                <w:sz w:val="20"/>
              </w:rPr>
              <w:t>No. of hand basins (each sex)</w:t>
            </w:r>
          </w:p>
        </w:tc>
      </w:tr>
      <w:tr>
        <w:trPr>
          <w:cantSplit/>
          <w:tblHeader/>
        </w:trPr>
        <w:tc>
          <w:tcPr>
            <w:tcW w:w="1170" w:type="dxa"/>
            <w:vMerge/>
          </w:tcPr>
          <w:p>
            <w:pPr>
              <w:pStyle w:val="yTable"/>
              <w:keepNext/>
              <w:rPr>
                <w:b/>
                <w:sz w:val="20"/>
              </w:rPr>
            </w:pPr>
          </w:p>
        </w:tc>
        <w:tc>
          <w:tcPr>
            <w:tcW w:w="2340" w:type="dxa"/>
            <w:gridSpan w:val="2"/>
          </w:tcPr>
          <w:p>
            <w:pPr>
              <w:pStyle w:val="yTable"/>
              <w:keepNext/>
              <w:jc w:val="center"/>
              <w:rPr>
                <w:b/>
                <w:sz w:val="20"/>
              </w:rPr>
            </w:pPr>
            <w:r>
              <w:rPr>
                <w:b/>
                <w:sz w:val="20"/>
              </w:rPr>
              <w:t>Male</w:t>
            </w:r>
          </w:p>
        </w:tc>
        <w:tc>
          <w:tcPr>
            <w:tcW w:w="1106" w:type="dxa"/>
          </w:tcPr>
          <w:p>
            <w:pPr>
              <w:pStyle w:val="yTable"/>
              <w:keepNext/>
              <w:jc w:val="center"/>
              <w:rPr>
                <w:b/>
                <w:sz w:val="20"/>
              </w:rPr>
            </w:pPr>
            <w:r>
              <w:rPr>
                <w:b/>
                <w:sz w:val="20"/>
              </w:rPr>
              <w:t>Female</w:t>
            </w:r>
          </w:p>
        </w:tc>
        <w:tc>
          <w:tcPr>
            <w:tcW w:w="1134" w:type="dxa"/>
            <w:vMerge/>
          </w:tcPr>
          <w:p>
            <w:pPr>
              <w:pStyle w:val="yTable"/>
              <w:keepNext/>
              <w:rPr>
                <w:sz w:val="20"/>
              </w:rPr>
            </w:pPr>
          </w:p>
        </w:tc>
        <w:tc>
          <w:tcPr>
            <w:tcW w:w="1270" w:type="dxa"/>
            <w:vMerge/>
          </w:tcPr>
          <w:p>
            <w:pPr>
              <w:pStyle w:val="yTable"/>
              <w:keepNext/>
              <w:rPr>
                <w:sz w:val="20"/>
              </w:rPr>
            </w:pPr>
          </w:p>
        </w:tc>
      </w:tr>
      <w:tr>
        <w:trPr>
          <w:cantSplit/>
          <w:tblHeader/>
        </w:trPr>
        <w:tc>
          <w:tcPr>
            <w:tcW w:w="1170" w:type="dxa"/>
            <w:vMerge/>
          </w:tcPr>
          <w:p>
            <w:pPr>
              <w:pStyle w:val="yTable"/>
              <w:keepNext/>
              <w:rPr>
                <w:b/>
                <w:sz w:val="20"/>
              </w:rPr>
            </w:pPr>
          </w:p>
        </w:tc>
        <w:tc>
          <w:tcPr>
            <w:tcW w:w="1170" w:type="dxa"/>
          </w:tcPr>
          <w:p>
            <w:pPr>
              <w:pStyle w:val="yTable"/>
              <w:keepNext/>
              <w:spacing w:after="40"/>
              <w:jc w:val="center"/>
              <w:rPr>
                <w:b/>
                <w:sz w:val="20"/>
              </w:rPr>
            </w:pPr>
            <w:r>
              <w:rPr>
                <w:b/>
                <w:sz w:val="20"/>
              </w:rPr>
              <w:t>No. of pedestals</w:t>
            </w:r>
          </w:p>
        </w:tc>
        <w:tc>
          <w:tcPr>
            <w:tcW w:w="1170" w:type="dxa"/>
          </w:tcPr>
          <w:p>
            <w:pPr>
              <w:pStyle w:val="yTable"/>
              <w:keepNext/>
              <w:spacing w:after="40"/>
              <w:jc w:val="center"/>
              <w:rPr>
                <w:b/>
                <w:sz w:val="20"/>
              </w:rPr>
            </w:pPr>
            <w:r>
              <w:rPr>
                <w:b/>
                <w:sz w:val="20"/>
              </w:rPr>
              <w:t>mm of urinal trough</w:t>
            </w:r>
          </w:p>
        </w:tc>
        <w:tc>
          <w:tcPr>
            <w:tcW w:w="1106" w:type="dxa"/>
          </w:tcPr>
          <w:p>
            <w:pPr>
              <w:pStyle w:val="yTable"/>
              <w:keepNext/>
              <w:spacing w:after="40"/>
              <w:jc w:val="center"/>
              <w:rPr>
                <w:b/>
                <w:sz w:val="20"/>
              </w:rPr>
            </w:pPr>
            <w:r>
              <w:rPr>
                <w:b/>
                <w:sz w:val="20"/>
              </w:rPr>
              <w:t>No. of pedestals</w:t>
            </w:r>
          </w:p>
        </w:tc>
        <w:tc>
          <w:tcPr>
            <w:tcW w:w="1134" w:type="dxa"/>
            <w:vMerge/>
          </w:tcPr>
          <w:p>
            <w:pPr>
              <w:pStyle w:val="yTable"/>
              <w:keepNext/>
              <w:rPr>
                <w:sz w:val="20"/>
              </w:rPr>
            </w:pPr>
          </w:p>
        </w:tc>
        <w:tc>
          <w:tcPr>
            <w:tcW w:w="1270" w:type="dxa"/>
            <w:vMerge/>
          </w:tcPr>
          <w:p>
            <w:pPr>
              <w:pStyle w:val="yTable"/>
              <w:keepNext/>
              <w:rPr>
                <w:sz w:val="20"/>
              </w:rPr>
            </w:pPr>
          </w:p>
        </w:tc>
      </w:tr>
      <w:tr>
        <w:trPr>
          <w:cantSplit/>
        </w:trPr>
        <w:tc>
          <w:tcPr>
            <w:tcW w:w="1170" w:type="dxa"/>
          </w:tcPr>
          <w:p>
            <w:pPr>
              <w:pStyle w:val="yTable"/>
              <w:keepNext/>
              <w:spacing w:before="0"/>
              <w:jc w:val="center"/>
              <w:rPr>
                <w:sz w:val="20"/>
              </w:rPr>
            </w:pPr>
            <w:r>
              <w:rPr>
                <w:sz w:val="20"/>
              </w:rPr>
              <w:t>1</w:t>
            </w:r>
            <w:r>
              <w:rPr>
                <w:sz w:val="20"/>
              </w:rPr>
              <w:noBreakHyphen/>
              <w:t>10</w:t>
            </w:r>
          </w:p>
          <w:p>
            <w:pPr>
              <w:pStyle w:val="yTable"/>
              <w:keepNext/>
              <w:spacing w:before="0"/>
              <w:jc w:val="center"/>
              <w:rPr>
                <w:sz w:val="20"/>
              </w:rPr>
            </w:pPr>
            <w:r>
              <w:rPr>
                <w:sz w:val="20"/>
              </w:rPr>
              <w:t>11</w:t>
            </w:r>
            <w:r>
              <w:rPr>
                <w:sz w:val="20"/>
              </w:rPr>
              <w:noBreakHyphen/>
              <w:t>15</w:t>
            </w:r>
          </w:p>
          <w:p>
            <w:pPr>
              <w:pStyle w:val="yTable"/>
              <w:keepNext/>
              <w:spacing w:before="0"/>
              <w:jc w:val="center"/>
              <w:rPr>
                <w:sz w:val="20"/>
              </w:rPr>
            </w:pPr>
            <w:r>
              <w:rPr>
                <w:sz w:val="20"/>
              </w:rPr>
              <w:t>16</w:t>
            </w:r>
            <w:r>
              <w:rPr>
                <w:sz w:val="20"/>
              </w:rPr>
              <w:noBreakHyphen/>
              <w:t>20</w:t>
            </w:r>
          </w:p>
          <w:p>
            <w:pPr>
              <w:pStyle w:val="yTable"/>
              <w:keepNext/>
              <w:spacing w:before="0"/>
              <w:jc w:val="center"/>
              <w:rPr>
                <w:sz w:val="20"/>
              </w:rPr>
            </w:pPr>
            <w:r>
              <w:rPr>
                <w:sz w:val="20"/>
              </w:rPr>
              <w:t>21</w:t>
            </w:r>
            <w:r>
              <w:rPr>
                <w:sz w:val="20"/>
              </w:rPr>
              <w:noBreakHyphen/>
              <w:t>30</w:t>
            </w:r>
          </w:p>
          <w:p>
            <w:pPr>
              <w:pStyle w:val="yTable"/>
              <w:keepNext/>
              <w:spacing w:before="0"/>
              <w:jc w:val="center"/>
              <w:rPr>
                <w:sz w:val="20"/>
              </w:rPr>
            </w:pPr>
            <w:r>
              <w:rPr>
                <w:sz w:val="20"/>
              </w:rPr>
              <w:t>31</w:t>
            </w:r>
            <w:r>
              <w:rPr>
                <w:sz w:val="20"/>
              </w:rPr>
              <w:noBreakHyphen/>
              <w:t>40</w:t>
            </w:r>
          </w:p>
          <w:p>
            <w:pPr>
              <w:pStyle w:val="yTable"/>
              <w:keepNext/>
              <w:spacing w:before="0"/>
              <w:jc w:val="center"/>
              <w:rPr>
                <w:sz w:val="20"/>
              </w:rPr>
            </w:pPr>
            <w:r>
              <w:rPr>
                <w:sz w:val="20"/>
              </w:rPr>
              <w:t>41</w:t>
            </w:r>
            <w:r>
              <w:rPr>
                <w:sz w:val="20"/>
              </w:rPr>
              <w:noBreakHyphen/>
              <w:t>45</w:t>
            </w:r>
          </w:p>
          <w:p>
            <w:pPr>
              <w:pStyle w:val="yTable"/>
              <w:keepNext/>
              <w:spacing w:before="0"/>
              <w:jc w:val="center"/>
              <w:rPr>
                <w:sz w:val="20"/>
              </w:rPr>
            </w:pPr>
            <w:r>
              <w:rPr>
                <w:sz w:val="20"/>
              </w:rPr>
              <w:t>46</w:t>
            </w:r>
            <w:r>
              <w:rPr>
                <w:sz w:val="20"/>
              </w:rPr>
              <w:noBreakHyphen/>
              <w:t>50</w:t>
            </w:r>
          </w:p>
          <w:p>
            <w:pPr>
              <w:pStyle w:val="yTable"/>
              <w:keepNext/>
              <w:spacing w:before="0"/>
              <w:jc w:val="center"/>
              <w:rPr>
                <w:sz w:val="20"/>
              </w:rPr>
            </w:pPr>
            <w:r>
              <w:rPr>
                <w:sz w:val="20"/>
              </w:rPr>
              <w:t>51</w:t>
            </w:r>
            <w:r>
              <w:rPr>
                <w:sz w:val="20"/>
              </w:rPr>
              <w:noBreakHyphen/>
              <w:t>60</w:t>
            </w:r>
          </w:p>
          <w:p>
            <w:pPr>
              <w:pStyle w:val="yTable"/>
              <w:keepNext/>
              <w:spacing w:before="0"/>
              <w:jc w:val="center"/>
              <w:rPr>
                <w:sz w:val="20"/>
              </w:rPr>
            </w:pPr>
            <w:r>
              <w:rPr>
                <w:sz w:val="20"/>
              </w:rPr>
              <w:t>61</w:t>
            </w:r>
            <w:r>
              <w:rPr>
                <w:sz w:val="20"/>
              </w:rPr>
              <w:noBreakHyphen/>
              <w:t>75</w:t>
            </w:r>
          </w:p>
          <w:p>
            <w:pPr>
              <w:pStyle w:val="yTable"/>
              <w:keepNext/>
              <w:spacing w:before="0"/>
              <w:jc w:val="center"/>
              <w:rPr>
                <w:sz w:val="20"/>
              </w:rPr>
            </w:pPr>
            <w:r>
              <w:rPr>
                <w:sz w:val="20"/>
              </w:rPr>
              <w:t>76</w:t>
            </w:r>
            <w:r>
              <w:rPr>
                <w:sz w:val="20"/>
              </w:rPr>
              <w:noBreakHyphen/>
              <w:t>80</w:t>
            </w:r>
          </w:p>
          <w:p>
            <w:pPr>
              <w:pStyle w:val="yTable"/>
              <w:keepNext/>
              <w:spacing w:before="0"/>
              <w:jc w:val="center"/>
              <w:rPr>
                <w:sz w:val="20"/>
              </w:rPr>
            </w:pPr>
            <w:r>
              <w:rPr>
                <w:sz w:val="20"/>
              </w:rPr>
              <w:t>81</w:t>
            </w:r>
            <w:r>
              <w:rPr>
                <w:sz w:val="20"/>
              </w:rPr>
              <w:noBreakHyphen/>
              <w:t>90</w:t>
            </w:r>
          </w:p>
          <w:p>
            <w:pPr>
              <w:pStyle w:val="yTable"/>
              <w:keepNext/>
              <w:spacing w:before="0"/>
              <w:jc w:val="center"/>
              <w:rPr>
                <w:sz w:val="20"/>
              </w:rPr>
            </w:pPr>
            <w:r>
              <w:rPr>
                <w:sz w:val="20"/>
              </w:rPr>
              <w:t>91</w:t>
            </w:r>
            <w:r>
              <w:rPr>
                <w:sz w:val="20"/>
              </w:rPr>
              <w:noBreakHyphen/>
              <w:t>100</w:t>
            </w:r>
          </w:p>
          <w:p>
            <w:pPr>
              <w:pStyle w:val="yTable"/>
              <w:keepNext/>
              <w:spacing w:before="0"/>
              <w:jc w:val="center"/>
              <w:rPr>
                <w:sz w:val="20"/>
              </w:rPr>
            </w:pPr>
            <w:r>
              <w:rPr>
                <w:sz w:val="20"/>
              </w:rPr>
              <w:t>101</w:t>
            </w:r>
            <w:r>
              <w:rPr>
                <w:sz w:val="20"/>
              </w:rPr>
              <w:noBreakHyphen/>
              <w:t>105</w:t>
            </w:r>
          </w:p>
          <w:p>
            <w:pPr>
              <w:pStyle w:val="yTable"/>
              <w:keepNext/>
              <w:spacing w:before="0"/>
              <w:jc w:val="center"/>
              <w:rPr>
                <w:sz w:val="20"/>
              </w:rPr>
            </w:pPr>
            <w:r>
              <w:rPr>
                <w:sz w:val="20"/>
              </w:rPr>
              <w:t>106</w:t>
            </w:r>
            <w:r>
              <w:rPr>
                <w:sz w:val="20"/>
              </w:rPr>
              <w:noBreakHyphen/>
              <w:t>120</w:t>
            </w:r>
          </w:p>
          <w:p>
            <w:pPr>
              <w:pStyle w:val="yTable"/>
              <w:keepNext/>
              <w:spacing w:before="0"/>
              <w:jc w:val="center"/>
              <w:rPr>
                <w:sz w:val="20"/>
              </w:rPr>
            </w:pPr>
            <w:r>
              <w:rPr>
                <w:sz w:val="20"/>
              </w:rPr>
              <w:t>121</w:t>
            </w:r>
            <w:r>
              <w:rPr>
                <w:sz w:val="20"/>
              </w:rPr>
              <w:noBreakHyphen/>
              <w:t>140</w:t>
            </w:r>
          </w:p>
          <w:p>
            <w:pPr>
              <w:pStyle w:val="yTable"/>
              <w:keepNext/>
              <w:spacing w:before="0"/>
              <w:jc w:val="center"/>
              <w:rPr>
                <w:sz w:val="20"/>
              </w:rPr>
            </w:pPr>
            <w:r>
              <w:rPr>
                <w:sz w:val="20"/>
              </w:rPr>
              <w:t>141</w:t>
            </w:r>
            <w:r>
              <w:rPr>
                <w:sz w:val="20"/>
              </w:rPr>
              <w:noBreakHyphen/>
              <w:t>145</w:t>
            </w:r>
          </w:p>
          <w:p>
            <w:pPr>
              <w:pStyle w:val="yTable"/>
              <w:keepNext/>
              <w:spacing w:before="0"/>
              <w:jc w:val="center"/>
              <w:rPr>
                <w:sz w:val="20"/>
              </w:rPr>
            </w:pPr>
            <w:r>
              <w:rPr>
                <w:sz w:val="20"/>
              </w:rPr>
              <w:t>146</w:t>
            </w:r>
            <w:r>
              <w:rPr>
                <w:sz w:val="20"/>
              </w:rPr>
              <w:noBreakHyphen/>
              <w:t>150</w:t>
            </w:r>
          </w:p>
          <w:p>
            <w:pPr>
              <w:pStyle w:val="yTable"/>
              <w:keepNext/>
              <w:spacing w:before="0"/>
              <w:jc w:val="center"/>
              <w:rPr>
                <w:sz w:val="20"/>
              </w:rPr>
            </w:pPr>
            <w:r>
              <w:rPr>
                <w:sz w:val="20"/>
              </w:rPr>
              <w:t>151</w:t>
            </w:r>
            <w:r>
              <w:rPr>
                <w:sz w:val="20"/>
              </w:rPr>
              <w:noBreakHyphen/>
              <w:t>160</w:t>
            </w:r>
          </w:p>
          <w:p>
            <w:pPr>
              <w:pStyle w:val="yTable"/>
              <w:keepNext/>
              <w:spacing w:before="0"/>
              <w:jc w:val="center"/>
              <w:rPr>
                <w:sz w:val="20"/>
              </w:rPr>
            </w:pPr>
            <w:r>
              <w:rPr>
                <w:sz w:val="20"/>
              </w:rPr>
              <w:t>161</w:t>
            </w:r>
            <w:r>
              <w:rPr>
                <w:sz w:val="20"/>
              </w:rPr>
              <w:noBreakHyphen/>
              <w:t>170</w:t>
            </w:r>
          </w:p>
          <w:p>
            <w:pPr>
              <w:pStyle w:val="yTable"/>
              <w:keepNext/>
              <w:spacing w:before="0"/>
              <w:jc w:val="center"/>
              <w:rPr>
                <w:sz w:val="20"/>
              </w:rPr>
            </w:pPr>
            <w:r>
              <w:rPr>
                <w:sz w:val="20"/>
              </w:rPr>
              <w:t>171</w:t>
            </w:r>
            <w:r>
              <w:rPr>
                <w:sz w:val="20"/>
              </w:rPr>
              <w:noBreakHyphen/>
              <w:t>180</w:t>
            </w:r>
          </w:p>
          <w:p>
            <w:pPr>
              <w:pStyle w:val="yTable"/>
              <w:keepNext/>
              <w:spacing w:before="0"/>
              <w:jc w:val="center"/>
              <w:rPr>
                <w:sz w:val="20"/>
              </w:rPr>
            </w:pPr>
            <w:r>
              <w:rPr>
                <w:sz w:val="20"/>
              </w:rPr>
              <w:t>181</w:t>
            </w:r>
            <w:r>
              <w:rPr>
                <w:sz w:val="20"/>
              </w:rPr>
              <w:noBreakHyphen/>
              <w:t>190</w:t>
            </w:r>
          </w:p>
          <w:p>
            <w:pPr>
              <w:pStyle w:val="yTable"/>
              <w:keepNext/>
              <w:spacing w:before="0"/>
              <w:jc w:val="center"/>
              <w:rPr>
                <w:sz w:val="20"/>
              </w:rPr>
            </w:pPr>
            <w:r>
              <w:rPr>
                <w:sz w:val="20"/>
              </w:rPr>
              <w:t>191</w:t>
            </w:r>
            <w:r>
              <w:rPr>
                <w:sz w:val="20"/>
              </w:rPr>
              <w:noBreakHyphen/>
              <w:t>200</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over 200</w:t>
            </w:r>
          </w:p>
        </w:tc>
        <w:tc>
          <w:tcPr>
            <w:tcW w:w="1170" w:type="dxa"/>
          </w:tcPr>
          <w:p>
            <w:pPr>
              <w:pStyle w:val="yTable"/>
              <w:keepNext/>
              <w:spacing w:before="0"/>
              <w:jc w:val="center"/>
              <w:rPr>
                <w:sz w:val="20"/>
              </w:rPr>
            </w:pPr>
            <w:r>
              <w:rPr>
                <w:sz w:val="20"/>
              </w:rPr>
              <w:t>1</w:t>
            </w:r>
          </w:p>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12 plus 1 for every 25 sites over 200</w:t>
            </w:r>
          </w:p>
        </w:tc>
        <w:tc>
          <w:tcPr>
            <w:tcW w:w="1170" w:type="dxa"/>
          </w:tcPr>
          <w:p>
            <w:pPr>
              <w:pStyle w:val="yTable"/>
              <w:keepNext/>
              <w:spacing w:before="0"/>
              <w:jc w:val="center"/>
              <w:rPr>
                <w:sz w:val="20"/>
              </w:rPr>
            </w:pPr>
            <w:r>
              <w:rPr>
                <w:sz w:val="20"/>
              </w:rPr>
              <w:t>600</w:t>
            </w:r>
          </w:p>
          <w:p>
            <w:pPr>
              <w:pStyle w:val="yTable"/>
              <w:keepNext/>
              <w:spacing w:before="0"/>
              <w:jc w:val="center"/>
              <w:rPr>
                <w:sz w:val="20"/>
              </w:rPr>
            </w:pPr>
            <w:r>
              <w:rPr>
                <w:sz w:val="20"/>
              </w:rPr>
              <w:t>600</w:t>
            </w:r>
          </w:p>
          <w:p>
            <w:pPr>
              <w:pStyle w:val="yTable"/>
              <w:keepNext/>
              <w:spacing w:before="0"/>
              <w:jc w:val="center"/>
              <w:rPr>
                <w:sz w:val="20"/>
              </w:rPr>
            </w:pPr>
            <w:r>
              <w:rPr>
                <w:sz w:val="20"/>
              </w:rPr>
              <w:t>600</w:t>
            </w:r>
          </w:p>
          <w:p>
            <w:pPr>
              <w:pStyle w:val="yTable"/>
              <w:keepNext/>
              <w:spacing w:before="0"/>
              <w:jc w:val="center"/>
              <w:rPr>
                <w:sz w:val="20"/>
              </w:rPr>
            </w:pPr>
            <w:r>
              <w:rPr>
                <w:sz w:val="20"/>
              </w:rPr>
              <w:t>1 200</w:t>
            </w:r>
          </w:p>
          <w:p>
            <w:pPr>
              <w:pStyle w:val="yTable"/>
              <w:keepNext/>
              <w:spacing w:before="0"/>
              <w:jc w:val="center"/>
              <w:rPr>
                <w:sz w:val="20"/>
              </w:rPr>
            </w:pPr>
            <w:r>
              <w:rPr>
                <w:sz w:val="20"/>
              </w:rPr>
              <w:t>1 200</w:t>
            </w:r>
          </w:p>
          <w:p>
            <w:pPr>
              <w:pStyle w:val="yTable"/>
              <w:keepNext/>
              <w:spacing w:before="0"/>
              <w:jc w:val="center"/>
              <w:rPr>
                <w:sz w:val="20"/>
              </w:rPr>
            </w:pPr>
            <w:r>
              <w:rPr>
                <w:sz w:val="20"/>
              </w:rPr>
              <w:t>1 800</w:t>
            </w:r>
          </w:p>
          <w:p>
            <w:pPr>
              <w:pStyle w:val="yTable"/>
              <w:keepNext/>
              <w:spacing w:before="0"/>
              <w:jc w:val="center"/>
              <w:rPr>
                <w:sz w:val="20"/>
              </w:rPr>
            </w:pPr>
            <w:r>
              <w:rPr>
                <w:sz w:val="20"/>
              </w:rPr>
              <w:t>1 800</w:t>
            </w:r>
          </w:p>
          <w:p>
            <w:pPr>
              <w:pStyle w:val="yTable"/>
              <w:keepNext/>
              <w:spacing w:before="0"/>
              <w:jc w:val="center"/>
              <w:rPr>
                <w:sz w:val="20"/>
              </w:rPr>
            </w:pPr>
            <w:r>
              <w:rPr>
                <w:sz w:val="20"/>
              </w:rPr>
              <w:t>1 800</w:t>
            </w:r>
          </w:p>
          <w:p>
            <w:pPr>
              <w:pStyle w:val="yTable"/>
              <w:keepNext/>
              <w:spacing w:before="0"/>
              <w:jc w:val="center"/>
              <w:rPr>
                <w:sz w:val="20"/>
              </w:rPr>
            </w:pPr>
            <w:r>
              <w:rPr>
                <w:sz w:val="20"/>
              </w:rPr>
              <w:t>2 400</w:t>
            </w:r>
          </w:p>
          <w:p>
            <w:pPr>
              <w:pStyle w:val="yTable"/>
              <w:keepNext/>
              <w:spacing w:before="0"/>
              <w:jc w:val="center"/>
              <w:rPr>
                <w:sz w:val="20"/>
              </w:rPr>
            </w:pPr>
            <w:r>
              <w:rPr>
                <w:sz w:val="20"/>
              </w:rPr>
              <w:t>2 400</w:t>
            </w:r>
          </w:p>
          <w:p>
            <w:pPr>
              <w:pStyle w:val="yTable"/>
              <w:keepNext/>
              <w:spacing w:before="0"/>
              <w:jc w:val="center"/>
              <w:rPr>
                <w:sz w:val="20"/>
              </w:rPr>
            </w:pPr>
            <w:r>
              <w:rPr>
                <w:sz w:val="20"/>
              </w:rPr>
              <w:t>2 400</w:t>
            </w:r>
          </w:p>
          <w:p>
            <w:pPr>
              <w:pStyle w:val="yTable"/>
              <w:keepNext/>
              <w:spacing w:before="0"/>
              <w:jc w:val="center"/>
              <w:rPr>
                <w:sz w:val="20"/>
              </w:rPr>
            </w:pPr>
            <w:r>
              <w:rPr>
                <w:sz w:val="20"/>
              </w:rPr>
              <w:t>3  000</w:t>
            </w:r>
          </w:p>
          <w:p>
            <w:pPr>
              <w:pStyle w:val="yTable"/>
              <w:keepNext/>
              <w:spacing w:before="0"/>
              <w:jc w:val="center"/>
              <w:rPr>
                <w:sz w:val="20"/>
              </w:rPr>
            </w:pPr>
            <w:r>
              <w:rPr>
                <w:sz w:val="20"/>
              </w:rPr>
              <w:t>3  000</w:t>
            </w:r>
          </w:p>
          <w:p>
            <w:pPr>
              <w:pStyle w:val="yTable"/>
              <w:keepNext/>
              <w:spacing w:before="0"/>
              <w:jc w:val="center"/>
              <w:rPr>
                <w:sz w:val="20"/>
              </w:rPr>
            </w:pPr>
            <w:r>
              <w:rPr>
                <w:sz w:val="20"/>
              </w:rPr>
              <w:t>3  000</w:t>
            </w:r>
          </w:p>
          <w:p>
            <w:pPr>
              <w:pStyle w:val="yTable"/>
              <w:keepNext/>
              <w:spacing w:before="0"/>
              <w:jc w:val="center"/>
              <w:rPr>
                <w:sz w:val="20"/>
              </w:rPr>
            </w:pPr>
            <w:r>
              <w:rPr>
                <w:sz w:val="20"/>
              </w:rPr>
              <w:t>3  600</w:t>
            </w:r>
          </w:p>
          <w:p>
            <w:pPr>
              <w:pStyle w:val="yTable"/>
              <w:keepNext/>
              <w:spacing w:before="0"/>
              <w:jc w:val="center"/>
              <w:rPr>
                <w:sz w:val="20"/>
              </w:rPr>
            </w:pPr>
            <w:r>
              <w:rPr>
                <w:sz w:val="20"/>
              </w:rPr>
              <w:t>3  600</w:t>
            </w:r>
          </w:p>
          <w:p>
            <w:pPr>
              <w:pStyle w:val="yTable"/>
              <w:keepNext/>
              <w:spacing w:before="0"/>
              <w:jc w:val="center"/>
              <w:rPr>
                <w:sz w:val="20"/>
              </w:rPr>
            </w:pPr>
            <w:r>
              <w:rPr>
                <w:sz w:val="20"/>
              </w:rPr>
              <w:t>3  600</w:t>
            </w:r>
          </w:p>
          <w:p>
            <w:pPr>
              <w:pStyle w:val="yTable"/>
              <w:keepNext/>
              <w:spacing w:before="0"/>
              <w:jc w:val="center"/>
              <w:rPr>
                <w:sz w:val="20"/>
              </w:rPr>
            </w:pPr>
            <w:r>
              <w:rPr>
                <w:sz w:val="20"/>
              </w:rPr>
              <w:t>3  600</w:t>
            </w:r>
          </w:p>
          <w:p>
            <w:pPr>
              <w:pStyle w:val="yTable"/>
              <w:keepNext/>
              <w:spacing w:before="0"/>
              <w:jc w:val="center"/>
              <w:rPr>
                <w:sz w:val="20"/>
              </w:rPr>
            </w:pPr>
            <w:r>
              <w:rPr>
                <w:sz w:val="20"/>
              </w:rPr>
              <w:t>4 200</w:t>
            </w:r>
          </w:p>
          <w:p>
            <w:pPr>
              <w:pStyle w:val="yTable"/>
              <w:keepNext/>
              <w:spacing w:before="0"/>
              <w:jc w:val="center"/>
              <w:rPr>
                <w:sz w:val="20"/>
              </w:rPr>
            </w:pPr>
            <w:r>
              <w:rPr>
                <w:sz w:val="20"/>
              </w:rPr>
              <w:t>4 200</w:t>
            </w:r>
          </w:p>
          <w:p>
            <w:pPr>
              <w:pStyle w:val="yTable"/>
              <w:keepNext/>
              <w:spacing w:before="0"/>
              <w:jc w:val="center"/>
              <w:rPr>
                <w:sz w:val="20"/>
              </w:rPr>
            </w:pPr>
            <w:r>
              <w:rPr>
                <w:sz w:val="20"/>
              </w:rPr>
              <w:t>4  800</w:t>
            </w:r>
          </w:p>
          <w:p>
            <w:pPr>
              <w:pStyle w:val="yTable"/>
              <w:keepNext/>
              <w:spacing w:before="0"/>
              <w:jc w:val="center"/>
              <w:rPr>
                <w:sz w:val="20"/>
              </w:rPr>
            </w:pPr>
            <w:r>
              <w:rPr>
                <w:sz w:val="20"/>
              </w:rPr>
              <w:t>4  800</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4 800 plus 600 mm for every 30 sites over 200</w:t>
            </w:r>
          </w:p>
        </w:tc>
        <w:tc>
          <w:tcPr>
            <w:tcW w:w="1106" w:type="dxa"/>
          </w:tcPr>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14</w:t>
            </w:r>
          </w:p>
          <w:p>
            <w:pPr>
              <w:pStyle w:val="yTable"/>
              <w:keepNext/>
              <w:spacing w:before="0"/>
              <w:jc w:val="center"/>
              <w:rPr>
                <w:sz w:val="20"/>
              </w:rPr>
            </w:pPr>
            <w:r>
              <w:rPr>
                <w:sz w:val="20"/>
              </w:rPr>
              <w:t>14</w:t>
            </w:r>
          </w:p>
          <w:p>
            <w:pPr>
              <w:pStyle w:val="yTable"/>
              <w:keepNext/>
              <w:spacing w:before="0"/>
              <w:jc w:val="center"/>
              <w:rPr>
                <w:sz w:val="20"/>
              </w:rPr>
            </w:pPr>
            <w:r>
              <w:rPr>
                <w:sz w:val="20"/>
              </w:rPr>
              <w:t>14 plus 1 for every 20 sites over 190</w:t>
            </w:r>
          </w:p>
          <w:p>
            <w:pPr>
              <w:pStyle w:val="yTable"/>
              <w:keepNext/>
              <w:spacing w:before="0"/>
              <w:jc w:val="center"/>
              <w:rPr>
                <w:sz w:val="20"/>
              </w:rPr>
            </w:pPr>
          </w:p>
          <w:p>
            <w:pPr>
              <w:pStyle w:val="yTable"/>
              <w:keepNext/>
              <w:spacing w:before="0"/>
              <w:jc w:val="center"/>
              <w:rPr>
                <w:sz w:val="20"/>
              </w:rPr>
            </w:pPr>
            <w:r>
              <w:rPr>
                <w:sz w:val="20"/>
              </w:rPr>
              <w:t xml:space="preserve"> — </w:t>
            </w:r>
          </w:p>
        </w:tc>
        <w:tc>
          <w:tcPr>
            <w:tcW w:w="1134" w:type="dxa"/>
          </w:tcPr>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14</w:t>
            </w:r>
          </w:p>
          <w:p>
            <w:pPr>
              <w:pStyle w:val="yTable"/>
              <w:keepNext/>
              <w:spacing w:before="0"/>
              <w:jc w:val="center"/>
              <w:rPr>
                <w:sz w:val="20"/>
              </w:rPr>
            </w:pPr>
            <w:r>
              <w:rPr>
                <w:sz w:val="20"/>
              </w:rPr>
              <w:t>14</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14 plus 1 for every 20 sites over 200</w:t>
            </w:r>
          </w:p>
        </w:tc>
        <w:tc>
          <w:tcPr>
            <w:tcW w:w="1270" w:type="dxa"/>
          </w:tcPr>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11</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13</w:t>
            </w:r>
          </w:p>
          <w:p>
            <w:pPr>
              <w:pStyle w:val="yTable"/>
              <w:keepNext/>
              <w:spacing w:before="0"/>
              <w:jc w:val="center"/>
              <w:rPr>
                <w:sz w:val="20"/>
              </w:rPr>
            </w:pPr>
            <w:r>
              <w:rPr>
                <w:sz w:val="20"/>
              </w:rPr>
              <w:t>13</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 xml:space="preserve">13 plus </w:t>
            </w:r>
            <w:r>
              <w:rPr>
                <w:sz w:val="20"/>
              </w:rPr>
              <w:br/>
              <w:t xml:space="preserve">1 for every 30 sites </w:t>
            </w:r>
            <w:r>
              <w:rPr>
                <w:sz w:val="20"/>
              </w:rPr>
              <w:br/>
              <w:t>over 200</w:t>
            </w:r>
          </w:p>
        </w:tc>
      </w:tr>
    </w:tbl>
    <w:p>
      <w:pPr>
        <w:pStyle w:val="yFootnotesection"/>
      </w:pPr>
      <w:r>
        <w:tab/>
        <w:t>[Clause 20 amended: Gazette 25 Aug 2000 p. 4920.]</w:t>
      </w:r>
    </w:p>
    <w:p>
      <w:pPr>
        <w:pStyle w:val="yHeading5"/>
        <w:keepNext w:val="0"/>
        <w:keepLines w:val="0"/>
        <w:pageBreakBefore/>
        <w:spacing w:before="0"/>
        <w:outlineLvl w:val="9"/>
      </w:pPr>
      <w:bookmarkStart w:id="202" w:name="_Toc44414384"/>
      <w:r>
        <w:rPr>
          <w:rStyle w:val="CharSClsNo"/>
        </w:rPr>
        <w:t>21</w:t>
      </w:r>
      <w:r>
        <w:t>.</w:t>
      </w:r>
      <w:r>
        <w:tab/>
        <w:t>Number of showers, toilets and hand basins at transit parks</w:t>
      </w:r>
      <w:bookmarkEnd w:id="202"/>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spacing w:after="60"/>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Footnotesection"/>
        <w:rPr>
          <w:rStyle w:val="CharSClsNo"/>
          <w:b/>
        </w:rPr>
      </w:pPr>
      <w:r>
        <w:tab/>
        <w:t>[Clause 21 amended: Gazette 25 Aug 2000 p. 4920.]</w:t>
      </w:r>
    </w:p>
    <w:p>
      <w:pPr>
        <w:pStyle w:val="yHeading5"/>
        <w:spacing w:before="240"/>
        <w:outlineLvl w:val="9"/>
      </w:pPr>
      <w:bookmarkStart w:id="203" w:name="_Toc44414385"/>
      <w:r>
        <w:rPr>
          <w:rStyle w:val="CharSClsNo"/>
        </w:rPr>
        <w:t>22</w:t>
      </w:r>
      <w:r>
        <w:t>.</w:t>
      </w:r>
      <w:r>
        <w:tab/>
        <w:t>Calculation of sites for cl. 20 and 21</w:t>
      </w:r>
      <w:bookmarkEnd w:id="203"/>
    </w:p>
    <w:p>
      <w:pPr>
        <w:pStyle w:val="ySubsection"/>
      </w:pPr>
      <w:r>
        <w:tab/>
      </w:r>
      <w:r>
        <w:tab/>
        <w:t>In calculating the number of sites a facility has for the purposes of clauses 20 and 21 — </w:t>
      </w:r>
    </w:p>
    <w:p>
      <w:pPr>
        <w:pStyle w:val="yIndenta"/>
      </w:pPr>
      <w:r>
        <w:tab/>
        <w:t>(a)</w:t>
      </w:r>
      <w:r>
        <w:tab/>
        <w:t>a site with an en suite is not included; and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204" w:name="_Toc44414386"/>
      <w:r>
        <w:rPr>
          <w:rStyle w:val="CharSClsNo"/>
        </w:rPr>
        <w:t>23</w:t>
      </w:r>
      <w:r>
        <w:t>.</w:t>
      </w:r>
      <w:r>
        <w:tab/>
        <w:t>Number of toilets, showers, hand basins at nature based parks</w:t>
      </w:r>
      <w:bookmarkEnd w:id="204"/>
    </w:p>
    <w:p>
      <w:pPr>
        <w:pStyle w:val="ySubsection"/>
      </w:pPr>
      <w:r>
        <w:tab/>
        <w:t>(1)</w:t>
      </w:r>
      <w:r>
        <w:tab/>
        <w:t>A nature based park is to have at least 2 toilets for every 20 sites, unless otherwise approved.</w:t>
      </w:r>
    </w:p>
    <w:p>
      <w:pPr>
        <w:pStyle w:val="PermNoteHeading"/>
      </w:pPr>
      <w:r>
        <w:tab/>
        <w:t>Note for this subclause:</w:t>
      </w:r>
    </w:p>
    <w:p>
      <w:pPr>
        <w:pStyle w:val="PermNoteText"/>
      </w:pPr>
      <w:r>
        <w:tab/>
      </w:r>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 Gazette 12 Dec 2014 p. 4729.]</w:t>
      </w:r>
    </w:p>
    <w:p>
      <w:pPr>
        <w:pStyle w:val="yHeading5"/>
        <w:outlineLvl w:val="0"/>
      </w:pPr>
      <w:bookmarkStart w:id="205" w:name="_Toc44414387"/>
      <w:r>
        <w:rPr>
          <w:rStyle w:val="CharSClsNo"/>
        </w:rPr>
        <w:t>24</w:t>
      </w:r>
      <w:r>
        <w:t>.</w:t>
      </w:r>
      <w:r>
        <w:tab/>
        <w:t>Showers</w:t>
      </w:r>
      <w:bookmarkEnd w:id="205"/>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 xml:space="preserve">hot water (not less than 45°C),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 Gazette 12 Dec 2014 p. 4730.]</w:t>
      </w:r>
    </w:p>
    <w:p>
      <w:pPr>
        <w:pStyle w:val="yHeading5"/>
        <w:outlineLvl w:val="0"/>
      </w:pPr>
      <w:bookmarkStart w:id="206" w:name="_Toc44414388"/>
      <w:r>
        <w:rPr>
          <w:rStyle w:val="CharSClsNo"/>
        </w:rPr>
        <w:t>25</w:t>
      </w:r>
      <w:r>
        <w:t>.</w:t>
      </w:r>
      <w:r>
        <w:tab/>
        <w:t>Babies bath</w:t>
      </w:r>
      <w:bookmarkEnd w:id="206"/>
    </w:p>
    <w:p>
      <w:pPr>
        <w:pStyle w:val="ySubsection"/>
      </w:pPr>
      <w:r>
        <w:tab/>
        <w:t>(1)</w:t>
      </w:r>
      <w:r>
        <w:tab/>
        <w:t>Each ablution block, other than at a transit park or a nature based park, is to have a babies’ bath which — </w:t>
      </w:r>
    </w:p>
    <w:p>
      <w:pPr>
        <w:pStyle w:val="yIndenta"/>
      </w:pPr>
      <w:r>
        <w:tab/>
        <w:t>(a)</w:t>
      </w:r>
      <w:r>
        <w:tab/>
        <w:t>has a capacity of 45 L; and</w:t>
      </w:r>
    </w:p>
    <w:p>
      <w:pPr>
        <w:pStyle w:val="yIndenta"/>
      </w:pPr>
      <w:r>
        <w:tab/>
        <w:t>(b)</w:t>
      </w:r>
      <w:r>
        <w:tab/>
        <w:t>is of stainless steel or other suitable material; and</w:t>
      </w:r>
    </w:p>
    <w:p>
      <w:pPr>
        <w:pStyle w:val="yIndenta"/>
      </w:pPr>
      <w:r>
        <w:tab/>
        <w:t>(c)</w:t>
      </w:r>
      <w:r>
        <w:tab/>
        <w:t>has a drain plug; and</w:t>
      </w:r>
    </w:p>
    <w:p>
      <w:pPr>
        <w:pStyle w:val="yIndenta"/>
      </w:pPr>
      <w:r>
        <w:tab/>
        <w:t>(d)</w:t>
      </w:r>
      <w:r>
        <w:tab/>
        <w:t>is next to at least 0.45 m</w:t>
      </w:r>
      <w:r>
        <w:rPr>
          <w:vertAlign w:val="superscript"/>
        </w:rPr>
        <w:t xml:space="preserve"> 2 </w:t>
      </w:r>
      <w:r>
        <w:t>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C.</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Footnotesection"/>
      </w:pPr>
      <w:r>
        <w:tab/>
        <w:t>[Clause 25 amended: Gazette 25 Aug 2000 p. 4920.]</w:t>
      </w:r>
    </w:p>
    <w:p>
      <w:pPr>
        <w:pStyle w:val="yHeading5"/>
        <w:outlineLvl w:val="0"/>
      </w:pPr>
      <w:bookmarkStart w:id="207" w:name="_Toc44414389"/>
      <w:r>
        <w:rPr>
          <w:rStyle w:val="CharSClsNo"/>
        </w:rPr>
        <w:t>26</w:t>
      </w:r>
      <w:r>
        <w:t>.</w:t>
      </w:r>
      <w:r>
        <w:tab/>
        <w:t>Hand basins</w:t>
      </w:r>
      <w:bookmarkEnd w:id="207"/>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 Gazette 12 Dec 2014 p. 4730.]</w:t>
      </w:r>
    </w:p>
    <w:p>
      <w:pPr>
        <w:pStyle w:val="yHeading5"/>
        <w:outlineLvl w:val="0"/>
      </w:pPr>
      <w:bookmarkStart w:id="208" w:name="_Toc44414390"/>
      <w:r>
        <w:rPr>
          <w:rStyle w:val="CharSClsNo"/>
        </w:rPr>
        <w:t>27</w:t>
      </w:r>
      <w:r>
        <w:t>.</w:t>
      </w:r>
      <w:r>
        <w:tab/>
        <w:t>Power points</w:t>
      </w:r>
      <w:bookmarkEnd w:id="208"/>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keepLines/>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 Gazette 12 Dec 2014 p. 4730.]</w:t>
      </w:r>
    </w:p>
    <w:p>
      <w:pPr>
        <w:pStyle w:val="yHeading5"/>
        <w:outlineLvl w:val="0"/>
      </w:pPr>
      <w:bookmarkStart w:id="209" w:name="_Toc44414391"/>
      <w:r>
        <w:rPr>
          <w:rStyle w:val="CharSClsNo"/>
        </w:rPr>
        <w:t>28</w:t>
      </w:r>
      <w:r>
        <w:t>.</w:t>
      </w:r>
      <w:r>
        <w:tab/>
        <w:t>Toilets</w:t>
      </w:r>
      <w:bookmarkEnd w:id="209"/>
    </w:p>
    <w:p>
      <w:pPr>
        <w:pStyle w:val="ySubsection"/>
      </w:pPr>
      <w:r>
        <w:tab/>
        <w:t>(1)</w:t>
      </w:r>
      <w:r>
        <w:tab/>
        <w:t>Each pedestal toilet is to be enclosed in a cubicle which has — </w:t>
      </w:r>
    </w:p>
    <w:p>
      <w:pPr>
        <w:pStyle w:val="yIndenta"/>
      </w:pPr>
      <w:r>
        <w:tab/>
        <w:t>(a)</w:t>
      </w:r>
      <w:r>
        <w:tab/>
        <w:t>a toilet roll dispenser; and</w:t>
      </w:r>
    </w:p>
    <w:p>
      <w:pPr>
        <w:pStyle w:val="yIndenta"/>
      </w:pPr>
      <w:r>
        <w:tab/>
        <w:t>(b)</w:t>
      </w:r>
      <w:r>
        <w:tab/>
        <w:t>a coat hook; and</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outlineLvl w:val="0"/>
      </w:pPr>
      <w:bookmarkStart w:id="210" w:name="_Toc44414392"/>
      <w:r>
        <w:rPr>
          <w:rStyle w:val="CharSClsNo"/>
        </w:rPr>
        <w:t>29</w:t>
      </w:r>
      <w:r>
        <w:t>.</w:t>
      </w:r>
      <w:r>
        <w:tab/>
        <w:t>Napkin disposal units</w:t>
      </w:r>
      <w:bookmarkEnd w:id="210"/>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outlineLvl w:val="0"/>
      </w:pPr>
      <w:bookmarkStart w:id="211" w:name="_Toc44400186"/>
      <w:bookmarkStart w:id="212" w:name="_Toc44402117"/>
      <w:bookmarkStart w:id="213" w:name="_Toc44414393"/>
      <w:r>
        <w:rPr>
          <w:rStyle w:val="CharSDivNo"/>
        </w:rPr>
        <w:t>Division 7</w:t>
      </w:r>
      <w:r>
        <w:t> — </w:t>
      </w:r>
      <w:r>
        <w:rPr>
          <w:rStyle w:val="CharSDivText"/>
        </w:rPr>
        <w:t>Laundry facilities</w:t>
      </w:r>
      <w:bookmarkEnd w:id="211"/>
      <w:bookmarkEnd w:id="212"/>
      <w:bookmarkEnd w:id="213"/>
    </w:p>
    <w:p>
      <w:pPr>
        <w:pStyle w:val="yHeading5"/>
        <w:spacing w:before="240"/>
        <w:outlineLvl w:val="0"/>
      </w:pPr>
      <w:bookmarkStart w:id="214" w:name="_Toc44414394"/>
      <w:r>
        <w:rPr>
          <w:rStyle w:val="CharSClsNo"/>
        </w:rPr>
        <w:t>30</w:t>
      </w:r>
      <w:r>
        <w:t>.</w:t>
      </w:r>
      <w:r>
        <w:tab/>
        <w:t>Laundry facilities</w:t>
      </w:r>
      <w:bookmarkEnd w:id="214"/>
    </w:p>
    <w:p>
      <w:pPr>
        <w:pStyle w:val="ySubsection"/>
      </w:pPr>
      <w:r>
        <w:tab/>
        <w:t>(1)</w:t>
      </w:r>
      <w:r>
        <w:tab/>
        <w:t xml:space="preserve">A caravan park or camping </w:t>
      </w:r>
      <w:r>
        <w:rPr>
          <w:szCs w:val="22"/>
        </w:rPr>
        <w:t>ground, other than a nature based park,</w:t>
      </w:r>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a washing machine that is connected to a supply of hot (not less than 45°C) and cold running water, or which is capable of heating water to that temperature; and</w:t>
      </w:r>
    </w:p>
    <w:p>
      <w:pPr>
        <w:pStyle w:val="yIndenta"/>
      </w:pPr>
      <w:r>
        <w:tab/>
        <w:t>(b)</w:t>
      </w:r>
      <w:r>
        <w:tab/>
        <w:t>a trough with a drain plug and hot (not less than 45°C) and running cold water; and</w:t>
      </w:r>
    </w:p>
    <w:p>
      <w:pPr>
        <w:pStyle w:val="yIndenta"/>
      </w:pPr>
      <w:r>
        <w:tab/>
        <w:t>(c)</w:t>
      </w:r>
      <w:r>
        <w:tab/>
        <w:t>at least 0.3 m</w:t>
      </w:r>
      <w:r>
        <w:rPr>
          <w:vertAlign w:val="superscript"/>
        </w:rPr>
        <w:t xml:space="preserve"> 2 </w:t>
      </w:r>
      <w:r>
        <w:t>of bench space suitable for ironing clothes, with access to a power point; and</w:t>
      </w:r>
    </w:p>
    <w:p>
      <w:pPr>
        <w:pStyle w:val="yIndenta"/>
      </w:pPr>
      <w:r>
        <w:tab/>
        <w:t>(d)</w:t>
      </w:r>
      <w:r>
        <w:tab/>
        <w:t>one electric clothes drier or 60 m of washing line.</w:t>
      </w:r>
    </w:p>
    <w:p>
      <w:pPr>
        <w:pStyle w:val="ySubsection"/>
      </w:pPr>
      <w:r>
        <w:tab/>
        <w:t>(3)</w:t>
      </w:r>
      <w:r>
        <w:tab/>
        <w:t>A laundry facility where there is no access to a supply of electricity comprises — </w:t>
      </w:r>
    </w:p>
    <w:p>
      <w:pPr>
        <w:pStyle w:val="yIndenta"/>
      </w:pPr>
      <w:r>
        <w:tab/>
        <w:t>(a)</w:t>
      </w:r>
      <w:r>
        <w:tab/>
        <w:t>a copper and an adequate fuel supply; and</w:t>
      </w:r>
    </w:p>
    <w:p>
      <w:pPr>
        <w:pStyle w:val="yIndenta"/>
      </w:pPr>
      <w:r>
        <w:tab/>
        <w:t>(b)</w:t>
      </w:r>
      <w:r>
        <w:tab/>
        <w:t>a trough with a drain plug and hot (not less than 45°C) and cold running water; and</w:t>
      </w:r>
    </w:p>
    <w:p>
      <w:pPr>
        <w:pStyle w:val="yIndenta"/>
      </w:pPr>
      <w:r>
        <w:tab/>
        <w:t>(c)</w:t>
      </w:r>
      <w:r>
        <w:tab/>
        <w:t>at least 0.3 m</w:t>
      </w:r>
      <w:r>
        <w:rPr>
          <w:vertAlign w:val="superscript"/>
        </w:rPr>
        <w:t xml:space="preserve"> 2 </w:t>
      </w:r>
      <w:r>
        <w:t>of bench space suitable for ironing; and</w:t>
      </w:r>
    </w:p>
    <w:p>
      <w:pPr>
        <w:pStyle w:val="yIndenta"/>
      </w:pPr>
      <w:r>
        <w:tab/>
        <w:t>(d)</w:t>
      </w:r>
      <w:r>
        <w:tab/>
        <w:t>60 m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spacing w:after="60"/>
        <w:outlineLvl w:val="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 Gazette 12 Dec 2014 p. 4730.]</w:t>
      </w:r>
    </w:p>
    <w:p>
      <w:pPr>
        <w:pStyle w:val="yHeading3"/>
        <w:outlineLvl w:val="9"/>
      </w:pPr>
      <w:bookmarkStart w:id="215" w:name="_Toc44400188"/>
      <w:bookmarkStart w:id="216" w:name="_Toc44402119"/>
      <w:bookmarkStart w:id="217" w:name="_Toc44414395"/>
      <w:r>
        <w:rPr>
          <w:rStyle w:val="CharSDivNo"/>
        </w:rPr>
        <w:t>Division 8</w:t>
      </w:r>
      <w:r>
        <w:t> — </w:t>
      </w:r>
      <w:r>
        <w:rPr>
          <w:rStyle w:val="CharSDivText"/>
        </w:rPr>
        <w:t>Washing up facilities for campers</w:t>
      </w:r>
      <w:bookmarkEnd w:id="215"/>
      <w:bookmarkEnd w:id="216"/>
      <w:bookmarkEnd w:id="217"/>
    </w:p>
    <w:p>
      <w:pPr>
        <w:pStyle w:val="yHeading5"/>
        <w:spacing w:before="180"/>
        <w:outlineLvl w:val="0"/>
      </w:pPr>
      <w:bookmarkStart w:id="218" w:name="_Toc44414396"/>
      <w:r>
        <w:rPr>
          <w:rStyle w:val="CharSClsNo"/>
        </w:rPr>
        <w:t>31</w:t>
      </w:r>
      <w:r>
        <w:t>.</w:t>
      </w:r>
      <w:r>
        <w:tab/>
        <w:t>Washing up facilities for campers</w:t>
      </w:r>
      <w:bookmarkEnd w:id="218"/>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m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(ca)</w:t>
      </w:r>
      <w:r>
        <w:tab/>
        <w:t>cold running water; and</w:t>
      </w:r>
    </w:p>
    <w:p>
      <w:pPr>
        <w:pStyle w:val="yIndenta"/>
      </w:pPr>
      <w:r>
        <w:tab/>
        <w:t>(c)</w:t>
      </w:r>
      <w:r>
        <w:tab/>
        <w:t>a capacity of at least 45 L; and</w:t>
      </w:r>
    </w:p>
    <w:p>
      <w:pPr>
        <w:pStyle w:val="yIndenta"/>
      </w:pPr>
      <w:r>
        <w:tab/>
        <w:t>(d)</w:t>
      </w:r>
      <w:r>
        <w:tab/>
        <w:t>next to it, at least 0.5 m</w:t>
      </w:r>
      <w:r>
        <w:rPr>
          <w:vertAlign w:val="superscript"/>
        </w:rPr>
        <w:t xml:space="preserve"> 2 </w:t>
      </w:r>
      <w:r>
        <w:t>of waterproof bench.</w:t>
      </w:r>
    </w:p>
    <w:p>
      <w:pPr>
        <w:pStyle w:val="yFootnotesection"/>
      </w:pPr>
      <w:r>
        <w:tab/>
        <w:t>[Clause 31 amended: Gazette 12 Dec 2014 p. 4730-1.]</w:t>
      </w:r>
    </w:p>
    <w:p>
      <w:pPr>
        <w:pStyle w:val="yHeading3"/>
        <w:spacing w:before="200"/>
        <w:outlineLvl w:val="0"/>
      </w:pPr>
      <w:bookmarkStart w:id="219" w:name="_Toc44400190"/>
      <w:bookmarkStart w:id="220" w:name="_Toc44402121"/>
      <w:bookmarkStart w:id="221" w:name="_Toc44414397"/>
      <w:r>
        <w:rPr>
          <w:rStyle w:val="CharSDivNo"/>
        </w:rPr>
        <w:t>Division 9</w:t>
      </w:r>
      <w:r>
        <w:t> — </w:t>
      </w:r>
      <w:r>
        <w:rPr>
          <w:rStyle w:val="CharSDivText"/>
        </w:rPr>
        <w:t>Lighting</w:t>
      </w:r>
      <w:bookmarkEnd w:id="219"/>
      <w:bookmarkEnd w:id="220"/>
      <w:bookmarkEnd w:id="221"/>
    </w:p>
    <w:p>
      <w:pPr>
        <w:pStyle w:val="yHeading5"/>
        <w:spacing w:before="180"/>
        <w:outlineLvl w:val="0"/>
      </w:pPr>
      <w:bookmarkStart w:id="222" w:name="_Toc44414398"/>
      <w:r>
        <w:rPr>
          <w:rStyle w:val="CharSClsNo"/>
        </w:rPr>
        <w:t>32</w:t>
      </w:r>
      <w:r>
        <w:t>.</w:t>
      </w:r>
      <w:r>
        <w:tab/>
        <w:t>Lighting</w:t>
      </w:r>
      <w:bookmarkEnd w:id="222"/>
    </w:p>
    <w:p>
      <w:pPr>
        <w:pStyle w:val="ySubsection"/>
        <w:spacing w:before="120"/>
      </w:pPr>
      <w:r>
        <w:tab/>
        <w:t>(1)</w:t>
      </w:r>
      <w:r>
        <w:tab/>
        <w:t>Each ablution block and each building containing a toilet is to be lit at night so that light of an intensity of not less than 100 lumens per square metre radiates throughout the building.</w:t>
      </w:r>
    </w:p>
    <w:p>
      <w:pPr>
        <w:pStyle w:val="ySubsection"/>
        <w:spacing w:before="120"/>
      </w:pPr>
      <w:r>
        <w:tab/>
        <w:t>(2)</w:t>
      </w:r>
      <w:r>
        <w:tab/>
        <w:t>A building containing a laundry facility is to be lit at night so that light of an intensity of not less than 160 lumens per square metre radiates throughout the building.</w:t>
      </w:r>
    </w:p>
    <w:p>
      <w:pPr>
        <w:pStyle w:val="ySubsection"/>
        <w:spacing w:before="120"/>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spacing w:before="120"/>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tab/>
        <w:t>[Clause 32 amended: Gazette 12 Dec 2014 p. 4731.]</w:t>
      </w:r>
    </w:p>
    <w:p>
      <w:pPr>
        <w:pStyle w:val="yHeading3"/>
        <w:outlineLvl w:val="0"/>
      </w:pPr>
      <w:bookmarkStart w:id="223" w:name="_Toc44400192"/>
      <w:bookmarkStart w:id="224" w:name="_Toc44402123"/>
      <w:bookmarkStart w:id="225" w:name="_Toc44414399"/>
      <w:r>
        <w:rPr>
          <w:rStyle w:val="CharSDivNo"/>
        </w:rPr>
        <w:t>Division 10</w:t>
      </w:r>
      <w:r>
        <w:t> — </w:t>
      </w:r>
      <w:r>
        <w:rPr>
          <w:rStyle w:val="CharSDivText"/>
        </w:rPr>
        <w:t>Fire fighting equipment</w:t>
      </w:r>
      <w:bookmarkEnd w:id="223"/>
      <w:bookmarkEnd w:id="224"/>
      <w:bookmarkEnd w:id="225"/>
    </w:p>
    <w:p>
      <w:pPr>
        <w:pStyle w:val="yHeading5"/>
        <w:outlineLvl w:val="0"/>
      </w:pPr>
      <w:bookmarkStart w:id="226" w:name="_Toc44414400"/>
      <w:r>
        <w:rPr>
          <w:rStyle w:val="CharSClsNo"/>
        </w:rPr>
        <w:t>33</w:t>
      </w:r>
      <w:r>
        <w:t>.</w:t>
      </w:r>
      <w:r>
        <w:tab/>
        <w:t>Fire hose reels</w:t>
      </w:r>
      <w:bookmarkEnd w:id="226"/>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outlineLvl w:val="0"/>
      </w:pPr>
      <w:bookmarkStart w:id="227" w:name="_Toc44414401"/>
      <w:r>
        <w:rPr>
          <w:rStyle w:val="CharSClsNo"/>
        </w:rPr>
        <w:t>34</w:t>
      </w:r>
      <w:r>
        <w:t>.</w:t>
      </w:r>
      <w:r>
        <w:tab/>
        <w:t>Park home parks</w:t>
      </w:r>
      <w:bookmarkEnd w:id="227"/>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outlineLvl w:val="0"/>
      </w:pPr>
      <w:bookmarkStart w:id="228" w:name="_Toc44414402"/>
      <w:r>
        <w:rPr>
          <w:rStyle w:val="CharSClsNo"/>
        </w:rPr>
        <w:t>35</w:t>
      </w:r>
      <w:r>
        <w:t>.</w:t>
      </w:r>
      <w:r>
        <w:tab/>
        <w:t>Fire extinguishers</w:t>
      </w:r>
      <w:bookmarkEnd w:id="228"/>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m from each site, located in a central position in an area accessible to all persons in the facility.</w:t>
      </w:r>
    </w:p>
    <w:p>
      <w:pPr>
        <w:pStyle w:val="ySubsection"/>
      </w:pPr>
      <w:r>
        <w:tab/>
        <w:t>(5)</w:t>
      </w:r>
      <w:r>
        <w:tab/>
        <w:t>A nature based park is to have at least one extinguisher in an area accessible to all persons in the facility.</w:t>
      </w:r>
    </w:p>
    <w:p>
      <w:pPr>
        <w:pStyle w:val="yFootnotesection"/>
      </w:pPr>
      <w:r>
        <w:tab/>
        <w:t>[Clause 35 amended: Gazette 12 Dec 2014 p. 4731.]</w:t>
      </w:r>
    </w:p>
    <w:p>
      <w:pPr>
        <w:pStyle w:val="yHeading5"/>
        <w:outlineLvl w:val="0"/>
      </w:pPr>
      <w:bookmarkStart w:id="229" w:name="_Toc44414403"/>
      <w:r>
        <w:rPr>
          <w:rStyle w:val="CharSClsNo"/>
        </w:rPr>
        <w:t>36</w:t>
      </w:r>
      <w:r>
        <w:t>.</w:t>
      </w:r>
      <w:r>
        <w:tab/>
        <w:t>Fire equipment to be maintained, accessible and ready</w:t>
      </w:r>
      <w:bookmarkEnd w:id="229"/>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outlineLvl w:val="0"/>
      </w:pPr>
      <w:bookmarkStart w:id="230" w:name="_Toc44400197"/>
      <w:bookmarkStart w:id="231" w:name="_Toc44402128"/>
      <w:bookmarkStart w:id="232" w:name="_Toc44414404"/>
      <w:r>
        <w:rPr>
          <w:rStyle w:val="CharSDivNo"/>
        </w:rPr>
        <w:t>Division 11</w:t>
      </w:r>
      <w:r>
        <w:t> — </w:t>
      </w:r>
      <w:r>
        <w:rPr>
          <w:rStyle w:val="CharSDivText"/>
        </w:rPr>
        <w:t>Electricity</w:t>
      </w:r>
      <w:bookmarkEnd w:id="230"/>
      <w:bookmarkEnd w:id="231"/>
      <w:bookmarkEnd w:id="232"/>
    </w:p>
    <w:p>
      <w:pPr>
        <w:pStyle w:val="yHeading5"/>
        <w:spacing w:before="180"/>
        <w:outlineLvl w:val="0"/>
      </w:pPr>
      <w:bookmarkStart w:id="233" w:name="_Toc44414405"/>
      <w:r>
        <w:rPr>
          <w:rStyle w:val="CharSClsNo"/>
        </w:rPr>
        <w:t>37</w:t>
      </w:r>
      <w:r>
        <w:t>.</w:t>
      </w:r>
      <w:r>
        <w:tab/>
        <w:t>Electricity to sites</w:t>
      </w:r>
      <w:bookmarkEnd w:id="233"/>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outlineLvl w:val="0"/>
      </w:pPr>
      <w:bookmarkStart w:id="234" w:name="_Toc44400199"/>
      <w:bookmarkStart w:id="235" w:name="_Toc44402130"/>
      <w:bookmarkStart w:id="236" w:name="_Toc44414406"/>
      <w:r>
        <w:rPr>
          <w:rStyle w:val="CharSDivNo"/>
        </w:rPr>
        <w:t>Division 12</w:t>
      </w:r>
      <w:r>
        <w:t> — </w:t>
      </w:r>
      <w:r>
        <w:rPr>
          <w:rStyle w:val="CharSDivText"/>
        </w:rPr>
        <w:t>Water supply</w:t>
      </w:r>
      <w:bookmarkEnd w:id="234"/>
      <w:bookmarkEnd w:id="235"/>
      <w:bookmarkEnd w:id="236"/>
    </w:p>
    <w:p>
      <w:pPr>
        <w:pStyle w:val="yHeading5"/>
        <w:spacing w:before="180"/>
        <w:outlineLvl w:val="0"/>
      </w:pPr>
      <w:bookmarkStart w:id="237" w:name="_Toc44414407"/>
      <w:r>
        <w:rPr>
          <w:rStyle w:val="CharSClsNo"/>
        </w:rPr>
        <w:t>38</w:t>
      </w:r>
      <w:r>
        <w:t>.</w:t>
      </w:r>
      <w:r>
        <w:tab/>
        <w:t>Terms used</w:t>
      </w:r>
      <w:bookmarkEnd w:id="237"/>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 Gazette 12 Dec 2014 p. 4731.]</w:t>
      </w:r>
    </w:p>
    <w:p>
      <w:pPr>
        <w:pStyle w:val="yHeading5"/>
        <w:spacing w:before="180"/>
        <w:outlineLvl w:val="0"/>
      </w:pPr>
      <w:bookmarkStart w:id="238" w:name="_Toc44414408"/>
      <w:r>
        <w:rPr>
          <w:rStyle w:val="CharSClsNo"/>
        </w:rPr>
        <w:t>39</w:t>
      </w:r>
      <w:r>
        <w:t>.</w:t>
      </w:r>
      <w:r>
        <w:tab/>
        <w:t>AS 3500.1</w:t>
      </w:r>
      <w:bookmarkEnd w:id="238"/>
    </w:p>
    <w:p>
      <w:pPr>
        <w:pStyle w:val="ySubsection"/>
      </w:pPr>
      <w:r>
        <w:tab/>
      </w:r>
      <w:r>
        <w:tab/>
        <w:t>AS 3500.1—1992 “National plumbing and drainage code, Part 1: Water Supply” is to be complied with at a facility with respect to any supply of potable water.</w:t>
      </w:r>
    </w:p>
    <w:p>
      <w:pPr>
        <w:pStyle w:val="yHeading5"/>
        <w:spacing w:before="180"/>
        <w:outlineLvl w:val="0"/>
      </w:pPr>
      <w:bookmarkStart w:id="239" w:name="_Toc44414409"/>
      <w:r>
        <w:rPr>
          <w:rStyle w:val="CharSClsNo"/>
        </w:rPr>
        <w:t>40</w:t>
      </w:r>
      <w:r>
        <w:t>.</w:t>
      </w:r>
      <w:r>
        <w:tab/>
        <w:t>Tap at transit park and nature based park</w:t>
      </w:r>
      <w:bookmarkEnd w:id="239"/>
    </w:p>
    <w:p>
      <w:pPr>
        <w:pStyle w:val="ySubsection"/>
      </w:pPr>
      <w:r>
        <w:tab/>
      </w:r>
      <w:r>
        <w:tab/>
        <w:t>There is to be a centrally located tap at a transit park and a nature based park for use by all occupiers, unless otherwise approved.</w:t>
      </w:r>
    </w:p>
    <w:p>
      <w:pPr>
        <w:pStyle w:val="yFootnotesection"/>
      </w:pPr>
      <w:r>
        <w:tab/>
        <w:t>[Clause 40 amended: Gazette 25 Aug 2000 p. 4920.]</w:t>
      </w:r>
    </w:p>
    <w:p>
      <w:pPr>
        <w:pStyle w:val="yHeading5"/>
        <w:outlineLvl w:val="0"/>
      </w:pPr>
      <w:bookmarkStart w:id="240" w:name="_Toc44414410"/>
      <w:r>
        <w:rPr>
          <w:rStyle w:val="CharSClsNo"/>
        </w:rPr>
        <w:t>41</w:t>
      </w:r>
      <w:r>
        <w:t>.</w:t>
      </w:r>
      <w:r>
        <w:tab/>
        <w:t>Tap at camping ground</w:t>
      </w:r>
      <w:bookmarkEnd w:id="240"/>
    </w:p>
    <w:p>
      <w:pPr>
        <w:pStyle w:val="ySubsection"/>
      </w:pPr>
      <w:r>
        <w:tab/>
      </w:r>
      <w:r>
        <w:tab/>
        <w:t>There is to be at least one tap within 30 m of each camping site at a camping ground.</w:t>
      </w:r>
    </w:p>
    <w:p>
      <w:pPr>
        <w:pStyle w:val="yHeading5"/>
        <w:outlineLvl w:val="0"/>
      </w:pPr>
      <w:bookmarkStart w:id="241" w:name="_Toc44414411"/>
      <w:r>
        <w:rPr>
          <w:rStyle w:val="CharSClsNo"/>
        </w:rPr>
        <w:t>42</w:t>
      </w:r>
      <w:r>
        <w:t>.</w:t>
      </w:r>
      <w:r>
        <w:tab/>
        <w:t>Potable water for sites</w:t>
      </w:r>
      <w:bookmarkEnd w:id="241"/>
    </w:p>
    <w:p>
      <w:pPr>
        <w:pStyle w:val="ySubsection"/>
      </w:pPr>
      <w:r>
        <w:tab/>
        <w:t>(1)</w:t>
      </w:r>
      <w:r>
        <w:tab/>
        <w:t>A supply of potable water of at least 300 L per day, or such lesser amount as is approved under subclause (2), is to be available for use by each site at a facility.</w:t>
      </w:r>
    </w:p>
    <w:p>
      <w:pPr>
        <w:pStyle w:val="ySubsection"/>
      </w:pPr>
      <w:r>
        <w:tab/>
        <w:t>(2)</w:t>
      </w:r>
      <w:r>
        <w:tab/>
        <w:t xml:space="preserve">The local government may, with the written approval of the Chief Health Officer (within the meaning of the </w:t>
      </w:r>
      <w:r>
        <w:rPr>
          <w:i/>
        </w:rPr>
        <w:t>Public Health Act 2016</w:t>
      </w:r>
      <w:r>
        <w:t xml:space="preserve"> section 4(1)), approve of a lesser quantity of water than that specified in subclause (1) being available at a facility.</w:t>
      </w:r>
    </w:p>
    <w:p>
      <w:pPr>
        <w:pStyle w:val="yFootnotesection"/>
      </w:pPr>
      <w:r>
        <w:tab/>
        <w:t>[Clause 42 amended: Gazette 10 Jan 2017 p. 177.]</w:t>
      </w:r>
    </w:p>
    <w:p>
      <w:pPr>
        <w:pStyle w:val="yHeading5"/>
        <w:outlineLvl w:val="0"/>
      </w:pPr>
      <w:bookmarkStart w:id="242" w:name="_Toc44414412"/>
      <w:r>
        <w:rPr>
          <w:rStyle w:val="CharSClsNo"/>
        </w:rPr>
        <w:t>43</w:t>
      </w:r>
      <w:r>
        <w:t>.</w:t>
      </w:r>
      <w:r>
        <w:tab/>
        <w:t>Long stay sites to have own tap or connection</w:t>
      </w:r>
      <w:bookmarkEnd w:id="242"/>
    </w:p>
    <w:p>
      <w:pPr>
        <w:pStyle w:val="ySubsection"/>
      </w:pPr>
      <w:r>
        <w:tab/>
      </w:r>
      <w:r>
        <w:tab/>
        <w:t>Subject to clause 42, there is to be a tap or water connection point with a supply of potable water at every long stay site.</w:t>
      </w:r>
    </w:p>
    <w:p>
      <w:pPr>
        <w:pStyle w:val="yHeading5"/>
        <w:outlineLvl w:val="0"/>
      </w:pPr>
      <w:bookmarkStart w:id="243" w:name="_Toc44414413"/>
      <w:r>
        <w:rPr>
          <w:rStyle w:val="CharSClsNo"/>
        </w:rPr>
        <w:t>44</w:t>
      </w:r>
      <w:r>
        <w:t>.</w:t>
      </w:r>
      <w:r>
        <w:tab/>
        <w:t>Tap within 10 m of short stay sites</w:t>
      </w:r>
      <w:bookmarkEnd w:id="243"/>
    </w:p>
    <w:p>
      <w:pPr>
        <w:pStyle w:val="ySubsection"/>
      </w:pPr>
      <w:r>
        <w:tab/>
      </w:r>
      <w:r>
        <w:tab/>
        <w:t>There is to be a tap connected to a supply of potable water within at least 10 m of every short stay site on a facility, unless otherwise approved.</w:t>
      </w:r>
    </w:p>
    <w:p>
      <w:pPr>
        <w:pStyle w:val="yHeading3"/>
        <w:outlineLvl w:val="0"/>
      </w:pPr>
      <w:bookmarkStart w:id="244" w:name="_Toc44400207"/>
      <w:bookmarkStart w:id="245" w:name="_Toc44402138"/>
      <w:bookmarkStart w:id="246" w:name="_Toc44414414"/>
      <w:r>
        <w:rPr>
          <w:rStyle w:val="CharSDivNo"/>
        </w:rPr>
        <w:t>Division 13</w:t>
      </w:r>
      <w:r>
        <w:t> — </w:t>
      </w:r>
      <w:r>
        <w:rPr>
          <w:rStyle w:val="CharSDivText"/>
        </w:rPr>
        <w:t>Waste water, sewage and drainage</w:t>
      </w:r>
      <w:bookmarkEnd w:id="244"/>
      <w:bookmarkEnd w:id="245"/>
      <w:bookmarkEnd w:id="246"/>
    </w:p>
    <w:p>
      <w:pPr>
        <w:pStyle w:val="yHeading5"/>
        <w:outlineLvl w:val="0"/>
      </w:pPr>
      <w:bookmarkStart w:id="247" w:name="_Toc44414415"/>
      <w:r>
        <w:t>45.</w:t>
      </w:r>
      <w:r>
        <w:tab/>
        <w:t>Term used: AS/NZS 3500.2.2</w:t>
      </w:r>
      <w:bookmarkEnd w:id="247"/>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outlineLvl w:val="0"/>
      </w:pPr>
      <w:bookmarkStart w:id="248" w:name="_Toc44414416"/>
      <w:r>
        <w:rPr>
          <w:rStyle w:val="CharSClsNo"/>
        </w:rPr>
        <w:t>46</w:t>
      </w:r>
      <w:r>
        <w:t>.</w:t>
      </w:r>
      <w:r>
        <w:tab/>
        <w:t>Waste water disposal</w:t>
      </w:r>
      <w:bookmarkEnd w:id="248"/>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than 10 m; and</w:t>
      </w:r>
    </w:p>
    <w:p>
      <w:pPr>
        <w:pStyle w:val="yIndenta"/>
        <w:keepNext/>
      </w:pPr>
      <w:r>
        <w:tab/>
        <w:t>(b)</w:t>
      </w:r>
      <w:r>
        <w:tab/>
        <w:t>camp site at a facility is to be no more than 30 m,</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 Gazette 12 Dec 2014 p. 4732.]</w:t>
      </w:r>
    </w:p>
    <w:p>
      <w:pPr>
        <w:pStyle w:val="yHeading5"/>
        <w:outlineLvl w:val="0"/>
      </w:pPr>
      <w:bookmarkStart w:id="249" w:name="_Toc44414417"/>
      <w:r>
        <w:rPr>
          <w:rStyle w:val="CharSClsNo"/>
        </w:rPr>
        <w:t>47</w:t>
      </w:r>
      <w:r>
        <w:t>.</w:t>
      </w:r>
      <w:r>
        <w:tab/>
        <w:t>Communal chemical soil waste dump point</w:t>
      </w:r>
      <w:bookmarkEnd w:id="249"/>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 Gazette 12 Dec 2014 p. 4732.]</w:t>
      </w:r>
    </w:p>
    <w:p>
      <w:pPr>
        <w:pStyle w:val="yHeading3"/>
        <w:outlineLvl w:val="0"/>
      </w:pPr>
      <w:bookmarkStart w:id="250" w:name="_Toc44400211"/>
      <w:bookmarkStart w:id="251" w:name="_Toc44402142"/>
      <w:bookmarkStart w:id="252" w:name="_Toc44414418"/>
      <w:r>
        <w:rPr>
          <w:rStyle w:val="CharSDivNo"/>
        </w:rPr>
        <w:t>Division 14</w:t>
      </w:r>
      <w:r>
        <w:t> — </w:t>
      </w:r>
      <w:r>
        <w:rPr>
          <w:rStyle w:val="CharSDivText"/>
        </w:rPr>
        <w:t>Miscellaneous</w:t>
      </w:r>
      <w:bookmarkEnd w:id="250"/>
      <w:bookmarkEnd w:id="251"/>
      <w:bookmarkEnd w:id="252"/>
    </w:p>
    <w:p>
      <w:pPr>
        <w:pStyle w:val="yHeading5"/>
        <w:outlineLvl w:val="0"/>
      </w:pPr>
      <w:bookmarkStart w:id="253" w:name="_Toc44414419"/>
      <w:r>
        <w:rPr>
          <w:rStyle w:val="CharSClsNo"/>
        </w:rPr>
        <w:t>48</w:t>
      </w:r>
      <w:r>
        <w:t>.</w:t>
      </w:r>
      <w:r>
        <w:tab/>
        <w:t>Cyclone activity</w:t>
      </w:r>
      <w:bookmarkEnd w:id="253"/>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yFootnotesection"/>
      </w:pPr>
      <w:r>
        <w:tab/>
        <w:t>[Clause 48 amended: Gazette 25 Aug 2000 p. 4919; 12 Dec 2014 p. 4732.]</w:t>
      </w:r>
    </w:p>
    <w:p>
      <w:pPr>
        <w:pStyle w:val="yHeading5"/>
        <w:outlineLvl w:val="0"/>
      </w:pPr>
      <w:bookmarkStart w:id="254" w:name="_Toc44414420"/>
      <w:r>
        <w:rPr>
          <w:rStyle w:val="CharSClsNo"/>
        </w:rPr>
        <w:t>49</w:t>
      </w:r>
      <w:r>
        <w:t>.</w:t>
      </w:r>
      <w:r>
        <w:tab/>
        <w:t>Rubbish</w:t>
      </w:r>
      <w:bookmarkEnd w:id="254"/>
    </w:p>
    <w:p>
      <w:pPr>
        <w:pStyle w:val="ySubsection"/>
      </w:pPr>
      <w:r>
        <w:tab/>
        <w:t>(1)</w:t>
      </w:r>
      <w:r>
        <w:tab/>
        <w:t>There is to be at least one rubbish bin with a capacity of not less than 80 L within 90 m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Footnotesection"/>
      </w:pPr>
      <w:r>
        <w:tab/>
      </w:r>
      <w:r>
        <w:tab/>
        <w:t>[Clause 49 amended: Gazette 25 Aug 2000 p. 4920.]</w:t>
      </w:r>
    </w:p>
    <w:p>
      <w:pPr>
        <w:pStyle w:val="yHeading5"/>
        <w:outlineLvl w:val="0"/>
      </w:pPr>
      <w:bookmarkStart w:id="255" w:name="_Toc44414421"/>
      <w:r>
        <w:rPr>
          <w:rStyle w:val="CharSClsNo"/>
        </w:rPr>
        <w:t>50</w:t>
      </w:r>
      <w:r>
        <w:t>.</w:t>
      </w:r>
      <w:r>
        <w:tab/>
        <w:t>Telephones</w:t>
      </w:r>
      <w:bookmarkEnd w:id="255"/>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outlineLvl w:val="0"/>
      </w:pPr>
      <w:bookmarkStart w:id="256" w:name="_Toc44414422"/>
      <w:r>
        <w:rPr>
          <w:rStyle w:val="CharSClsNo"/>
        </w:rPr>
        <w:t>51</w:t>
      </w:r>
      <w:r>
        <w:t>.</w:t>
      </w:r>
      <w:r>
        <w:tab/>
        <w:t>Postal service</w:t>
      </w:r>
      <w:bookmarkEnd w:id="256"/>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outlineLvl w:val="0"/>
      </w:pPr>
      <w:bookmarkStart w:id="257" w:name="_Toc44414423"/>
      <w:r>
        <w:rPr>
          <w:rStyle w:val="CharSClsNo"/>
        </w:rPr>
        <w:t>52</w:t>
      </w:r>
      <w:r>
        <w:t>.</w:t>
      </w:r>
      <w:r>
        <w:tab/>
        <w:t>Solid fuel fires and appliances</w:t>
      </w:r>
      <w:bookmarkEnd w:id="257"/>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Ednoteschedule"/>
      </w:pPr>
      <w:r>
        <w:t>[Schedule 8 deleted: Gazette 12 Dec 2014 p. 4732.]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yScheduleHeading"/>
        <w:outlineLvl w:val="0"/>
      </w:pPr>
      <w:bookmarkStart w:id="258" w:name="_Toc44400217"/>
      <w:bookmarkStart w:id="259" w:name="_Toc44402148"/>
      <w:bookmarkStart w:id="260" w:name="_Toc44414424"/>
      <w:r>
        <w:rPr>
          <w:rStyle w:val="CharSchNo"/>
        </w:rPr>
        <w:t>Schedule 9</w:t>
      </w:r>
      <w:r>
        <w:t> — </w:t>
      </w:r>
      <w:r>
        <w:rPr>
          <w:rStyle w:val="CharSchText"/>
        </w:rPr>
        <w:t>Transitional provisions</w:t>
      </w:r>
      <w:bookmarkEnd w:id="258"/>
      <w:bookmarkEnd w:id="259"/>
      <w:bookmarkEnd w:id="260"/>
    </w:p>
    <w:p>
      <w:pPr>
        <w:pStyle w:val="yShoulderClause"/>
      </w:pPr>
      <w:r>
        <w:t>[Reg. 73.]</w:t>
      </w:r>
    </w:p>
    <w:p>
      <w:pPr>
        <w:pStyle w:val="yHeading5"/>
        <w:outlineLvl w:val="0"/>
      </w:pPr>
      <w:bookmarkStart w:id="261" w:name="_Toc44414425"/>
      <w:r>
        <w:rPr>
          <w:rStyle w:val="CharSClsNo"/>
        </w:rPr>
        <w:t>1</w:t>
      </w:r>
      <w:r>
        <w:t>.</w:t>
      </w:r>
      <w:r>
        <w:tab/>
        <w:t>Terms used</w:t>
      </w:r>
      <w:bookmarkEnd w:id="261"/>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rPr>
          <w:vertAlign w:val="superscript"/>
        </w:rPr>
        <w:t> 2</w:t>
      </w:r>
      <w:r>
        <w:t xml:space="preserve"> and which are in conflict, or inconsistent, with these regulations; and </w:t>
      </w:r>
    </w:p>
    <w:p>
      <w:pPr>
        <w:pStyle w:val="yDefpara"/>
      </w:pPr>
      <w:r>
        <w:tab/>
        <w:t>(b)</w:t>
      </w:r>
      <w:r>
        <w:tab/>
        <w:t xml:space="preserve">the </w:t>
      </w:r>
      <w:r>
        <w:rPr>
          <w:i/>
        </w:rPr>
        <w:t>Health (Caravan Parks and Camping Grounds) Regulations 1974</w:t>
      </w:r>
      <w:r>
        <w:t>,</w:t>
      </w:r>
    </w:p>
    <w:p>
      <w:pPr>
        <w:pStyle w:val="yDefstart"/>
      </w:pPr>
      <w:r>
        <w:tab/>
        <w:t>as in force on 30 June 1997.</w:t>
      </w:r>
    </w:p>
    <w:p>
      <w:pPr>
        <w:pStyle w:val="yHeading5"/>
        <w:outlineLvl w:val="0"/>
      </w:pPr>
      <w:bookmarkStart w:id="262" w:name="_Toc44414426"/>
      <w:r>
        <w:rPr>
          <w:rStyle w:val="CharSClsNo"/>
        </w:rPr>
        <w:t>2</w:t>
      </w:r>
      <w:r>
        <w:t>.</w:t>
      </w:r>
      <w:r>
        <w:tab/>
        <w:t>References to provisions of former legislation</w:t>
      </w:r>
      <w:bookmarkEnd w:id="262"/>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outlineLvl w:val="0"/>
      </w:pPr>
      <w:bookmarkStart w:id="263" w:name="_Toc44414427"/>
      <w:r>
        <w:rPr>
          <w:rStyle w:val="CharSClsNo"/>
        </w:rPr>
        <w:t>3</w:t>
      </w:r>
      <w:r>
        <w:t>.</w:t>
      </w:r>
      <w:r>
        <w:tab/>
        <w:t>One year to comply with new provisions</w:t>
      </w:r>
      <w:bookmarkEnd w:id="263"/>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spacing w:before="180"/>
        <w:outlineLvl w:val="0"/>
      </w:pPr>
      <w:bookmarkStart w:id="264" w:name="_Toc44414428"/>
      <w:r>
        <w:rPr>
          <w:rStyle w:val="CharSClsNo"/>
        </w:rPr>
        <w:t>4</w:t>
      </w:r>
      <w:r>
        <w:t>.</w:t>
      </w:r>
      <w:r>
        <w:tab/>
        <w:t>Extension of time within which to comply</w:t>
      </w:r>
      <w:bookmarkEnd w:id="264"/>
    </w:p>
    <w:p>
      <w:pPr>
        <w:pStyle w:val="ySubsection"/>
        <w:spacing w:before="120"/>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spacing w:before="120"/>
      </w:pPr>
      <w:r>
        <w:tab/>
        <w:t>(2)</w:t>
      </w:r>
      <w:r>
        <w:tab/>
        <w:t>A certificate may not be issued in respect of a provision of Division 10 of Schedule 7.</w:t>
      </w:r>
    </w:p>
    <w:p>
      <w:pPr>
        <w:pStyle w:val="ySubsection"/>
        <w:spacing w:before="120"/>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spacing w:before="120"/>
      </w:pPr>
      <w:r>
        <w:tab/>
        <w:t>(4)</w:t>
      </w:r>
      <w:r>
        <w:tab/>
        <w:t>Where the local government for a district refuses to issue a certificate under this clause, it is to advise the applicant in writing of that refusal.</w:t>
      </w:r>
    </w:p>
    <w:p>
      <w:pPr>
        <w:pStyle w:val="yFootnotesection"/>
      </w:pPr>
      <w:r>
        <w:tab/>
        <w:t>[Clause 4 amended: Gazette 25 Aug 2000 p. 4921.]</w:t>
      </w:r>
    </w:p>
    <w:p>
      <w:pPr>
        <w:pStyle w:val="yHeading5"/>
        <w:outlineLvl w:val="0"/>
      </w:pPr>
      <w:bookmarkStart w:id="265" w:name="_Toc44414429"/>
      <w:r>
        <w:rPr>
          <w:rStyle w:val="CharSClsNo"/>
        </w:rPr>
        <w:t>5</w:t>
      </w:r>
      <w:r>
        <w:t>.</w:t>
      </w:r>
      <w:r>
        <w:tab/>
        <w:t>New provisions do not apply where equivalent provision of former legislation is complied with</w:t>
      </w:r>
      <w:bookmarkEnd w:id="265"/>
    </w:p>
    <w:p>
      <w:pPr>
        <w:pStyle w:val="ySubsection"/>
      </w:pPr>
      <w:r>
        <w:tab/>
      </w:r>
      <w:r>
        <w:tab/>
        <w:t>A provision of these regulations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outlineLvl w:val="0"/>
      </w:pPr>
      <w:bookmarkStart w:id="266" w:name="_Toc44414430"/>
      <w:r>
        <w:rPr>
          <w:rStyle w:val="CharSClsNo"/>
        </w:rPr>
        <w:t>6</w:t>
      </w:r>
      <w:r>
        <w:t>.</w:t>
      </w:r>
      <w:r>
        <w:tab/>
        <w:t>Where compliance at commencement, provision continues to apply</w:t>
      </w:r>
      <w:bookmarkEnd w:id="266"/>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outlineLvl w:val="0"/>
      </w:pPr>
      <w:bookmarkStart w:id="267" w:name="_Toc44414431"/>
      <w:r>
        <w:rPr>
          <w:rStyle w:val="CharSClsNo"/>
        </w:rPr>
        <w:t>7</w:t>
      </w:r>
      <w:r>
        <w:t>.</w:t>
      </w:r>
      <w:r>
        <w:tab/>
        <w:t>Registration or licence under local law</w:t>
      </w:r>
      <w:bookmarkEnd w:id="267"/>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 and</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outlineLvl w:val="0"/>
      </w:pPr>
      <w:bookmarkStart w:id="268" w:name="_Toc44414432"/>
      <w:r>
        <w:rPr>
          <w:rStyle w:val="CharSClsNo"/>
        </w:rPr>
        <w:t>8</w:t>
      </w:r>
      <w:r>
        <w:t>.</w:t>
      </w:r>
      <w:r>
        <w:tab/>
        <w:t>Transitional provisions relating to Part 4</w:t>
      </w:r>
      <w:bookmarkEnd w:id="268"/>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nHeading2"/>
      </w:pPr>
      <w:bookmarkStart w:id="269" w:name="_Toc44400226"/>
      <w:bookmarkStart w:id="270" w:name="_Toc44402157"/>
      <w:bookmarkStart w:id="271" w:name="_Toc44414433"/>
      <w:r>
        <w:t>Notes</w:t>
      </w:r>
      <w:bookmarkEnd w:id="269"/>
      <w:bookmarkEnd w:id="270"/>
      <w:bookmarkEnd w:id="271"/>
    </w:p>
    <w:p>
      <w:pPr>
        <w:pStyle w:val="nStatement"/>
      </w:pPr>
      <w:r>
        <w:t xml:space="preserve">This is a compilation of the </w:t>
      </w:r>
      <w:r>
        <w:rPr>
          <w:i/>
          <w:noProof/>
        </w:rPr>
        <w:t>Caravan Parks and Camping Grounds Regulations 1997</w:t>
      </w:r>
      <w:r>
        <w:t xml:space="preserve"> and includes amendments made by other written laws. For provisions that have come into operation, and for information about any reprints, see the compilation table.</w:t>
      </w:r>
    </w:p>
    <w:p>
      <w:pPr>
        <w:pStyle w:val="nHeading3"/>
      </w:pPr>
      <w:bookmarkStart w:id="272" w:name="_Toc44414434"/>
      <w:r>
        <w:t>Compilation table</w:t>
      </w:r>
      <w:bookmarkEnd w:id="272"/>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8"/>
        <w:gridCol w:w="1248"/>
        <w:gridCol w:w="28"/>
        <w:gridCol w:w="2694"/>
      </w:tblGrid>
      <w:tr>
        <w:trPr>
          <w:gridBefore w:val="1"/>
          <w:wBefore w:w="2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8" w:type="dxa"/>
            <w:gridSpan w:val="2"/>
          </w:tcPr>
          <w:p>
            <w:pPr>
              <w:pStyle w:val="nTable"/>
              <w:spacing w:after="40"/>
            </w:pPr>
            <w:r>
              <w:rPr>
                <w:i/>
              </w:rPr>
              <w:t>Caravan Parks and Camping Grounds Regulations 1997</w:t>
            </w:r>
          </w:p>
        </w:tc>
        <w:tc>
          <w:tcPr>
            <w:tcW w:w="1276" w:type="dxa"/>
            <w:gridSpan w:val="2"/>
          </w:tcPr>
          <w:p>
            <w:pPr>
              <w:pStyle w:val="nTable"/>
              <w:spacing w:after="40"/>
            </w:pPr>
            <w:r>
              <w:t>20 Jun 1997 p. 2871</w:t>
            </w:r>
            <w:r>
              <w:noBreakHyphen/>
              <w:t>946</w:t>
            </w:r>
          </w:p>
        </w:tc>
        <w:tc>
          <w:tcPr>
            <w:tcW w:w="2694" w:type="dxa"/>
          </w:tcPr>
          <w:p>
            <w:pPr>
              <w:pStyle w:val="nTable"/>
              <w:spacing w:after="40"/>
            </w:pPr>
            <w:r>
              <w:t>1 Jul 1997 (see r. 2)</w:t>
            </w:r>
          </w:p>
        </w:tc>
      </w:tr>
      <w:tr>
        <w:trPr>
          <w:gridBefore w:val="1"/>
          <w:wBefore w:w="28" w:type="dxa"/>
        </w:trPr>
        <w:tc>
          <w:tcPr>
            <w:tcW w:w="3118" w:type="dxa"/>
            <w:gridSpan w:val="2"/>
          </w:tcPr>
          <w:p>
            <w:pPr>
              <w:pStyle w:val="nTable"/>
              <w:spacing w:after="40"/>
              <w:rPr>
                <w:i/>
              </w:rPr>
            </w:pPr>
            <w:r>
              <w:rPr>
                <w:i/>
              </w:rPr>
              <w:t>Caravan Parks and Camping Grounds Amendment Regulations 1999</w:t>
            </w:r>
          </w:p>
        </w:tc>
        <w:tc>
          <w:tcPr>
            <w:tcW w:w="1276" w:type="dxa"/>
            <w:gridSpan w:val="2"/>
          </w:tcPr>
          <w:p>
            <w:pPr>
              <w:pStyle w:val="nTable"/>
              <w:spacing w:after="40"/>
            </w:pPr>
            <w:r>
              <w:t>16 Jul 1999 p. 3202</w:t>
            </w:r>
            <w:r>
              <w:noBreakHyphen/>
              <w:t>4</w:t>
            </w:r>
          </w:p>
        </w:tc>
        <w:tc>
          <w:tcPr>
            <w:tcW w:w="2694" w:type="dxa"/>
          </w:tcPr>
          <w:p>
            <w:pPr>
              <w:pStyle w:val="nTable"/>
              <w:spacing w:after="40"/>
            </w:pPr>
            <w:r>
              <w:t>16 Jul 1999</w:t>
            </w:r>
          </w:p>
        </w:tc>
      </w:tr>
      <w:tr>
        <w:trPr>
          <w:gridBefore w:val="1"/>
          <w:wBefore w:w="28" w:type="dxa"/>
        </w:trPr>
        <w:tc>
          <w:tcPr>
            <w:tcW w:w="3118" w:type="dxa"/>
            <w:gridSpan w:val="2"/>
          </w:tcPr>
          <w:p>
            <w:pPr>
              <w:pStyle w:val="nTable"/>
              <w:spacing w:after="40"/>
              <w:rPr>
                <w:vertAlign w:val="superscript"/>
              </w:rPr>
            </w:pPr>
            <w:r>
              <w:rPr>
                <w:i/>
              </w:rPr>
              <w:t>Caravan Parks and Camping Grounds Amendment Regulations 2000</w:t>
            </w:r>
            <w:r>
              <w:rPr>
                <w:vertAlign w:val="superscript"/>
              </w:rPr>
              <w:t> 3</w:t>
            </w:r>
          </w:p>
        </w:tc>
        <w:tc>
          <w:tcPr>
            <w:tcW w:w="1276" w:type="dxa"/>
            <w:gridSpan w:val="2"/>
          </w:tcPr>
          <w:p>
            <w:pPr>
              <w:pStyle w:val="nTable"/>
              <w:spacing w:after="40"/>
            </w:pPr>
            <w:r>
              <w:t>25 Aug 2000 p. 4911</w:t>
            </w:r>
            <w:r>
              <w:noBreakHyphen/>
              <w:t>21</w:t>
            </w:r>
          </w:p>
        </w:tc>
        <w:tc>
          <w:tcPr>
            <w:tcW w:w="2694" w:type="dxa"/>
          </w:tcPr>
          <w:p>
            <w:pPr>
              <w:pStyle w:val="nTable"/>
              <w:spacing w:after="40"/>
            </w:pPr>
            <w:r>
              <w:t>25 Aug 2000</w:t>
            </w:r>
          </w:p>
        </w:tc>
      </w:tr>
      <w:tr>
        <w:trPr>
          <w:gridBefore w:val="1"/>
          <w:wBefore w:w="28" w:type="dxa"/>
          <w:cantSplit/>
        </w:trPr>
        <w:tc>
          <w:tcPr>
            <w:tcW w:w="7088" w:type="dxa"/>
            <w:gridSpan w:val="5"/>
          </w:tcPr>
          <w:p>
            <w:pPr>
              <w:pStyle w:val="nTable"/>
              <w:spacing w:after="40"/>
            </w:pPr>
            <w:r>
              <w:rPr>
                <w:b/>
              </w:rPr>
              <w:t xml:space="preserve">Reprint 1: The </w:t>
            </w:r>
            <w:r>
              <w:rPr>
                <w:b/>
                <w:i/>
              </w:rPr>
              <w:t>Caravan Parks and Camping Grounds Regulations 1997</w:t>
            </w:r>
            <w:r>
              <w:rPr>
                <w:b/>
              </w:rPr>
              <w:t xml:space="preserve"> as at 24 Oct 2003 </w:t>
            </w:r>
            <w:r>
              <w:t>(includes amendments listed above)</w:t>
            </w:r>
          </w:p>
        </w:tc>
      </w:tr>
      <w:tr>
        <w:trPr>
          <w:gridBefore w:val="1"/>
          <w:wBefore w:w="28" w:type="dxa"/>
        </w:trPr>
        <w:tc>
          <w:tcPr>
            <w:tcW w:w="3118" w:type="dxa"/>
            <w:gridSpan w:val="2"/>
          </w:tcPr>
          <w:p>
            <w:pPr>
              <w:pStyle w:val="nTable"/>
              <w:spacing w:after="40"/>
              <w:rPr>
                <w:vertAlign w:val="superscript"/>
              </w:rPr>
            </w:pPr>
            <w:r>
              <w:rPr>
                <w:i/>
              </w:rPr>
              <w:t>Caravan Parks and Camping Grounds Amendment Regulations 2004</w:t>
            </w:r>
          </w:p>
        </w:tc>
        <w:tc>
          <w:tcPr>
            <w:tcW w:w="1276" w:type="dxa"/>
            <w:gridSpan w:val="2"/>
          </w:tcPr>
          <w:p>
            <w:pPr>
              <w:pStyle w:val="nTable"/>
              <w:spacing w:after="40"/>
            </w:pPr>
            <w:r>
              <w:t>30 Dec 2004 p. 7011-12</w:t>
            </w:r>
          </w:p>
        </w:tc>
        <w:tc>
          <w:tcPr>
            <w:tcW w:w="2694" w:type="dxa"/>
          </w:tcPr>
          <w:p>
            <w:pPr>
              <w:pStyle w:val="nTable"/>
              <w:spacing w:after="40"/>
            </w:pPr>
            <w:r>
              <w:t xml:space="preserve">1 Jan 2005 (see r. 2 and </w:t>
            </w:r>
            <w:r>
              <w:rPr>
                <w:i/>
                <w:iCs/>
              </w:rPr>
              <w:t>Gazette</w:t>
            </w:r>
            <w:r>
              <w:t xml:space="preserve"> 31 Dec 2004 p. 7130)</w:t>
            </w:r>
          </w:p>
        </w:tc>
      </w:tr>
      <w:tr>
        <w:trPr>
          <w:gridBefore w:val="1"/>
          <w:wBefore w:w="28" w:type="dxa"/>
        </w:trPr>
        <w:tc>
          <w:tcPr>
            <w:tcW w:w="3118" w:type="dxa"/>
            <w:gridSpan w:val="2"/>
          </w:tcPr>
          <w:p>
            <w:pPr>
              <w:pStyle w:val="nTable"/>
              <w:spacing w:after="40"/>
              <w:rPr>
                <w:i/>
              </w:rPr>
            </w:pPr>
            <w:r>
              <w:rPr>
                <w:i/>
              </w:rPr>
              <w:t>Caravan Parks and Camping Grounds Amendment Regulations 2012</w:t>
            </w:r>
          </w:p>
        </w:tc>
        <w:tc>
          <w:tcPr>
            <w:tcW w:w="1276" w:type="dxa"/>
            <w:gridSpan w:val="2"/>
          </w:tcPr>
          <w:p>
            <w:pPr>
              <w:pStyle w:val="nTable"/>
              <w:spacing w:after="40"/>
            </w:pPr>
            <w:r>
              <w:t>13 Apr 2012 p. 1659</w:t>
            </w:r>
            <w:r>
              <w:noBreakHyphen/>
              <w:t>60</w:t>
            </w:r>
          </w:p>
        </w:tc>
        <w:tc>
          <w:tcPr>
            <w:tcW w:w="2694" w:type="dxa"/>
          </w:tcPr>
          <w:p>
            <w:pPr>
              <w:pStyle w:val="nTable"/>
              <w:spacing w:after="40"/>
            </w:pPr>
            <w:r>
              <w:rPr>
                <w:snapToGrid w:val="0"/>
              </w:rPr>
              <w:t>r. 1 and 2: 13 Apr 2012 (see r. 2(a));</w:t>
            </w:r>
            <w:r>
              <w:rPr>
                <w:snapToGrid w:val="0"/>
              </w:rPr>
              <w:br/>
              <w:t>Regulations other than r. 1 and 2: 14 Apr 2012 (see r. 2(b)(ii))</w:t>
            </w:r>
          </w:p>
        </w:tc>
      </w:tr>
      <w:tr>
        <w:trPr>
          <w:gridBefore w:val="1"/>
          <w:wBefore w:w="28" w:type="dxa"/>
        </w:trPr>
        <w:tc>
          <w:tcPr>
            <w:tcW w:w="3118" w:type="dxa"/>
            <w:gridSpan w:val="2"/>
          </w:tcPr>
          <w:p>
            <w:pPr>
              <w:pStyle w:val="nTable"/>
              <w:spacing w:after="40"/>
              <w:rPr>
                <w:i/>
              </w:rPr>
            </w:pPr>
            <w:r>
              <w:rPr>
                <w:i/>
              </w:rPr>
              <w:t>Caravan Parks and Camping Grounds Amendment Regulations 2013</w:t>
            </w:r>
          </w:p>
        </w:tc>
        <w:tc>
          <w:tcPr>
            <w:tcW w:w="1276" w:type="dxa"/>
            <w:gridSpan w:val="2"/>
          </w:tcPr>
          <w:p>
            <w:pPr>
              <w:pStyle w:val="nTable"/>
              <w:spacing w:after="40"/>
            </w:pPr>
            <w:r>
              <w:t>20 Aug 2013 p. 3851</w:t>
            </w:r>
          </w:p>
        </w:tc>
        <w:tc>
          <w:tcPr>
            <w:tcW w:w="2694"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gridBefore w:val="1"/>
          <w:wBefore w:w="28" w:type="dxa"/>
        </w:trPr>
        <w:tc>
          <w:tcPr>
            <w:tcW w:w="3118" w:type="dxa"/>
            <w:gridSpan w:val="2"/>
            <w:shd w:val="clear" w:color="auto" w:fill="auto"/>
          </w:tcPr>
          <w:p>
            <w:pPr>
              <w:pStyle w:val="nTable"/>
              <w:spacing w:after="40"/>
              <w:rPr>
                <w:i/>
              </w:rPr>
            </w:pPr>
            <w:r>
              <w:rPr>
                <w:i/>
              </w:rPr>
              <w:t xml:space="preserve">Caravan Parks and Camping Grounds Amendment Regulations (No. 2) 2014 </w:t>
            </w:r>
          </w:p>
        </w:tc>
        <w:tc>
          <w:tcPr>
            <w:tcW w:w="1276" w:type="dxa"/>
            <w:gridSpan w:val="2"/>
            <w:shd w:val="clear" w:color="auto" w:fill="auto"/>
          </w:tcPr>
          <w:p>
            <w:pPr>
              <w:pStyle w:val="nTable"/>
              <w:spacing w:after="40"/>
            </w:pPr>
            <w:r>
              <w:t>12 Dec 2014 p. 4720-33</w:t>
            </w:r>
          </w:p>
        </w:tc>
        <w:tc>
          <w:tcPr>
            <w:tcW w:w="2694" w:type="dxa"/>
            <w:shd w:val="clear" w:color="auto" w:fill="auto"/>
          </w:tcPr>
          <w:p>
            <w:pPr>
              <w:pStyle w:val="nTable"/>
              <w:spacing w:after="40"/>
              <w:rPr>
                <w:snapToGrid w:val="0"/>
              </w:rPr>
            </w:pPr>
            <w:r>
              <w:rPr>
                <w:bCs/>
                <w:snapToGrid w:val="0"/>
              </w:rPr>
              <w:t>r. 1 and 2: 12 Dec 2014 (see r. 2(a));</w:t>
            </w:r>
            <w:r>
              <w:rPr>
                <w:bCs/>
                <w:snapToGrid w:val="0"/>
              </w:rPr>
              <w:br/>
              <w:t>Regulations other than r. 1 and 2: 1 Jan 2015 (see r. 2(b))</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2014</w:t>
            </w:r>
          </w:p>
        </w:tc>
        <w:tc>
          <w:tcPr>
            <w:tcW w:w="1276" w:type="dxa"/>
            <w:gridSpan w:val="2"/>
            <w:shd w:val="clear" w:color="auto" w:fill="auto"/>
          </w:tcPr>
          <w:p>
            <w:pPr>
              <w:pStyle w:val="nTable"/>
              <w:spacing w:after="40"/>
            </w:pPr>
            <w:r>
              <w:t>8 Jan 2015 p. 121</w:t>
            </w:r>
            <w:r>
              <w:noBreakHyphen/>
              <w:t xml:space="preserve">2 (as amended in </w:t>
            </w:r>
            <w:r>
              <w:rPr>
                <w:i/>
              </w:rPr>
              <w:t>Gazette</w:t>
            </w:r>
            <w:r>
              <w:t xml:space="preserve"> 10 Apr 2015 p. 1256)</w:t>
            </w:r>
          </w:p>
        </w:tc>
        <w:tc>
          <w:tcPr>
            <w:tcW w:w="2694"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 xml:space="preserve">Gazette </w:t>
            </w:r>
            <w:r>
              <w:rPr>
                <w:bCs/>
                <w:snapToGrid w:val="0"/>
              </w:rPr>
              <w:t>17 Apr 2015 p. 1371)</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2015</w:t>
            </w:r>
          </w:p>
        </w:tc>
        <w:tc>
          <w:tcPr>
            <w:tcW w:w="1276" w:type="dxa"/>
            <w:gridSpan w:val="2"/>
            <w:shd w:val="clear" w:color="auto" w:fill="auto"/>
          </w:tcPr>
          <w:p>
            <w:pPr>
              <w:pStyle w:val="nTable"/>
              <w:spacing w:after="40"/>
            </w:pPr>
            <w:r>
              <w:t>10 Apr 2015 p. 1255-6</w:t>
            </w:r>
          </w:p>
        </w:tc>
        <w:tc>
          <w:tcPr>
            <w:tcW w:w="2694" w:type="dxa"/>
            <w:shd w:val="clear" w:color="auto" w:fill="auto"/>
          </w:tcPr>
          <w:p>
            <w:pPr>
              <w:pStyle w:val="nTable"/>
              <w:spacing w:after="40"/>
              <w:rPr>
                <w:bCs/>
                <w:snapToGrid w:val="0"/>
              </w:rPr>
            </w:pPr>
            <w:r>
              <w:rPr>
                <w:bCs/>
                <w:snapToGrid w:val="0"/>
              </w:rPr>
              <w:t>Pt. 1: 10 Apr 2015 (see r. 2(a));</w:t>
            </w:r>
            <w:r>
              <w:rPr>
                <w:bCs/>
                <w:snapToGrid w:val="0"/>
              </w:rPr>
              <w:br/>
              <w:t xml:space="preserve">Pt. 2 and 3: 27 Apr 2015 (see r. 2(b) and </w:t>
            </w:r>
            <w:r>
              <w:rPr>
                <w:bCs/>
                <w:i/>
                <w:snapToGrid w:val="0"/>
              </w:rPr>
              <w:t xml:space="preserve">Gazette </w:t>
            </w:r>
            <w:r>
              <w:rPr>
                <w:bCs/>
                <w:snapToGrid w:val="0"/>
              </w:rPr>
              <w:t>17 Apr 2015 p. 1371)</w:t>
            </w:r>
          </w:p>
        </w:tc>
      </w:tr>
      <w:tr>
        <w:trPr>
          <w:gridBefore w:val="1"/>
          <w:wBefore w:w="28" w:type="dxa"/>
          <w:cantSplit/>
        </w:trPr>
        <w:tc>
          <w:tcPr>
            <w:tcW w:w="7088" w:type="dxa"/>
            <w:gridSpan w:val="5"/>
            <w:shd w:val="clear" w:color="auto" w:fill="auto"/>
          </w:tcPr>
          <w:p>
            <w:pPr>
              <w:pStyle w:val="nTable"/>
              <w:spacing w:after="40"/>
              <w:rPr>
                <w:bCs/>
                <w:snapToGrid w:val="0"/>
              </w:rPr>
            </w:pPr>
            <w:r>
              <w:rPr>
                <w:b/>
                <w:bCs/>
                <w:snapToGrid w:val="0"/>
              </w:rPr>
              <w:t xml:space="preserve">Reprint 2: The </w:t>
            </w:r>
            <w:r>
              <w:rPr>
                <w:b/>
                <w:bCs/>
                <w:i/>
                <w:noProof/>
                <w:snapToGrid w:val="0"/>
              </w:rPr>
              <w:t>Caravan Parks and Camping Grounds Regulations 1997</w:t>
            </w:r>
            <w:r>
              <w:rPr>
                <w:b/>
                <w:bCs/>
                <w:snapToGrid w:val="0"/>
              </w:rPr>
              <w:t xml:space="preserve"> as at 26 Jun 2015</w:t>
            </w:r>
            <w:r>
              <w:rPr>
                <w:bCs/>
                <w:snapToGrid w:val="0"/>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pPr>
            <w:r>
              <w:rPr>
                <w:i/>
              </w:rPr>
              <w:t>Caravan Parks and Camping Grounds Amendment Regulations 2016</w:t>
            </w:r>
          </w:p>
        </w:tc>
        <w:tc>
          <w:tcPr>
            <w:tcW w:w="1276" w:type="dxa"/>
            <w:gridSpan w:val="2"/>
            <w:tcBorders>
              <w:top w:val="nil"/>
              <w:bottom w:val="nil"/>
            </w:tcBorders>
          </w:tcPr>
          <w:p>
            <w:pPr>
              <w:pStyle w:val="nTable"/>
              <w:spacing w:after="40"/>
            </w:pPr>
            <w:r>
              <w:t>10 Jan 2017 p. 177</w:t>
            </w:r>
          </w:p>
        </w:tc>
        <w:tc>
          <w:tcPr>
            <w:tcW w:w="2722" w:type="dxa"/>
            <w:gridSpan w:val="2"/>
            <w:tcBorders>
              <w:top w:val="nil"/>
              <w:bottom w:val="nil"/>
            </w:tcBorders>
          </w:tcPr>
          <w:p>
            <w:pPr>
              <w:pStyle w:val="nTable"/>
              <w:spacing w:after="40"/>
            </w:pPr>
            <w:r>
              <w:rPr>
                <w:snapToGrid w:val="0"/>
                <w:spacing w:val="-2"/>
              </w:rPr>
              <w:t>r. 1 and 2: 10 Jan 2017 (see r. 2(a));</w:t>
            </w:r>
            <w:r>
              <w:rPr>
                <w:snapToGrid w:val="0"/>
                <w:spacing w:val="-2"/>
              </w:rPr>
              <w:br/>
              <w:t xml:space="preserve">Regulations other than r. 1 and 2: 24 Jan 2017 (see r. 2(b) and </w:t>
            </w:r>
            <w:r>
              <w:rPr>
                <w:i/>
                <w:snapToGrid w:val="0"/>
                <w:spacing w:val="-2"/>
              </w:rPr>
              <w:t>Gazette</w:t>
            </w:r>
            <w:r>
              <w:rPr>
                <w:snapToGrid w:val="0"/>
                <w:spacing w:val="-2"/>
              </w:rPr>
              <w:t xml:space="preserve"> 10 Jan 2017 p. 165)</w:t>
            </w:r>
            <w:r>
              <w:t xml:space="preserve"> </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rPr>
                <w:i/>
              </w:rPr>
            </w:pPr>
            <w:r>
              <w:rPr>
                <w:i/>
              </w:rPr>
              <w:t>Caravan Parks and Camping Grounds Amendment Regulations 2020</w:t>
            </w:r>
          </w:p>
        </w:tc>
        <w:tc>
          <w:tcPr>
            <w:tcW w:w="1276" w:type="dxa"/>
            <w:gridSpan w:val="2"/>
            <w:tcBorders>
              <w:top w:val="nil"/>
              <w:bottom w:val="nil"/>
            </w:tcBorders>
          </w:tcPr>
          <w:p>
            <w:pPr>
              <w:pStyle w:val="nTable"/>
              <w:keepLines/>
              <w:spacing w:after="40"/>
            </w:pPr>
            <w:r>
              <w:t>SL 2020/12</w:t>
            </w:r>
            <w:r>
              <w:br/>
              <w:t>3 Mar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blPrEx>
          <w:tblBorders>
            <w:top w:val="single" w:sz="8" w:space="0" w:color="auto"/>
            <w:bottom w:val="single" w:sz="4" w:space="0" w:color="auto"/>
            <w:insideH w:val="single" w:sz="8" w:space="0" w:color="auto"/>
          </w:tblBorders>
        </w:tblPrEx>
        <w:tc>
          <w:tcPr>
            <w:tcW w:w="3118" w:type="dxa"/>
            <w:gridSpan w:val="2"/>
            <w:tcBorders>
              <w:top w:val="nil"/>
              <w:bottom w:val="single" w:sz="4" w:space="0" w:color="auto"/>
            </w:tcBorders>
          </w:tcPr>
          <w:p>
            <w:pPr>
              <w:pStyle w:val="nTable"/>
              <w:spacing w:after="40"/>
            </w:pPr>
            <w:r>
              <w:rPr>
                <w:i/>
              </w:rPr>
              <w:t>Local Government Regulations Amendment (Payment Method) Regulations 2020</w:t>
            </w:r>
            <w:r>
              <w:t xml:space="preserve"> Pt. 2</w:t>
            </w:r>
          </w:p>
        </w:tc>
        <w:tc>
          <w:tcPr>
            <w:tcW w:w="1276" w:type="dxa"/>
            <w:gridSpan w:val="2"/>
            <w:tcBorders>
              <w:top w:val="nil"/>
              <w:bottom w:val="single" w:sz="4" w:space="0" w:color="auto"/>
            </w:tcBorders>
          </w:tcPr>
          <w:p>
            <w:pPr>
              <w:pStyle w:val="nTable"/>
              <w:keepLines/>
              <w:spacing w:after="40"/>
            </w:pPr>
            <w:r>
              <w:t>SL 2020/99</w:t>
            </w:r>
            <w:r>
              <w:br/>
              <w:t>30 Jun 2020</w:t>
            </w:r>
          </w:p>
        </w:tc>
        <w:tc>
          <w:tcPr>
            <w:tcW w:w="2722" w:type="dxa"/>
            <w:gridSpan w:val="2"/>
            <w:tcBorders>
              <w:top w:val="nil"/>
              <w:bottom w:val="single" w:sz="4" w:space="0" w:color="auto"/>
            </w:tcBorders>
          </w:tcPr>
          <w:p>
            <w:pPr>
              <w:pStyle w:val="nTable"/>
              <w:keepLines/>
              <w:spacing w:after="40"/>
              <w:rPr>
                <w:bCs/>
                <w:snapToGrid w:val="0"/>
                <w:spacing w:val="-2"/>
              </w:rPr>
            </w:pPr>
            <w:r>
              <w:rPr>
                <w:bCs/>
                <w:snapToGrid w:val="0"/>
                <w:spacing w:val="-2"/>
              </w:rPr>
              <w:t>1 Jul 2020 (see r. 2(b))</w:t>
            </w:r>
          </w:p>
        </w:tc>
      </w:tr>
    </w:tbl>
    <w:p>
      <w:pPr>
        <w:pStyle w:val="nHeading3"/>
      </w:pPr>
      <w:bookmarkStart w:id="273" w:name="_Toc44414435"/>
      <w:r>
        <w:t>Other notes</w:t>
      </w:r>
      <w:bookmarkEnd w:id="273"/>
    </w:p>
    <w:p>
      <w:pPr>
        <w:pStyle w:val="nNote"/>
        <w:rPr>
          <w:vertAlign w:val="superscript"/>
        </w:rPr>
      </w:pPr>
      <w:r>
        <w:rPr>
          <w:vertAlign w:val="superscript"/>
        </w:rPr>
        <w:t>1</w:t>
      </w:r>
      <w:r>
        <w:tab/>
        <w:t xml:space="preserve">Under the </w:t>
      </w:r>
      <w:r>
        <w:rPr>
          <w:i/>
        </w:rPr>
        <w:t>Alteration of Statutory Designations Order (No. 4) 2013</w:t>
      </w:r>
      <w:r>
        <w:t xml:space="preserve"> a reference in any law to the Department of Local Government is to be read and construed, unless the context otherwise requires, as a reference to the Department of Local Government and Communities.</w:t>
      </w:r>
      <w:r>
        <w:rPr>
          <w:vertAlign w:val="superscript"/>
        </w:rPr>
        <w:t xml:space="preserve"> </w:t>
      </w:r>
    </w:p>
    <w:p>
      <w:pPr>
        <w:pStyle w:val="nNote"/>
      </w:pPr>
      <w:r>
        <w:rPr>
          <w:vertAlign w:val="superscript"/>
        </w:rPr>
        <w:t>2</w:t>
      </w:r>
      <w:r>
        <w:tab/>
        <w:t xml:space="preserve">Now known as the </w:t>
      </w:r>
      <w:r>
        <w:rPr>
          <w:i/>
        </w:rPr>
        <w:t>Local Government (Miscellaneous Provisions) Act 1960</w:t>
      </w:r>
      <w:r>
        <w:t xml:space="preserve">. </w:t>
      </w:r>
    </w:p>
    <w:p>
      <w:pPr>
        <w:pStyle w:val="nNote"/>
      </w:pPr>
      <w:r>
        <w:rPr>
          <w:vertAlign w:val="superscript"/>
        </w:rPr>
        <w:t>3</w:t>
      </w:r>
      <w:r>
        <w:tab/>
        <w:t xml:space="preserve">The </w:t>
      </w:r>
      <w:r>
        <w:rPr>
          <w:i/>
        </w:rPr>
        <w:t>Caravan Parks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the Caravan Parks and Camping Ground Regulations 1997</w:t>
      </w:r>
      <w:r>
        <w:t xml:space="preserve"> before the commencement of these regulations is, on and after that commencement, to be taken to be a licence issued in respect of a transit park.</w:t>
      </w:r>
    </w:p>
    <w:p>
      <w:pPr>
        <w:pStyle w:val="BlankClose"/>
      </w:pPr>
    </w:p>
    <w:p/>
    <w:p>
      <w:pPr>
        <w:sectPr>
          <w:headerReference w:type="even" r:id="rId38"/>
          <w:headerReference w:type="default" r:id="rId39"/>
          <w:pgSz w:w="11907" w:h="16840" w:code="9"/>
          <w:pgMar w:top="2376" w:right="2404" w:bottom="3544" w:left="2404" w:header="720" w:footer="3380" w:gutter="0"/>
          <w:cols w:space="720"/>
          <w:noEndnote/>
          <w:docGrid w:linePitch="326"/>
        </w:sectPr>
      </w:pPr>
    </w:p>
    <w:p>
      <w:pPr>
        <w:pStyle w:val="nHeading2"/>
        <w:rPr>
          <w:sz w:val="28"/>
        </w:rPr>
      </w:pPr>
      <w:bookmarkStart w:id="275" w:name="_Toc44400229"/>
      <w:bookmarkStart w:id="276" w:name="_Toc44402160"/>
      <w:bookmarkStart w:id="277" w:name="_Toc44414436"/>
      <w:r>
        <w:rPr>
          <w:sz w:val="28"/>
        </w:rPr>
        <w:t>Defined terms</w:t>
      </w:r>
      <w:bookmarkEnd w:id="275"/>
      <w:bookmarkEnd w:id="276"/>
      <w:bookmarkEnd w:id="2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ablution block</w:t>
      </w:r>
      <w:r>
        <w:tab/>
        <w:t>3</w:t>
      </w:r>
    </w:p>
    <w:p>
      <w:pPr>
        <w:pStyle w:val="DefinedTerms"/>
      </w:pPr>
      <w:r>
        <w:t>approved</w:t>
      </w:r>
      <w:r>
        <w:tab/>
        <w:t>3</w:t>
      </w:r>
    </w:p>
    <w:p>
      <w:pPr>
        <w:pStyle w:val="DefinedTerms"/>
      </w:pPr>
      <w:r>
        <w:t>AS</w:t>
      </w:r>
      <w:r>
        <w:tab/>
        <w:t>3</w:t>
      </w:r>
    </w:p>
    <w:p>
      <w:pPr>
        <w:pStyle w:val="DefinedTerms"/>
      </w:pPr>
      <w:r>
        <w:t>AS/NZS</w:t>
      </w:r>
      <w:r>
        <w:tab/>
        <w:t>3</w:t>
      </w:r>
    </w:p>
    <w:p>
      <w:pPr>
        <w:pStyle w:val="DefinedTerms"/>
      </w:pPr>
      <w:r>
        <w:t>AS/NZS 3500.2.2</w:t>
      </w:r>
      <w:r>
        <w:tab/>
        <w:t>Sch. 7 cl. 45</w:t>
      </w:r>
    </w:p>
    <w:p>
      <w:pPr>
        <w:pStyle w:val="DefinedTerms"/>
      </w:pPr>
      <w:r>
        <w:t>assemble</w:t>
      </w:r>
      <w:r>
        <w:tab/>
        <w:t>3</w:t>
      </w:r>
    </w:p>
    <w:p>
      <w:pPr>
        <w:pStyle w:val="DefinedTerms"/>
      </w:pPr>
      <w:r>
        <w:t>assistance dog</w:t>
      </w:r>
      <w:r>
        <w:tab/>
        <w:t>3</w:t>
      </w:r>
    </w:p>
    <w:p>
      <w:pPr>
        <w:pStyle w:val="DefinedTerms"/>
      </w:pPr>
      <w:r>
        <w:t>attachment</w:t>
      </w:r>
      <w:r>
        <w:tab/>
        <w:t>40A</w:t>
      </w:r>
    </w:p>
    <w:p>
      <w:pPr>
        <w:pStyle w:val="DefinedTerms"/>
      </w:pPr>
      <w:r>
        <w:t>builder</w:t>
      </w:r>
      <w:r>
        <w:tab/>
        <w:t>3</w:t>
      </w:r>
    </w:p>
    <w:p>
      <w:pPr>
        <w:pStyle w:val="DefinedTerms"/>
      </w:pPr>
      <w:r>
        <w:t>Building Code</w:t>
      </w:r>
      <w:r>
        <w:tab/>
        <w:t>3</w:t>
      </w:r>
    </w:p>
    <w:p>
      <w:pPr>
        <w:pStyle w:val="DefinedTerms"/>
      </w:pPr>
      <w:r>
        <w:t>camp</w:t>
      </w:r>
      <w:r>
        <w:tab/>
        <w:t>8A</w:t>
      </w:r>
    </w:p>
    <w:p>
      <w:pPr>
        <w:pStyle w:val="DefinedTerms"/>
      </w:pPr>
      <w:r>
        <w:t>caravan site</w:t>
      </w:r>
      <w:r>
        <w:tab/>
        <w:t>3</w:t>
      </w:r>
    </w:p>
    <w:p>
      <w:pPr>
        <w:pStyle w:val="DefinedTerms"/>
      </w:pPr>
      <w:r>
        <w:t>commencement</w:t>
      </w:r>
      <w:r>
        <w:tab/>
        <w:t>Sch. 9 cl. 1</w:t>
      </w:r>
    </w:p>
    <w:p>
      <w:pPr>
        <w:pStyle w:val="DefinedTerms"/>
      </w:pPr>
      <w:r>
        <w:t>components</w:t>
      </w:r>
      <w:r>
        <w:tab/>
        <w:t>3</w:t>
      </w:r>
    </w:p>
    <w:p>
      <w:pPr>
        <w:pStyle w:val="DefinedTerms"/>
      </w:pPr>
      <w:r>
        <w:t>construct</w:t>
      </w:r>
      <w:r>
        <w:tab/>
        <w:t>3</w:t>
      </w:r>
    </w:p>
    <w:p>
      <w:pPr>
        <w:pStyle w:val="DefinedTerms"/>
      </w:pPr>
      <w:r>
        <w:t>cyclonic region</w:t>
      </w:r>
      <w:r>
        <w:tab/>
        <w:t>3</w:t>
      </w:r>
    </w:p>
    <w:p>
      <w:pPr>
        <w:pStyle w:val="DefinedTerms"/>
      </w:pPr>
      <w:r>
        <w:t>design wind speed</w:t>
      </w:r>
      <w:r>
        <w:tab/>
        <w:t>3</w:t>
      </w:r>
    </w:p>
    <w:p>
      <w:pPr>
        <w:pStyle w:val="DefinedTerms"/>
      </w:pPr>
      <w:r>
        <w:t>emergency</w:t>
      </w:r>
      <w:r>
        <w:tab/>
        <w:t>11(3)</w:t>
      </w:r>
    </w:p>
    <w:p>
      <w:pPr>
        <w:pStyle w:val="DefinedTerms"/>
      </w:pPr>
      <w:r>
        <w:t>en suite</w:t>
      </w:r>
      <w:r>
        <w:tab/>
        <w:t>3</w:t>
      </w:r>
    </w:p>
    <w:p>
      <w:pPr>
        <w:pStyle w:val="DefinedTerms"/>
      </w:pPr>
      <w:r>
        <w:t>equivalent provision of the former legislation</w:t>
      </w:r>
      <w:r>
        <w:tab/>
        <w:t>Sch. 9 cl. 1</w:t>
      </w:r>
    </w:p>
    <w:p>
      <w:pPr>
        <w:pStyle w:val="DefinedTerms"/>
      </w:pPr>
      <w:r>
        <w:t>equivalent provision of these regulations</w:t>
      </w:r>
      <w:r>
        <w:tab/>
        <w:t>Sch. 9 cl. 1</w:t>
      </w:r>
    </w:p>
    <w:p>
      <w:pPr>
        <w:pStyle w:val="DefinedTerms"/>
      </w:pPr>
      <w:r>
        <w:t>existing facility</w:t>
      </w:r>
      <w:r>
        <w:tab/>
        <w:t>Sch. 9 cl. 1</w:t>
      </w:r>
    </w:p>
    <w:p>
      <w:pPr>
        <w:pStyle w:val="DefinedTerms"/>
      </w:pPr>
      <w:r>
        <w:t>facility road</w:t>
      </w:r>
      <w:r>
        <w:tab/>
        <w:t>3</w:t>
      </w:r>
    </w:p>
    <w:p>
      <w:pPr>
        <w:pStyle w:val="DefinedTerms"/>
      </w:pPr>
      <w:r>
        <w:t>flexible annexe</w:t>
      </w:r>
      <w:r>
        <w:tab/>
        <w:t>3</w:t>
      </w:r>
    </w:p>
    <w:p>
      <w:pPr>
        <w:pStyle w:val="DefinedTerms"/>
      </w:pPr>
      <w:r>
        <w:t>flexible attachment</w:t>
      </w:r>
      <w:r>
        <w:tab/>
        <w:t>40A</w:t>
      </w:r>
    </w:p>
    <w:p>
      <w:pPr>
        <w:pStyle w:val="DefinedTerms"/>
      </w:pPr>
      <w:r>
        <w:t>form</w:t>
      </w:r>
      <w:r>
        <w:tab/>
        <w:t>3</w:t>
      </w:r>
    </w:p>
    <w:p>
      <w:pPr>
        <w:pStyle w:val="DefinedTerms"/>
      </w:pPr>
      <w:r>
        <w:t>former legislation</w:t>
      </w:r>
      <w:r>
        <w:tab/>
        <w:t>Sch. 9 cl. 1</w:t>
      </w:r>
    </w:p>
    <w:p>
      <w:pPr>
        <w:pStyle w:val="DefinedTerms"/>
      </w:pPr>
      <w:r>
        <w:t>laundry facility</w:t>
      </w:r>
      <w:r>
        <w:tab/>
        <w:t>3</w:t>
      </w:r>
    </w:p>
    <w:p>
      <w:pPr>
        <w:pStyle w:val="DefinedTerms"/>
      </w:pPr>
      <w:r>
        <w:t>long stay site</w:t>
      </w:r>
      <w:r>
        <w:tab/>
        <w:t>3</w:t>
      </w:r>
    </w:p>
    <w:p>
      <w:pPr>
        <w:pStyle w:val="DefinedTerms"/>
      </w:pPr>
      <w:r>
        <w:t>manufactured home</w:t>
      </w:r>
      <w:r>
        <w:tab/>
        <w:t>40A</w:t>
      </w:r>
    </w:p>
    <w:p>
      <w:pPr>
        <w:pStyle w:val="DefinedTerms"/>
      </w:pPr>
      <w:r>
        <w:t>nature based park</w:t>
      </w:r>
      <w:r>
        <w:tab/>
        <w:t>3</w:t>
      </w:r>
    </w:p>
    <w:p>
      <w:pPr>
        <w:pStyle w:val="DefinedTerms"/>
      </w:pPr>
      <w:r>
        <w:t>number plate</w:t>
      </w:r>
      <w:r>
        <w:tab/>
        <w:t>3</w:t>
      </w:r>
    </w:p>
    <w:p>
      <w:pPr>
        <w:pStyle w:val="DefinedTerms"/>
      </w:pPr>
      <w:r>
        <w:t>on</w:t>
      </w:r>
      <w:r>
        <w:noBreakHyphen/>
        <w:t>site caravan</w:t>
      </w:r>
      <w:r>
        <w:tab/>
        <w:t>3</w:t>
      </w:r>
    </w:p>
    <w:p>
      <w:pPr>
        <w:pStyle w:val="DefinedTerms"/>
      </w:pPr>
      <w:r>
        <w:t>open sided building</w:t>
      </w:r>
      <w:r>
        <w:tab/>
        <w:t>3</w:t>
      </w:r>
    </w:p>
    <w:p>
      <w:pPr>
        <w:pStyle w:val="DefinedTerms"/>
      </w:pPr>
      <w:r>
        <w:t>open sided double carport</w:t>
      </w:r>
      <w:r>
        <w:tab/>
        <w:t>Sch. 7 cl. 9(7)</w:t>
      </w:r>
    </w:p>
    <w:p>
      <w:pPr>
        <w:pStyle w:val="DefinedTerms"/>
      </w:pPr>
      <w:r>
        <w:t>overflow area</w:t>
      </w:r>
      <w:r>
        <w:tab/>
        <w:t>3</w:t>
      </w:r>
    </w:p>
    <w:p>
      <w:pPr>
        <w:pStyle w:val="DefinedTerms"/>
      </w:pPr>
      <w:r>
        <w:t>park home park</w:t>
      </w:r>
      <w:r>
        <w:tab/>
        <w:t>3</w:t>
      </w:r>
    </w:p>
    <w:p>
      <w:pPr>
        <w:pStyle w:val="DefinedTerms"/>
      </w:pPr>
      <w:r>
        <w:t>permit</w:t>
      </w:r>
      <w:r>
        <w:tab/>
        <w:t>11(3)</w:t>
      </w:r>
    </w:p>
    <w:p>
      <w:pPr>
        <w:pStyle w:val="DefinedTerms"/>
      </w:pPr>
      <w:r>
        <w:t>person who constructs a park home</w:t>
      </w:r>
      <w:r>
        <w:tab/>
        <w:t>32(5)</w:t>
      </w:r>
    </w:p>
    <w:p>
      <w:pPr>
        <w:pStyle w:val="DefinedTerms"/>
      </w:pPr>
      <w:r>
        <w:t>person who constructs an annexe</w:t>
      </w:r>
      <w:r>
        <w:tab/>
        <w:t>36(6)</w:t>
      </w:r>
    </w:p>
    <w:p>
      <w:pPr>
        <w:pStyle w:val="DefinedTerms"/>
      </w:pPr>
      <w:r>
        <w:t>potable water</w:t>
      </w:r>
      <w:r>
        <w:tab/>
        <w:t>Sch. 7 cl. 38</w:t>
      </w:r>
    </w:p>
    <w:p>
      <w:pPr>
        <w:pStyle w:val="DefinedTerms"/>
      </w:pPr>
      <w:r>
        <w:t>professional engineer</w:t>
      </w:r>
      <w:r>
        <w:tab/>
        <w:t>3</w:t>
      </w:r>
    </w:p>
    <w:p>
      <w:pPr>
        <w:pStyle w:val="DefinedTerms"/>
      </w:pPr>
      <w:r>
        <w:t>purported approval</w:t>
      </w:r>
      <w:r>
        <w:tab/>
        <w:t>40A</w:t>
      </w:r>
    </w:p>
    <w:p>
      <w:pPr>
        <w:pStyle w:val="DefinedTerms"/>
      </w:pPr>
      <w:r>
        <w:t>rigid annexe</w:t>
      </w:r>
      <w:r>
        <w:tab/>
        <w:t>3</w:t>
      </w:r>
    </w:p>
    <w:p>
      <w:pPr>
        <w:pStyle w:val="DefinedTerms"/>
      </w:pPr>
      <w:r>
        <w:t>rigid attachment</w:t>
      </w:r>
      <w:r>
        <w:tab/>
        <w:t>40A</w:t>
      </w:r>
    </w:p>
    <w:p>
      <w:pPr>
        <w:pStyle w:val="DefinedTerms"/>
      </w:pPr>
      <w:r>
        <w:t>road</w:t>
      </w:r>
      <w:r>
        <w:tab/>
        <w:t>4(2)</w:t>
      </w:r>
    </w:p>
    <w:p>
      <w:pPr>
        <w:pStyle w:val="DefinedTerms"/>
      </w:pPr>
      <w:r>
        <w:t>road side rest area</w:t>
      </w:r>
      <w:r>
        <w:tab/>
        <w:t>11(3)</w:t>
      </w:r>
    </w:p>
    <w:p>
      <w:pPr>
        <w:pStyle w:val="DefinedTerms"/>
      </w:pPr>
      <w:r>
        <w:t>service</w:t>
      </w:r>
      <w:r>
        <w:tab/>
        <w:t>3</w:t>
      </w:r>
    </w:p>
    <w:p>
      <w:pPr>
        <w:pStyle w:val="DefinedTerms"/>
      </w:pPr>
      <w:r>
        <w:t>short stay site</w:t>
      </w:r>
      <w:r>
        <w:tab/>
        <w:t>3</w:t>
      </w:r>
    </w:p>
    <w:p>
      <w:pPr>
        <w:pStyle w:val="DefinedTerms"/>
      </w:pPr>
      <w:r>
        <w:t>shower</w:t>
      </w:r>
      <w:r>
        <w:tab/>
        <w:t>3</w:t>
      </w:r>
    </w:p>
    <w:p>
      <w:pPr>
        <w:pStyle w:val="DefinedTerms"/>
      </w:pPr>
      <w:r>
        <w:t>State instrumentality</w:t>
      </w:r>
      <w:r>
        <w:tab/>
        <w:t>11(3)</w:t>
      </w:r>
    </w:p>
    <w:p>
      <w:pPr>
        <w:pStyle w:val="DefinedTerms"/>
      </w:pPr>
      <w:r>
        <w:t>tap</w:t>
      </w:r>
      <w:r>
        <w:tab/>
        <w:t>Sch. 7 cl. 38</w:t>
      </w:r>
    </w:p>
    <w:p>
      <w:pPr>
        <w:pStyle w:val="DefinedTerms"/>
      </w:pPr>
      <w:r>
        <w:t>temporary licence</w:t>
      </w:r>
      <w:r>
        <w:tab/>
        <w:t>3</w:t>
      </w:r>
    </w:p>
    <w:p>
      <w:pPr>
        <w:pStyle w:val="DefinedTerms"/>
      </w:pPr>
      <w:r>
        <w:t>transit park</w:t>
      </w:r>
      <w:r>
        <w:tab/>
        <w:t>3</w:t>
      </w:r>
    </w:p>
    <w:p>
      <w:pPr>
        <w:pStyle w:val="DefinedTerms"/>
      </w:pPr>
      <w:r>
        <w:t>trust fund</w:t>
      </w:r>
      <w:r>
        <w:tab/>
        <w:t>59(11)</w:t>
      </w:r>
    </w:p>
    <w:p>
      <w:pPr>
        <w:pStyle w:val="DefinedTerms"/>
      </w:pPr>
      <w:r>
        <w:t>unallocated Crown land</w:t>
      </w:r>
      <w:r>
        <w:tab/>
        <w:t>11(3)</w:t>
      </w:r>
    </w:p>
    <w:p>
      <w:pPr>
        <w:pStyle w:val="DefinedTerms"/>
      </w:pPr>
      <w:r>
        <w:t>unmanaged reserve</w:t>
      </w:r>
      <w:r>
        <w:tab/>
        <w:t>11(3)</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9" w:name="Schedule"/>
    <w:bookmarkEnd w:id="1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w:instrText>
          </w:r>
          <w:r>
            <w:rPr>
              <w:b/>
            </w:rPr>
            <w:fldChar w:fldCharType="separate"/>
          </w:r>
          <w:r>
            <w:rPr>
              <w:b/>
            </w:rPr>
            <w:t>Form 5</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 0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w:instrText>
          </w:r>
          <w:r>
            <w:rPr>
              <w:b/>
            </w:rPr>
            <w:fldChar w:fldCharType="separate"/>
          </w:r>
          <w:r>
            <w:rPr>
              <w:b/>
            </w:rPr>
            <w:t>Form 5</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Caravan parks and camping grounds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Caravan parks and camping grounds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4" w:name="Compilation"/>
    <w:bookmarkEnd w:id="274"/>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78" w:name="DefinedTerms"/>
    <w:bookmarkEnd w:id="278"/>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9" w:name="Coversheet"/>
    <w:bookmarkEnd w:id="2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2B014E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3">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19"/>
  </w:num>
  <w:num w:numId="2">
    <w:abstractNumId w:val="22"/>
  </w:num>
  <w:num w:numId="3">
    <w:abstractNumId w:val="23"/>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30085908"/>
    <w:docVar w:name="WAFER_20131217121425" w:val="RemoveTocBookmarks,RemoveUnusedBookmarks,RemoveLanguageTags,UsedStyles,ResetPageSize,UpdateArrangement"/>
    <w:docVar w:name="WAFER_20131217121425_GUID" w:val="534a0d56-ff51-4a0b-8958-548142deb60a"/>
    <w:docVar w:name="WAFER_20150108115442" w:val="RemoveTocBookmarks,RunningHeaders"/>
    <w:docVar w:name="WAFER_20150108115442_GUID" w:val="0ad70455-2d9d-4652-8bd2-ceefc540e635"/>
    <w:docVar w:name="WAFER_20150326161145" w:val="ResetPageSize,UpdateArrangement,UpdateNTable"/>
    <w:docVar w:name="WAFER_20150326161145_GUID" w:val="17faed69-3819-4d42-8848-32c6ea6e23dc"/>
    <w:docVar w:name="WAFER_20150519090202" w:val="RemoveTocBookmarks,RemoveUnusedBookmarks,RemoveLanguageTags,RemoveDocumentProtection,RemoveTrackChanges,RemoveCustomizations"/>
    <w:docVar w:name="WAFER_20150519090202_GUID" w:val="8bef2e6a-eae4-4cf2-aaf7-262aa4ce7de1"/>
    <w:docVar w:name="WAFER_20151125093636" w:val="UpdateStyles"/>
    <w:docVar w:name="WAFER_20151125093636_GUID" w:val="af0eb2eb-2e84-4a60-91a5-eb73d55aadf9"/>
    <w:docVar w:name="WAFER_20151125112812" w:val="UsedStyles"/>
    <w:docVar w:name="WAFER_20151125112812_GUID" w:val="30c8ec93-da75-46c5-a326-f3b2fddd6cde"/>
    <w:docVar w:name="WAFER_20170111121630" w:val="RemoveTocBookmarks,RemoveUnusedBookmarks,RemoveLanguageTags,UsedStyles,ResetPageSize"/>
    <w:docVar w:name="WAFER_20170111121630_GUID" w:val="16b6db3f-697b-4b81-a6ab-5ef8d29b706b"/>
    <w:docVar w:name="WAFER_20200303125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5053_GUID" w:val="fd69e26e-2d45-4f83-ab51-71d2c4171733"/>
    <w:docVar w:name="WAFER_2020063008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085908_GUID" w:val="8adde97c-1712-4c44-99e3-a78421a882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ExCo">
    <w:name w:val="ExCo"/>
    <w:qFormat/>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DeleteOpen">
    <w:name w:val="DeleteOpen"/>
    <w:basedOn w:val="Normal"/>
    <w:pPr>
      <w:keepNext/>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ExCo">
    <w:name w:val="ExCo"/>
    <w:qFormat/>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DeleteOpen">
    <w:name w:val="DeleteOpen"/>
    <w:basedOn w:val="Normal"/>
    <w:pPr>
      <w:keepNext/>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543369">
      <w:bodyDiv w:val="1"/>
      <w:marLeft w:val="0"/>
      <w:marRight w:val="0"/>
      <w:marTop w:val="0"/>
      <w:marBottom w:val="0"/>
      <w:divBdr>
        <w:top w:val="none" w:sz="0" w:space="0" w:color="auto"/>
        <w:left w:val="none" w:sz="0" w:space="0" w:color="auto"/>
        <w:bottom w:val="none" w:sz="0" w:space="0" w:color="auto"/>
        <w:right w:val="none" w:sz="0" w:space="0" w:color="auto"/>
      </w:divBdr>
    </w:div>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 w:id="1465586998">
      <w:bodyDiv w:val="1"/>
      <w:marLeft w:val="0"/>
      <w:marRight w:val="0"/>
      <w:marTop w:val="0"/>
      <w:marBottom w:val="0"/>
      <w:divBdr>
        <w:top w:val="none" w:sz="0" w:space="0" w:color="auto"/>
        <w:left w:val="none" w:sz="0" w:space="0" w:color="auto"/>
        <w:bottom w:val="none" w:sz="0" w:space="0" w:color="auto"/>
        <w:right w:val="none" w:sz="0" w:space="0" w:color="auto"/>
      </w:divBdr>
    </w:div>
    <w:div w:id="173736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image" Target="media/image2.png"/><Relationship Id="rId43" Type="http://schemas.openxmlformats.org/officeDocument/2006/relationships/header" Target="header27.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2AA6B0-D82E-4519-833F-E551998C6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22723</Words>
  <Characters>104529</Characters>
  <Application>Microsoft Office Word</Application>
  <DocSecurity>0</DocSecurity>
  <Lines>3484</Lines>
  <Paragraphs>2447</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124805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1997 - 02-e0-01</dc:title>
  <dc:subject/>
  <dc:creator/>
  <cp:keywords/>
  <dc:description/>
  <cp:lastModifiedBy>svcMRProcess</cp:lastModifiedBy>
  <cp:revision>4</cp:revision>
  <cp:lastPrinted>2015-06-22T02:30:00Z</cp:lastPrinted>
  <dcterms:created xsi:type="dcterms:W3CDTF">2020-07-01T03:28:00Z</dcterms:created>
  <dcterms:modified xsi:type="dcterms:W3CDTF">2020-07-01T03:28:00Z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DocumentType">
    <vt:lpwstr>Reg</vt:lpwstr>
  </property>
  <property fmtid="{D5CDD505-2E9C-101B-9397-08002B2CF9AE}" pid="4" name="OwlsUID">
    <vt:i4>4339</vt:i4>
  </property>
  <property fmtid="{D5CDD505-2E9C-101B-9397-08002B2CF9AE}" pid="5" name="ReprintedAsAt">
    <vt:filetime>2015-06-25T16:00:00Z</vt:filetime>
  </property>
  <property fmtid="{D5CDD505-2E9C-101B-9397-08002B2CF9AE}" pid="6" name="ReprintNo">
    <vt:lpwstr>2</vt:lpwstr>
  </property>
  <property fmtid="{D5CDD505-2E9C-101B-9397-08002B2CF9AE}" pid="7" name="AsAtDate">
    <vt:lpwstr>01 Jul 2020</vt:lpwstr>
  </property>
  <property fmtid="{D5CDD505-2E9C-101B-9397-08002B2CF9AE}" pid="8" name="Suffix">
    <vt:lpwstr>02-e0-01</vt:lpwstr>
  </property>
  <property fmtid="{D5CDD505-2E9C-101B-9397-08002B2CF9AE}" pid="9" name="CommencementDate">
    <vt:lpwstr>20200701</vt:lpwstr>
  </property>
</Properties>
</file>