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Dog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Dog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_Toc44415112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_Toc44415113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_Toc44415114 \h </w:instrText>
      </w:r>
      <w:r>
        <w:fldChar w:fldCharType="separate"/>
      </w:r>
      <w:r>
        <w:t>1</w:t>
      </w:r>
      <w:r>
        <w:fldChar w:fldCharType="end"/>
      </w:r>
    </w:p>
    <w:p>
      <w:pPr>
        <w:pStyle w:val="TOC8"/>
        <w:rPr>
          <w:rFonts w:asciiTheme="minorHAnsi" w:eastAsiaTheme="minorEastAsia" w:hAnsiTheme="minorHAnsi" w:cstheme="minorBidi"/>
          <w:szCs w:val="22"/>
        </w:rPr>
      </w:pPr>
      <w:r>
        <w:t>4.</w:t>
      </w:r>
      <w:r>
        <w:tab/>
        <w:t>Dangerous dog (restricted breed) breeds</w:t>
      </w:r>
      <w:r>
        <w:tab/>
      </w:r>
      <w:r>
        <w:fldChar w:fldCharType="begin"/>
      </w:r>
      <w:r>
        <w:instrText xml:space="preserve"> PAGEREF _Toc44415115 \h </w:instrText>
      </w:r>
      <w:r>
        <w:fldChar w:fldCharType="separate"/>
      </w:r>
      <w:r>
        <w:t>1</w:t>
      </w:r>
      <w:r>
        <w:fldChar w:fldCharType="end"/>
      </w:r>
    </w:p>
    <w:p>
      <w:pPr>
        <w:pStyle w:val="TOC8"/>
        <w:rPr>
          <w:rFonts w:asciiTheme="minorHAnsi" w:eastAsiaTheme="minorEastAsia" w:hAnsiTheme="minorHAnsi" w:cstheme="minorBidi"/>
          <w:szCs w:val="22"/>
        </w:rPr>
      </w:pPr>
      <w:r>
        <w:t>5.</w:t>
      </w:r>
      <w:r>
        <w:tab/>
        <w:t>Dog management facility operators</w:t>
      </w:r>
      <w:r>
        <w:tab/>
      </w:r>
      <w:r>
        <w:fldChar w:fldCharType="begin"/>
      </w:r>
      <w:r>
        <w:instrText xml:space="preserve"> PAGEREF _Toc44415116 \h </w:instrText>
      </w:r>
      <w:r>
        <w:fldChar w:fldCharType="separate"/>
      </w:r>
      <w:r>
        <w:t>2</w:t>
      </w:r>
      <w:r>
        <w:fldChar w:fldCharType="end"/>
      </w:r>
    </w:p>
    <w:p>
      <w:pPr>
        <w:pStyle w:val="TOC8"/>
        <w:rPr>
          <w:rFonts w:asciiTheme="minorHAnsi" w:eastAsiaTheme="minorEastAsia" w:hAnsiTheme="minorHAnsi" w:cstheme="minorBidi"/>
          <w:szCs w:val="22"/>
        </w:rPr>
      </w:pPr>
      <w:r>
        <w:t>6.</w:t>
      </w:r>
      <w:r>
        <w:tab/>
        <w:t>Microchip identification devices</w:t>
      </w:r>
      <w:r>
        <w:tab/>
      </w:r>
      <w:r>
        <w:fldChar w:fldCharType="begin"/>
      </w:r>
      <w:r>
        <w:instrText xml:space="preserve"> PAGEREF _Toc44415117 \h </w:instrText>
      </w:r>
      <w:r>
        <w:fldChar w:fldCharType="separate"/>
      </w:r>
      <w:r>
        <w:t>2</w:t>
      </w:r>
      <w:r>
        <w:fldChar w:fldCharType="end"/>
      </w:r>
    </w:p>
    <w:p>
      <w:pPr>
        <w:pStyle w:val="TOC8"/>
        <w:rPr>
          <w:rFonts w:asciiTheme="minorHAnsi" w:eastAsiaTheme="minorEastAsia" w:hAnsiTheme="minorHAnsi" w:cstheme="minorBidi"/>
          <w:szCs w:val="22"/>
        </w:rPr>
      </w:pPr>
      <w:r>
        <w:t>7.</w:t>
      </w:r>
      <w:r>
        <w:tab/>
        <w:t>Microchip database company bodies</w:t>
      </w:r>
      <w:r>
        <w:tab/>
      </w:r>
      <w:r>
        <w:fldChar w:fldCharType="begin"/>
      </w:r>
      <w:r>
        <w:instrText xml:space="preserve"> PAGEREF _Toc44415118 \h </w:instrText>
      </w:r>
      <w:r>
        <w:fldChar w:fldCharType="separate"/>
      </w:r>
      <w:r>
        <w:t>3</w:t>
      </w:r>
      <w:r>
        <w:fldChar w:fldCharType="end"/>
      </w:r>
    </w:p>
    <w:p>
      <w:pPr>
        <w:pStyle w:val="TOC8"/>
        <w:rPr>
          <w:rFonts w:asciiTheme="minorHAnsi" w:eastAsiaTheme="minorEastAsia" w:hAnsiTheme="minorHAnsi" w:cstheme="minorBidi"/>
          <w:szCs w:val="22"/>
        </w:rPr>
      </w:pPr>
      <w:r>
        <w:t>8.</w:t>
      </w:r>
      <w:r>
        <w:tab/>
        <w:t>Microchip implanter: persons</w:t>
      </w:r>
      <w:r>
        <w:tab/>
      </w:r>
      <w:r>
        <w:fldChar w:fldCharType="begin"/>
      </w:r>
      <w:r>
        <w:instrText xml:space="preserve"> PAGEREF _Toc44415119 \h </w:instrText>
      </w:r>
      <w:r>
        <w:fldChar w:fldCharType="separate"/>
      </w:r>
      <w:r>
        <w:t>3</w:t>
      </w:r>
      <w:r>
        <w:fldChar w:fldCharType="end"/>
      </w:r>
    </w:p>
    <w:p>
      <w:pPr>
        <w:pStyle w:val="TOC8"/>
        <w:rPr>
          <w:rFonts w:asciiTheme="minorHAnsi" w:eastAsiaTheme="minorEastAsia" w:hAnsiTheme="minorHAnsi" w:cstheme="minorBidi"/>
          <w:szCs w:val="22"/>
        </w:rPr>
      </w:pPr>
      <w:r>
        <w:t>9.</w:t>
      </w:r>
      <w:r>
        <w:tab/>
        <w:t>Microchip implanter: qualifications</w:t>
      </w:r>
      <w:r>
        <w:tab/>
      </w:r>
      <w:r>
        <w:fldChar w:fldCharType="begin"/>
      </w:r>
      <w:r>
        <w:instrText xml:space="preserve"> PAGEREF _Toc44415120 \h </w:instrText>
      </w:r>
      <w:r>
        <w:fldChar w:fldCharType="separate"/>
      </w:r>
      <w:r>
        <w:t>3</w:t>
      </w:r>
      <w:r>
        <w:fldChar w:fldCharType="end"/>
      </w:r>
    </w:p>
    <w:p>
      <w:pPr>
        <w:pStyle w:val="TOC8"/>
        <w:rPr>
          <w:rFonts w:asciiTheme="minorHAnsi" w:eastAsiaTheme="minorEastAsia" w:hAnsiTheme="minorHAnsi" w:cstheme="minorBidi"/>
          <w:szCs w:val="22"/>
        </w:rPr>
      </w:pPr>
      <w:r>
        <w:t>10.</w:t>
      </w:r>
      <w:r>
        <w:tab/>
        <w:t>Microchipping a dog</w:t>
      </w:r>
      <w:r>
        <w:tab/>
      </w:r>
      <w:r>
        <w:fldChar w:fldCharType="begin"/>
      </w:r>
      <w:r>
        <w:instrText xml:space="preserve"> PAGEREF _Toc44415121 \h </w:instrText>
      </w:r>
      <w:r>
        <w:fldChar w:fldCharType="separate"/>
      </w:r>
      <w:r>
        <w:t>5</w:t>
      </w:r>
      <w:r>
        <w:fldChar w:fldCharType="end"/>
      </w:r>
    </w:p>
    <w:p>
      <w:pPr>
        <w:pStyle w:val="TOC8"/>
        <w:rPr>
          <w:rFonts w:asciiTheme="minorHAnsi" w:eastAsiaTheme="minorEastAsia" w:hAnsiTheme="minorHAnsi" w:cstheme="minorBidi"/>
          <w:szCs w:val="22"/>
        </w:rPr>
      </w:pPr>
      <w:r>
        <w:t>11.</w:t>
      </w:r>
      <w:r>
        <w:tab/>
        <w:t>Bodies having custody of dogs for which registration not required</w:t>
      </w:r>
      <w:r>
        <w:tab/>
      </w:r>
      <w:r>
        <w:fldChar w:fldCharType="begin"/>
      </w:r>
      <w:r>
        <w:instrText xml:space="preserve"> PAGEREF _Toc44415122 \h </w:instrText>
      </w:r>
      <w:r>
        <w:fldChar w:fldCharType="separate"/>
      </w:r>
      <w:r>
        <w:t>5</w:t>
      </w:r>
      <w:r>
        <w:fldChar w:fldCharType="end"/>
      </w:r>
    </w:p>
    <w:p>
      <w:pPr>
        <w:pStyle w:val="TOC8"/>
        <w:rPr>
          <w:rFonts w:asciiTheme="minorHAnsi" w:eastAsiaTheme="minorEastAsia" w:hAnsiTheme="minorHAnsi" w:cstheme="minorBidi"/>
          <w:szCs w:val="22"/>
        </w:rPr>
      </w:pPr>
      <w:r>
        <w:t>12.</w:t>
      </w:r>
      <w:r>
        <w:tab/>
        <w:t>Training organisations for assistance dogs</w:t>
      </w:r>
      <w:r>
        <w:tab/>
      </w:r>
      <w:r>
        <w:fldChar w:fldCharType="begin"/>
      </w:r>
      <w:r>
        <w:instrText xml:space="preserve"> PAGEREF _Toc44415123 \h </w:instrText>
      </w:r>
      <w:r>
        <w:fldChar w:fldCharType="separate"/>
      </w:r>
      <w:r>
        <w:t>5</w:t>
      </w:r>
      <w:r>
        <w:fldChar w:fldCharType="end"/>
      </w:r>
    </w:p>
    <w:p>
      <w:pPr>
        <w:pStyle w:val="TOC8"/>
        <w:rPr>
          <w:rFonts w:asciiTheme="minorHAnsi" w:eastAsiaTheme="minorEastAsia" w:hAnsiTheme="minorHAnsi" w:cstheme="minorBidi"/>
          <w:szCs w:val="22"/>
        </w:rPr>
      </w:pPr>
      <w:r>
        <w:t>13.</w:t>
      </w:r>
      <w:r>
        <w:tab/>
        <w:t>Review of CEO’s decisions about assistance dogs</w:t>
      </w:r>
      <w:r>
        <w:tab/>
      </w:r>
      <w:r>
        <w:fldChar w:fldCharType="begin"/>
      </w:r>
      <w:r>
        <w:instrText xml:space="preserve"> PAGEREF _Toc44415124 \h </w:instrText>
      </w:r>
      <w:r>
        <w:fldChar w:fldCharType="separate"/>
      </w:r>
      <w:r>
        <w:t>5</w:t>
      </w:r>
      <w:r>
        <w:fldChar w:fldCharType="end"/>
      </w:r>
    </w:p>
    <w:p>
      <w:pPr>
        <w:pStyle w:val="TOC8"/>
        <w:rPr>
          <w:rFonts w:asciiTheme="minorHAnsi" w:eastAsiaTheme="minorEastAsia" w:hAnsiTheme="minorHAnsi" w:cstheme="minorBidi"/>
          <w:szCs w:val="22"/>
        </w:rPr>
      </w:pPr>
      <w:r>
        <w:t>14.</w:t>
      </w:r>
      <w:r>
        <w:tab/>
        <w:t>Form of certificate for authorised persons</w:t>
      </w:r>
      <w:r>
        <w:tab/>
      </w:r>
      <w:r>
        <w:fldChar w:fldCharType="begin"/>
      </w:r>
      <w:r>
        <w:instrText xml:space="preserve"> PAGEREF _Toc44415125 \h </w:instrText>
      </w:r>
      <w:r>
        <w:fldChar w:fldCharType="separate"/>
      </w:r>
      <w:r>
        <w:t>6</w:t>
      </w:r>
      <w:r>
        <w:fldChar w:fldCharType="end"/>
      </w:r>
    </w:p>
    <w:p>
      <w:pPr>
        <w:pStyle w:val="TOC8"/>
        <w:rPr>
          <w:rFonts w:asciiTheme="minorHAnsi" w:eastAsiaTheme="minorEastAsia" w:hAnsiTheme="minorHAnsi" w:cstheme="minorBidi"/>
          <w:szCs w:val="22"/>
        </w:rPr>
      </w:pPr>
      <w:r>
        <w:t>15.</w:t>
      </w:r>
      <w:r>
        <w:tab/>
        <w:t>Warrants</w:t>
      </w:r>
      <w:r>
        <w:tab/>
      </w:r>
      <w:r>
        <w:fldChar w:fldCharType="begin"/>
      </w:r>
      <w:r>
        <w:instrText xml:space="preserve"> PAGEREF _Toc44415126 \h </w:instrText>
      </w:r>
      <w:r>
        <w:fldChar w:fldCharType="separate"/>
      </w:r>
      <w:r>
        <w:t>6</w:t>
      </w:r>
      <w:r>
        <w:fldChar w:fldCharType="end"/>
      </w:r>
    </w:p>
    <w:p>
      <w:pPr>
        <w:pStyle w:val="TOC8"/>
        <w:rPr>
          <w:rFonts w:asciiTheme="minorHAnsi" w:eastAsiaTheme="minorEastAsia" w:hAnsiTheme="minorHAnsi" w:cstheme="minorBidi"/>
          <w:szCs w:val="22"/>
        </w:rPr>
      </w:pPr>
      <w:r>
        <w:t>16.</w:t>
      </w:r>
      <w:r>
        <w:tab/>
        <w:t>Information to be recorded in register of dogs</w:t>
      </w:r>
      <w:r>
        <w:tab/>
      </w:r>
      <w:r>
        <w:fldChar w:fldCharType="begin"/>
      </w:r>
      <w:r>
        <w:instrText xml:space="preserve"> PAGEREF _Toc44415127 \h </w:instrText>
      </w:r>
      <w:r>
        <w:fldChar w:fldCharType="separate"/>
      </w:r>
      <w:r>
        <w:t>6</w:t>
      </w:r>
      <w:r>
        <w:fldChar w:fldCharType="end"/>
      </w:r>
    </w:p>
    <w:p>
      <w:pPr>
        <w:pStyle w:val="TOC8"/>
        <w:rPr>
          <w:rFonts w:asciiTheme="minorHAnsi" w:eastAsiaTheme="minorEastAsia" w:hAnsiTheme="minorHAnsi" w:cstheme="minorBidi"/>
          <w:szCs w:val="22"/>
        </w:rPr>
      </w:pPr>
      <w:r>
        <w:t>17.</w:t>
      </w:r>
      <w:r>
        <w:tab/>
        <w:t>Registration fees</w:t>
      </w:r>
      <w:r>
        <w:tab/>
      </w:r>
      <w:r>
        <w:fldChar w:fldCharType="begin"/>
      </w:r>
      <w:r>
        <w:instrText xml:space="preserve"> PAGEREF _Toc44415128 \h </w:instrText>
      </w:r>
      <w:r>
        <w:fldChar w:fldCharType="separate"/>
      </w:r>
      <w:r>
        <w:t>7</w:t>
      </w:r>
      <w:r>
        <w:fldChar w:fldCharType="end"/>
      </w:r>
    </w:p>
    <w:p>
      <w:pPr>
        <w:pStyle w:val="TOC8"/>
        <w:rPr>
          <w:rFonts w:asciiTheme="minorHAnsi" w:eastAsiaTheme="minorEastAsia" w:hAnsiTheme="minorHAnsi" w:cstheme="minorBidi"/>
          <w:szCs w:val="22"/>
        </w:rPr>
      </w:pPr>
      <w:r>
        <w:t>18.</w:t>
      </w:r>
      <w:r>
        <w:tab/>
        <w:t>Extended period of registration</w:t>
      </w:r>
      <w:r>
        <w:tab/>
      </w:r>
      <w:r>
        <w:fldChar w:fldCharType="begin"/>
      </w:r>
      <w:r>
        <w:instrText xml:space="preserve"> PAGEREF _Toc44415129 \h </w:instrText>
      </w:r>
      <w:r>
        <w:fldChar w:fldCharType="separate"/>
      </w:r>
      <w:r>
        <w:t>8</w:t>
      </w:r>
      <w:r>
        <w:fldChar w:fldCharType="end"/>
      </w:r>
    </w:p>
    <w:p>
      <w:pPr>
        <w:pStyle w:val="TOC8"/>
        <w:rPr>
          <w:rFonts w:asciiTheme="minorHAnsi" w:eastAsiaTheme="minorEastAsia" w:hAnsiTheme="minorHAnsi" w:cstheme="minorBidi"/>
          <w:szCs w:val="22"/>
        </w:rPr>
      </w:pPr>
      <w:r>
        <w:t>19.</w:t>
      </w:r>
      <w:r>
        <w:tab/>
        <w:t>Refund of portion of registration fees for subsequently sterilised dogs</w:t>
      </w:r>
      <w:r>
        <w:tab/>
      </w:r>
      <w:r>
        <w:fldChar w:fldCharType="begin"/>
      </w:r>
      <w:r>
        <w:instrText xml:space="preserve"> PAGEREF _Toc44415130 \h </w:instrText>
      </w:r>
      <w:r>
        <w:fldChar w:fldCharType="separate"/>
      </w:r>
      <w:r>
        <w:t>8</w:t>
      </w:r>
      <w:r>
        <w:fldChar w:fldCharType="end"/>
      </w:r>
    </w:p>
    <w:p>
      <w:pPr>
        <w:pStyle w:val="TOC8"/>
        <w:rPr>
          <w:rFonts w:asciiTheme="minorHAnsi" w:eastAsiaTheme="minorEastAsia" w:hAnsiTheme="minorHAnsi" w:cstheme="minorBidi"/>
          <w:szCs w:val="22"/>
        </w:rPr>
      </w:pPr>
      <w:r>
        <w:t>20.</w:t>
      </w:r>
      <w:r>
        <w:tab/>
        <w:t>Application for registration, evidence for concessional rates</w:t>
      </w:r>
      <w:r>
        <w:tab/>
      </w:r>
      <w:r>
        <w:fldChar w:fldCharType="begin"/>
      </w:r>
      <w:r>
        <w:instrText xml:space="preserve"> PAGEREF _Toc44415131 \h </w:instrText>
      </w:r>
      <w:r>
        <w:fldChar w:fldCharType="separate"/>
      </w:r>
      <w:r>
        <w:t>10</w:t>
      </w:r>
      <w:r>
        <w:fldChar w:fldCharType="end"/>
      </w:r>
    </w:p>
    <w:p>
      <w:pPr>
        <w:pStyle w:val="TOC8"/>
        <w:rPr>
          <w:rFonts w:asciiTheme="minorHAnsi" w:eastAsiaTheme="minorEastAsia" w:hAnsiTheme="minorHAnsi" w:cstheme="minorBidi"/>
          <w:szCs w:val="22"/>
        </w:rPr>
      </w:pPr>
      <w:r>
        <w:t>21.</w:t>
      </w:r>
      <w:r>
        <w:tab/>
        <w:t>Certificate of registration</w:t>
      </w:r>
      <w:r>
        <w:tab/>
      </w:r>
      <w:r>
        <w:fldChar w:fldCharType="begin"/>
      </w:r>
      <w:r>
        <w:instrText xml:space="preserve"> PAGEREF _Toc44415132 \h </w:instrText>
      </w:r>
      <w:r>
        <w:fldChar w:fldCharType="separate"/>
      </w:r>
      <w:r>
        <w:t>10</w:t>
      </w:r>
      <w:r>
        <w:fldChar w:fldCharType="end"/>
      </w:r>
    </w:p>
    <w:p>
      <w:pPr>
        <w:pStyle w:val="TOC8"/>
        <w:rPr>
          <w:rFonts w:asciiTheme="minorHAnsi" w:eastAsiaTheme="minorEastAsia" w:hAnsiTheme="minorHAnsi" w:cstheme="minorBidi"/>
          <w:szCs w:val="22"/>
        </w:rPr>
      </w:pPr>
      <w:r>
        <w:t>22.</w:t>
      </w:r>
      <w:r>
        <w:tab/>
        <w:t>Owner’s delegate appointment form</w:t>
      </w:r>
      <w:r>
        <w:tab/>
      </w:r>
      <w:r>
        <w:fldChar w:fldCharType="begin"/>
      </w:r>
      <w:r>
        <w:instrText xml:space="preserve"> PAGEREF _Toc44415133 \h </w:instrText>
      </w:r>
      <w:r>
        <w:fldChar w:fldCharType="separate"/>
      </w:r>
      <w:r>
        <w:t>11</w:t>
      </w:r>
      <w:r>
        <w:fldChar w:fldCharType="end"/>
      </w:r>
    </w:p>
    <w:p>
      <w:pPr>
        <w:pStyle w:val="TOC8"/>
        <w:rPr>
          <w:rFonts w:asciiTheme="minorHAnsi" w:eastAsiaTheme="minorEastAsia" w:hAnsiTheme="minorHAnsi" w:cstheme="minorBidi"/>
          <w:szCs w:val="22"/>
        </w:rPr>
      </w:pPr>
      <w:r>
        <w:t>23.</w:t>
      </w:r>
      <w:r>
        <w:tab/>
        <w:t>Change of ownership form</w:t>
      </w:r>
      <w:r>
        <w:tab/>
      </w:r>
      <w:r>
        <w:fldChar w:fldCharType="begin"/>
      </w:r>
      <w:r>
        <w:instrText xml:space="preserve"> PAGEREF _Toc44415134 \h </w:instrText>
      </w:r>
      <w:r>
        <w:fldChar w:fldCharType="separate"/>
      </w:r>
      <w:r>
        <w:t>11</w:t>
      </w:r>
      <w:r>
        <w:fldChar w:fldCharType="end"/>
      </w:r>
    </w:p>
    <w:p>
      <w:pPr>
        <w:pStyle w:val="TOC8"/>
        <w:rPr>
          <w:rFonts w:asciiTheme="minorHAnsi" w:eastAsiaTheme="minorEastAsia" w:hAnsiTheme="minorHAnsi" w:cstheme="minorBidi"/>
          <w:szCs w:val="22"/>
        </w:rPr>
      </w:pPr>
      <w:r>
        <w:t>24.</w:t>
      </w:r>
      <w:r>
        <w:tab/>
        <w:t>Particulars to be contained in registration tag</w:t>
      </w:r>
      <w:r>
        <w:tab/>
      </w:r>
      <w:r>
        <w:fldChar w:fldCharType="begin"/>
      </w:r>
      <w:r>
        <w:instrText xml:space="preserve"> PAGEREF _Toc44415135 \h </w:instrText>
      </w:r>
      <w:r>
        <w:fldChar w:fldCharType="separate"/>
      </w:r>
      <w:r>
        <w:t>11</w:t>
      </w:r>
      <w:r>
        <w:fldChar w:fldCharType="end"/>
      </w:r>
    </w:p>
    <w:p>
      <w:pPr>
        <w:pStyle w:val="TOC8"/>
        <w:rPr>
          <w:rFonts w:asciiTheme="minorHAnsi" w:eastAsiaTheme="minorEastAsia" w:hAnsiTheme="minorHAnsi" w:cstheme="minorBidi"/>
          <w:szCs w:val="22"/>
        </w:rPr>
      </w:pPr>
      <w:r>
        <w:t>25.</w:t>
      </w:r>
      <w:r>
        <w:tab/>
        <w:t>Information to be given by microchip implanter to microchip database company</w:t>
      </w:r>
      <w:r>
        <w:tab/>
      </w:r>
      <w:r>
        <w:fldChar w:fldCharType="begin"/>
      </w:r>
      <w:r>
        <w:instrText xml:space="preserve"> PAGEREF _Toc44415136 \h </w:instrText>
      </w:r>
      <w:r>
        <w:fldChar w:fldCharType="separate"/>
      </w:r>
      <w:r>
        <w:t>11</w:t>
      </w:r>
      <w:r>
        <w:fldChar w:fldCharType="end"/>
      </w:r>
    </w:p>
    <w:p>
      <w:pPr>
        <w:pStyle w:val="TOC8"/>
        <w:rPr>
          <w:rFonts w:asciiTheme="minorHAnsi" w:eastAsiaTheme="minorEastAsia" w:hAnsiTheme="minorHAnsi" w:cstheme="minorBidi"/>
          <w:szCs w:val="22"/>
        </w:rPr>
      </w:pPr>
      <w:r>
        <w:t>26.</w:t>
      </w:r>
      <w:r>
        <w:tab/>
        <w:t>Notice of dog’s seizure and detention form</w:t>
      </w:r>
      <w:r>
        <w:tab/>
      </w:r>
      <w:r>
        <w:fldChar w:fldCharType="begin"/>
      </w:r>
      <w:r>
        <w:instrText xml:space="preserve"> PAGEREF _Toc44415137 \h </w:instrText>
      </w:r>
      <w:r>
        <w:fldChar w:fldCharType="separate"/>
      </w:r>
      <w:r>
        <w:t>12</w:t>
      </w:r>
      <w:r>
        <w:fldChar w:fldCharType="end"/>
      </w:r>
    </w:p>
    <w:p>
      <w:pPr>
        <w:pStyle w:val="TOC8"/>
        <w:rPr>
          <w:rFonts w:asciiTheme="minorHAnsi" w:eastAsiaTheme="minorEastAsia" w:hAnsiTheme="minorHAnsi" w:cstheme="minorBidi"/>
          <w:szCs w:val="22"/>
        </w:rPr>
      </w:pPr>
      <w:r>
        <w:t>27.</w:t>
      </w:r>
      <w:r>
        <w:tab/>
        <w:t>Holding, tethering of dogs</w:t>
      </w:r>
      <w:r>
        <w:tab/>
      </w:r>
      <w:r>
        <w:fldChar w:fldCharType="begin"/>
      </w:r>
      <w:r>
        <w:instrText xml:space="preserve"> PAGEREF _Toc44415138 \h </w:instrText>
      </w:r>
      <w:r>
        <w:fldChar w:fldCharType="separate"/>
      </w:r>
      <w:r>
        <w:t>12</w:t>
      </w:r>
      <w:r>
        <w:fldChar w:fldCharType="end"/>
      </w:r>
    </w:p>
    <w:p>
      <w:pPr>
        <w:pStyle w:val="TOC8"/>
        <w:rPr>
          <w:rFonts w:asciiTheme="minorHAnsi" w:eastAsiaTheme="minorEastAsia" w:hAnsiTheme="minorHAnsi" w:cstheme="minorBidi"/>
          <w:szCs w:val="22"/>
        </w:rPr>
      </w:pPr>
      <w:r>
        <w:t>28.</w:t>
      </w:r>
      <w:r>
        <w:tab/>
        <w:t>Training programme for greyhounds</w:t>
      </w:r>
      <w:r>
        <w:tab/>
      </w:r>
      <w:r>
        <w:fldChar w:fldCharType="begin"/>
      </w:r>
      <w:r>
        <w:instrText xml:space="preserve"> PAGEREF _Toc44415139 \h </w:instrText>
      </w:r>
      <w:r>
        <w:fldChar w:fldCharType="separate"/>
      </w:r>
      <w:r>
        <w:t>12</w:t>
      </w:r>
      <w:r>
        <w:fldChar w:fldCharType="end"/>
      </w:r>
    </w:p>
    <w:p>
      <w:pPr>
        <w:pStyle w:val="TOC8"/>
        <w:rPr>
          <w:rFonts w:asciiTheme="minorHAnsi" w:eastAsiaTheme="minorEastAsia" w:hAnsiTheme="minorHAnsi" w:cstheme="minorBidi"/>
          <w:szCs w:val="22"/>
        </w:rPr>
      </w:pPr>
      <w:r>
        <w:t>29.</w:t>
      </w:r>
      <w:r>
        <w:tab/>
        <w:t>Collars for dangerous dogs</w:t>
      </w:r>
      <w:r>
        <w:tab/>
      </w:r>
      <w:r>
        <w:fldChar w:fldCharType="begin"/>
      </w:r>
      <w:r>
        <w:instrText xml:space="preserve"> PAGEREF _Toc44415140 \h </w:instrText>
      </w:r>
      <w:r>
        <w:fldChar w:fldCharType="separate"/>
      </w:r>
      <w:r>
        <w:t>12</w:t>
      </w:r>
      <w:r>
        <w:fldChar w:fldCharType="end"/>
      </w:r>
    </w:p>
    <w:p>
      <w:pPr>
        <w:pStyle w:val="TOC8"/>
        <w:rPr>
          <w:rFonts w:asciiTheme="minorHAnsi" w:eastAsiaTheme="minorEastAsia" w:hAnsiTheme="minorHAnsi" w:cstheme="minorBidi"/>
          <w:szCs w:val="22"/>
        </w:rPr>
      </w:pPr>
      <w:r>
        <w:t>30.</w:t>
      </w:r>
      <w:r>
        <w:tab/>
        <w:t>Warning signs about dangerous dogs</w:t>
      </w:r>
      <w:r>
        <w:tab/>
      </w:r>
      <w:r>
        <w:fldChar w:fldCharType="begin"/>
      </w:r>
      <w:r>
        <w:instrText xml:space="preserve"> PAGEREF _Toc44415141 \h </w:instrText>
      </w:r>
      <w:r>
        <w:fldChar w:fldCharType="separate"/>
      </w:r>
      <w:r>
        <w:t>13</w:t>
      </w:r>
      <w:r>
        <w:fldChar w:fldCharType="end"/>
      </w:r>
    </w:p>
    <w:p>
      <w:pPr>
        <w:pStyle w:val="TOC8"/>
        <w:rPr>
          <w:rFonts w:asciiTheme="minorHAnsi" w:eastAsiaTheme="minorEastAsia" w:hAnsiTheme="minorHAnsi" w:cstheme="minorBidi"/>
          <w:szCs w:val="22"/>
        </w:rPr>
      </w:pPr>
      <w:r>
        <w:t>31.</w:t>
      </w:r>
      <w:r>
        <w:tab/>
        <w:t>Local government expenses as to dangerous dogs (declared)</w:t>
      </w:r>
      <w:r>
        <w:tab/>
      </w:r>
      <w:r>
        <w:fldChar w:fldCharType="begin"/>
      </w:r>
      <w:r>
        <w:instrText xml:space="preserve"> PAGEREF _Toc44415142 \h </w:instrText>
      </w:r>
      <w:r>
        <w:fldChar w:fldCharType="separate"/>
      </w:r>
      <w:r>
        <w:t>14</w:t>
      </w:r>
      <w:r>
        <w:fldChar w:fldCharType="end"/>
      </w:r>
    </w:p>
    <w:p>
      <w:pPr>
        <w:pStyle w:val="TOC8"/>
        <w:rPr>
          <w:rFonts w:asciiTheme="minorHAnsi" w:eastAsiaTheme="minorEastAsia" w:hAnsiTheme="minorHAnsi" w:cstheme="minorBidi"/>
          <w:szCs w:val="22"/>
        </w:rPr>
      </w:pPr>
      <w:r>
        <w:t>32.</w:t>
      </w:r>
      <w:r>
        <w:tab/>
        <w:t>Nuisance dog complaint form</w:t>
      </w:r>
      <w:r>
        <w:tab/>
      </w:r>
      <w:r>
        <w:fldChar w:fldCharType="begin"/>
      </w:r>
      <w:r>
        <w:instrText xml:space="preserve"> PAGEREF _Toc44415143 \h </w:instrText>
      </w:r>
      <w:r>
        <w:fldChar w:fldCharType="separate"/>
      </w:r>
      <w:r>
        <w:t>15</w:t>
      </w:r>
      <w:r>
        <w:fldChar w:fldCharType="end"/>
      </w:r>
    </w:p>
    <w:p>
      <w:pPr>
        <w:pStyle w:val="TOC8"/>
        <w:rPr>
          <w:rFonts w:asciiTheme="minorHAnsi" w:eastAsiaTheme="minorEastAsia" w:hAnsiTheme="minorHAnsi" w:cstheme="minorBidi"/>
          <w:szCs w:val="22"/>
        </w:rPr>
      </w:pPr>
      <w:r>
        <w:t>33A.</w:t>
      </w:r>
      <w:r>
        <w:tab/>
        <w:t>Form of order to prevent a dog being a nuisance</w:t>
      </w:r>
      <w:r>
        <w:tab/>
      </w:r>
      <w:r>
        <w:fldChar w:fldCharType="begin"/>
      </w:r>
      <w:r>
        <w:instrText xml:space="preserve"> PAGEREF _Toc44415144 \h </w:instrText>
      </w:r>
      <w:r>
        <w:fldChar w:fldCharType="separate"/>
      </w:r>
      <w:r>
        <w:t>15</w:t>
      </w:r>
      <w:r>
        <w:fldChar w:fldCharType="end"/>
      </w:r>
    </w:p>
    <w:p>
      <w:pPr>
        <w:pStyle w:val="TOC8"/>
        <w:rPr>
          <w:rFonts w:asciiTheme="minorHAnsi" w:eastAsiaTheme="minorEastAsia" w:hAnsiTheme="minorHAnsi" w:cstheme="minorBidi"/>
          <w:szCs w:val="22"/>
        </w:rPr>
      </w:pPr>
      <w:r>
        <w:t>33.</w:t>
      </w:r>
      <w:r>
        <w:tab/>
        <w:t>Modified penalties for offences under the principal Act</w:t>
      </w:r>
      <w:r>
        <w:tab/>
      </w:r>
      <w:r>
        <w:fldChar w:fldCharType="begin"/>
      </w:r>
      <w:r>
        <w:instrText xml:space="preserve"> PAGEREF _Toc44415145 \h </w:instrText>
      </w:r>
      <w:r>
        <w:fldChar w:fldCharType="separate"/>
      </w:r>
      <w:r>
        <w:t>15</w:t>
      </w:r>
      <w:r>
        <w:fldChar w:fldCharType="end"/>
      </w:r>
    </w:p>
    <w:p>
      <w:pPr>
        <w:pStyle w:val="TOC8"/>
        <w:rPr>
          <w:rFonts w:asciiTheme="minorHAnsi" w:eastAsiaTheme="minorEastAsia" w:hAnsiTheme="minorHAnsi" w:cstheme="minorBidi"/>
          <w:szCs w:val="22"/>
        </w:rPr>
      </w:pPr>
      <w:r>
        <w:t>34.</w:t>
      </w:r>
      <w:r>
        <w:tab/>
        <w:t>Modified penalties for offences under the regulations</w:t>
      </w:r>
      <w:r>
        <w:tab/>
      </w:r>
      <w:r>
        <w:fldChar w:fldCharType="begin"/>
      </w:r>
      <w:r>
        <w:instrText xml:space="preserve"> PAGEREF _Toc44415146 \h </w:instrText>
      </w:r>
      <w:r>
        <w:fldChar w:fldCharType="separate"/>
      </w:r>
      <w:r>
        <w:t>25</w:t>
      </w:r>
      <w:r>
        <w:fldChar w:fldCharType="end"/>
      </w:r>
    </w:p>
    <w:p>
      <w:pPr>
        <w:pStyle w:val="TOC8"/>
        <w:rPr>
          <w:rFonts w:asciiTheme="minorHAnsi" w:eastAsiaTheme="minorEastAsia" w:hAnsiTheme="minorHAnsi" w:cstheme="minorBidi"/>
          <w:szCs w:val="22"/>
        </w:rPr>
      </w:pPr>
      <w:r>
        <w:t>35.</w:t>
      </w:r>
      <w:r>
        <w:tab/>
        <w:t>Dealing with alleged offenders without prosecuting them</w:t>
      </w:r>
      <w:r>
        <w:tab/>
      </w:r>
      <w:r>
        <w:fldChar w:fldCharType="begin"/>
      </w:r>
      <w:r>
        <w:instrText xml:space="preserve"> PAGEREF _Toc44415147 \h </w:instrText>
      </w:r>
      <w:r>
        <w:fldChar w:fldCharType="separate"/>
      </w:r>
      <w:r>
        <w:t>26</w:t>
      </w:r>
      <w:r>
        <w:fldChar w:fldCharType="end"/>
      </w:r>
    </w:p>
    <w:p>
      <w:pPr>
        <w:pStyle w:val="TOC8"/>
        <w:rPr>
          <w:rFonts w:asciiTheme="minorHAnsi" w:eastAsiaTheme="minorEastAsia" w:hAnsiTheme="minorHAnsi" w:cstheme="minorBidi"/>
          <w:szCs w:val="22"/>
        </w:rPr>
      </w:pPr>
      <w:r>
        <w:t>37.</w:t>
      </w:r>
      <w:r>
        <w:tab/>
        <w:t>Transitional regulation: provisions of certain local laws have no effect after 31 July 2014</w:t>
      </w:r>
      <w:r>
        <w:tab/>
      </w:r>
      <w:r>
        <w:fldChar w:fldCharType="begin"/>
      </w:r>
      <w:r>
        <w:instrText xml:space="preserve"> PAGEREF _Toc44415148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_Toc44415151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Dog Act 1976</w:t>
      </w:r>
    </w:p>
    <w:p>
      <w:pPr>
        <w:pStyle w:val="NameofActReg"/>
      </w:pPr>
      <w:r>
        <w:t>Dog Regulations 2013</w:t>
      </w:r>
    </w:p>
    <w:p>
      <w:pPr>
        <w:pStyle w:val="Heading5"/>
      </w:pPr>
      <w:bookmarkStart w:id="3" w:name="_Toc44415112"/>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5" w:name="_Toc44415113"/>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6" w:name="_Toc44415114"/>
      <w:r>
        <w:rPr>
          <w:rStyle w:val="CharSectno"/>
        </w:rPr>
        <w:t>3</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 xml:space="preserve">RWWA </w:t>
      </w:r>
      <w:r>
        <w:t xml:space="preserve">means the body corporate called Racing and Wagering Western Australia established by the </w:t>
      </w:r>
      <w:r>
        <w:rPr>
          <w:i/>
        </w:rPr>
        <w:t xml:space="preserve">Racing and Wagering Western Australia Act 2003 </w:t>
      </w:r>
      <w:r>
        <w:t>section 4;</w:t>
      </w:r>
    </w:p>
    <w:p>
      <w:pPr>
        <w:pStyle w:val="Defstart"/>
      </w:pPr>
      <w:r>
        <w:tab/>
      </w:r>
      <w:r>
        <w:rPr>
          <w:rStyle w:val="CharDefText"/>
        </w:rPr>
        <w:t>section</w:t>
      </w:r>
      <w:r>
        <w:t xml:space="preserve"> means section of the Act.</w:t>
      </w:r>
    </w:p>
    <w:p>
      <w:pPr>
        <w:pStyle w:val="Footnotesection"/>
        <w:spacing w:before="100"/>
        <w:ind w:left="890" w:hanging="890"/>
      </w:pPr>
      <w:r>
        <w:tab/>
        <w:t>[Regulation 3 amended: Gazette 23 Mar 2018 p. 1027.]</w:t>
      </w:r>
    </w:p>
    <w:p>
      <w:pPr>
        <w:pStyle w:val="Heading5"/>
      </w:pPr>
      <w:bookmarkStart w:id="7" w:name="_Toc44415115"/>
      <w:r>
        <w:rPr>
          <w:rStyle w:val="CharSectno"/>
        </w:rPr>
        <w:t>4</w:t>
      </w:r>
      <w:r>
        <w:t>.</w:t>
      </w:r>
      <w:r>
        <w:tab/>
        <w:t>Dangerous dog (restricted breed) breeds</w:t>
      </w:r>
      <w:bookmarkEnd w:id="7"/>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8" w:name="_Toc44415116"/>
      <w:r>
        <w:rPr>
          <w:rStyle w:val="CharSectno"/>
        </w:rPr>
        <w:t>5</w:t>
      </w:r>
      <w:r>
        <w:t>.</w:t>
      </w:r>
      <w:r>
        <w:tab/>
        <w:t>Dog management facility operators</w:t>
      </w:r>
      <w:bookmarkEnd w:id="8"/>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Western Australia (Incorporated);</w:t>
      </w:r>
    </w:p>
    <w:p>
      <w:pPr>
        <w:pStyle w:val="Indenta"/>
      </w:pPr>
      <w:r>
        <w:tab/>
        <w:t>(b)</w:t>
      </w:r>
      <w:r>
        <w:tab/>
        <w:t>Dogs’ Refuge Home (W.A.) Inc.</w:t>
      </w:r>
    </w:p>
    <w:p>
      <w:pPr>
        <w:pStyle w:val="Footnotesection"/>
        <w:spacing w:before="100"/>
        <w:ind w:left="890" w:hanging="890"/>
      </w:pPr>
      <w:r>
        <w:tab/>
        <w:t>[Regulation 5 amended: Gazette 23 Mar 2018 p. 1027.]</w:t>
      </w:r>
    </w:p>
    <w:p>
      <w:pPr>
        <w:pStyle w:val="Heading5"/>
      </w:pPr>
      <w:bookmarkStart w:id="9" w:name="_Toc44415117"/>
      <w:r>
        <w:rPr>
          <w:rStyle w:val="CharSectno"/>
        </w:rPr>
        <w:t>6</w:t>
      </w:r>
      <w:r>
        <w:t>.</w:t>
      </w:r>
      <w:r>
        <w:tab/>
        <w:t>Microchip identification devices</w:t>
      </w:r>
      <w:bookmarkEnd w:id="9"/>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keepNext/>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0" w:name="_Toc44415118"/>
      <w:r>
        <w:rPr>
          <w:rStyle w:val="CharSectno"/>
        </w:rPr>
        <w:t>7</w:t>
      </w:r>
      <w:r>
        <w:t>.</w:t>
      </w:r>
      <w:r>
        <w:tab/>
        <w:t>Microchip database company bodies</w:t>
      </w:r>
      <w:bookmarkEnd w:id="10"/>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Ednotepara"/>
      </w:pPr>
      <w:r>
        <w:tab/>
        <w:t>[(e)</w:t>
      </w:r>
      <w:r>
        <w:tab/>
        <w:t>deleted]</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Gazette 20 May 2014 p. 1603; 23 Mar 2018 p. 1027.]</w:t>
      </w:r>
    </w:p>
    <w:p>
      <w:pPr>
        <w:pStyle w:val="Heading5"/>
      </w:pPr>
      <w:bookmarkStart w:id="11" w:name="_Toc44415119"/>
      <w:r>
        <w:rPr>
          <w:rStyle w:val="CharSectno"/>
        </w:rPr>
        <w:t>8</w:t>
      </w:r>
      <w:r>
        <w:t>.</w:t>
      </w:r>
      <w:r>
        <w:tab/>
        <w:t>Microchip implanter: persons</w:t>
      </w:r>
      <w:bookmarkEnd w:id="11"/>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12" w:name="_Toc44415120"/>
      <w:r>
        <w:rPr>
          <w:rStyle w:val="CharSectno"/>
        </w:rPr>
        <w:t>9</w:t>
      </w:r>
      <w:r>
        <w:t>.</w:t>
      </w:r>
      <w:r>
        <w:tab/>
        <w:t>Microchip implanter: qualifications</w:t>
      </w:r>
      <w:bookmarkEnd w:id="12"/>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keepNext/>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 xml:space="preserve">one or more of the following units of competency in microchip implantation of cats and dogs (provided by a registered training provider) — </w:t>
      </w:r>
    </w:p>
    <w:p>
      <w:pPr>
        <w:pStyle w:val="Indenti"/>
      </w:pPr>
      <w:r>
        <w:tab/>
        <w:t>(i)</w:t>
      </w:r>
      <w:r>
        <w:tab/>
        <w:t>ACMMIC401A Implant microchip in cats and dogs;</w:t>
      </w:r>
    </w:p>
    <w:p>
      <w:pPr>
        <w:pStyle w:val="Indenti"/>
      </w:pPr>
      <w:r>
        <w:tab/>
        <w:t>(ii)</w:t>
      </w:r>
      <w:r>
        <w:tab/>
        <w:t>ACMMIC401 Implant microchip in cats and dogs;</w:t>
      </w:r>
    </w:p>
    <w:p>
      <w:pPr>
        <w:pStyle w:val="Indenta"/>
      </w:pPr>
      <w:r>
        <w:tab/>
      </w:r>
      <w:r>
        <w:tab/>
        <w:t>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(iva)</w:t>
      </w:r>
      <w:r>
        <w:tab/>
        <w:t>ACMSS00001 Microchip Implantation for Dogs and Cats Skill Set;</w:t>
      </w:r>
    </w:p>
    <w:p>
      <w:pPr>
        <w:pStyle w:val="Indenti"/>
      </w:pPr>
      <w:r>
        <w:tab/>
        <w:t>(v)</w:t>
      </w:r>
      <w:r>
        <w:tab/>
        <w:t>ACMSS00007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keepNext/>
      </w:pPr>
      <w:r>
        <w:tab/>
        <w:t>(ix)</w:t>
      </w:r>
      <w:r>
        <w:tab/>
        <w:t>ACM40310 Certificate IV in Companion Animal Services.</w:t>
      </w:r>
    </w:p>
    <w:p>
      <w:pPr>
        <w:pStyle w:val="Footnotesection"/>
        <w:spacing w:before="100"/>
        <w:ind w:left="890" w:hanging="890"/>
      </w:pPr>
      <w:r>
        <w:tab/>
        <w:t>[Regulation 9 amended: Gazette 20 May 2014 p. 1603; SL 2020/9 r. 4; SL 2020/70 r. 4.]</w:t>
      </w:r>
    </w:p>
    <w:p>
      <w:pPr>
        <w:pStyle w:val="Heading5"/>
      </w:pPr>
      <w:bookmarkStart w:id="13" w:name="_Toc44415121"/>
      <w:r>
        <w:rPr>
          <w:rStyle w:val="CharSectno"/>
        </w:rPr>
        <w:t>10</w:t>
      </w:r>
      <w:r>
        <w:t>.</w:t>
      </w:r>
      <w:r>
        <w:tab/>
        <w:t>Microchipping a dog</w:t>
      </w:r>
      <w:bookmarkEnd w:id="13"/>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14" w:name="_Toc44415122"/>
      <w:r>
        <w:rPr>
          <w:rStyle w:val="CharSectno"/>
        </w:rPr>
        <w:t>11</w:t>
      </w:r>
      <w:r>
        <w:t>.</w:t>
      </w:r>
      <w:r>
        <w:tab/>
        <w:t>Bodies having custody of dogs for which registration not required</w:t>
      </w:r>
      <w:bookmarkEnd w:id="14"/>
    </w:p>
    <w:p>
      <w:pPr>
        <w:pStyle w:val="Subsection"/>
        <w:rPr>
          <w:rStyle w:val="DraftersNotes"/>
        </w:rPr>
      </w:pPr>
      <w:r>
        <w:tab/>
      </w:r>
      <w:r>
        <w:tab/>
        <w:t>RWWA is prescribed for section 7(3)(b)(iii).</w:t>
      </w:r>
    </w:p>
    <w:p>
      <w:pPr>
        <w:pStyle w:val="Footnotesection"/>
        <w:spacing w:before="100"/>
        <w:ind w:left="890" w:hanging="890"/>
      </w:pPr>
      <w:r>
        <w:tab/>
        <w:t>[Regulation 11 amended: Gazette 23 Mar 2018 p. 1027.]</w:t>
      </w:r>
    </w:p>
    <w:p>
      <w:pPr>
        <w:pStyle w:val="Heading5"/>
      </w:pPr>
      <w:bookmarkStart w:id="15" w:name="_Toc44415123"/>
      <w:r>
        <w:rPr>
          <w:rStyle w:val="CharSectno"/>
        </w:rPr>
        <w:t>12</w:t>
      </w:r>
      <w:r>
        <w:t>.</w:t>
      </w:r>
      <w:r>
        <w:tab/>
        <w:t>Training organisations for assistance dogs</w:t>
      </w:r>
      <w:bookmarkEnd w:id="15"/>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Indenta"/>
      </w:pPr>
      <w:r>
        <w:tab/>
        <w:t>(e)</w:t>
      </w:r>
      <w:r>
        <w:tab/>
        <w:t>VisAbility Limited.</w:t>
      </w:r>
    </w:p>
    <w:p>
      <w:pPr>
        <w:pStyle w:val="Footnotesection"/>
      </w:pPr>
      <w:r>
        <w:tab/>
        <w:t>[Regulation 12 amended: SL 2020/98 r. 4.]</w:t>
      </w:r>
    </w:p>
    <w:p>
      <w:pPr>
        <w:pStyle w:val="Heading5"/>
      </w:pPr>
      <w:bookmarkStart w:id="16" w:name="_Toc44415124"/>
      <w:r>
        <w:rPr>
          <w:rStyle w:val="CharSectno"/>
        </w:rPr>
        <w:t>13</w:t>
      </w:r>
      <w:r>
        <w:t>.</w:t>
      </w:r>
      <w:r>
        <w:tab/>
        <w:t>Review of CEO’s decisions about assistance dogs</w:t>
      </w:r>
      <w:bookmarkEnd w:id="16"/>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keepNext/>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17" w:name="_Toc44415125"/>
      <w:r>
        <w:rPr>
          <w:rStyle w:val="CharSectno"/>
        </w:rPr>
        <w:t>14</w:t>
      </w:r>
      <w:r>
        <w:t>.</w:t>
      </w:r>
      <w:r>
        <w:tab/>
        <w:t>Form of certificate for authorised persons</w:t>
      </w:r>
      <w:bookmarkEnd w:id="17"/>
    </w:p>
    <w:p>
      <w:pPr>
        <w:pStyle w:val="Subsection"/>
      </w:pPr>
      <w:r>
        <w:tab/>
      </w:r>
      <w:r>
        <w:tab/>
        <w:t>The certificate required by section 11(3) is to be in the form of Form 1.</w:t>
      </w:r>
    </w:p>
    <w:p>
      <w:pPr>
        <w:pStyle w:val="Heading5"/>
      </w:pPr>
      <w:bookmarkStart w:id="18" w:name="_Toc44415126"/>
      <w:r>
        <w:rPr>
          <w:rStyle w:val="CharSectno"/>
        </w:rPr>
        <w:t>15</w:t>
      </w:r>
      <w:r>
        <w:t>.</w:t>
      </w:r>
      <w:r>
        <w:tab/>
        <w:t>Warrants</w:t>
      </w:r>
      <w:bookmarkEnd w:id="18"/>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19" w:name="_Toc44415127"/>
      <w:r>
        <w:rPr>
          <w:rStyle w:val="CharSectno"/>
        </w:rPr>
        <w:t>16</w:t>
      </w:r>
      <w:r>
        <w:t>.</w:t>
      </w:r>
      <w:r>
        <w:tab/>
        <w:t>Information to be recorded in register of dogs</w:t>
      </w:r>
      <w:bookmarkEnd w:id="19"/>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20" w:name="_Toc44415128"/>
      <w:r>
        <w:rPr>
          <w:rStyle w:val="CharSectno"/>
        </w:rPr>
        <w:t>17</w:t>
      </w:r>
      <w:r>
        <w:t>.</w:t>
      </w:r>
      <w:r>
        <w:tab/>
        <w:t>Registration fees</w:t>
      </w:r>
      <w:bookmarkEnd w:id="20"/>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21" w:name="_Toc44415129"/>
      <w:r>
        <w:rPr>
          <w:rStyle w:val="CharSectno"/>
        </w:rPr>
        <w:t>18</w:t>
      </w:r>
      <w:r>
        <w:t>.</w:t>
      </w:r>
      <w:r>
        <w:tab/>
        <w:t>Extended period of registration</w:t>
      </w:r>
      <w:bookmarkEnd w:id="21"/>
    </w:p>
    <w:p>
      <w:pPr>
        <w:pStyle w:val="Subsection"/>
      </w:pPr>
      <w:r>
        <w:tab/>
      </w:r>
      <w:r>
        <w:tab/>
        <w:t>The period for section 15(3)(b) is a period of 3 years.</w:t>
      </w:r>
    </w:p>
    <w:p>
      <w:pPr>
        <w:pStyle w:val="Heading5"/>
      </w:pPr>
      <w:bookmarkStart w:id="22" w:name="_Toc44415130"/>
      <w:r>
        <w:rPr>
          <w:rStyle w:val="CharSectno"/>
        </w:rPr>
        <w:t>19</w:t>
      </w:r>
      <w:r>
        <w:t>.</w:t>
      </w:r>
      <w:r>
        <w:tab/>
        <w:t>Refund of portion of registration fees for subsequently sterilised dogs</w:t>
      </w:r>
      <w:bookmarkEnd w:id="22"/>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Gazette 24 Jan 2017 p. 746.]</w:t>
      </w:r>
    </w:p>
    <w:p>
      <w:pPr>
        <w:pStyle w:val="Heading5"/>
        <w:spacing w:before="120"/>
      </w:pPr>
      <w:bookmarkStart w:id="23" w:name="_Toc44415131"/>
      <w:r>
        <w:rPr>
          <w:rStyle w:val="CharSectno"/>
        </w:rPr>
        <w:t>20</w:t>
      </w:r>
      <w:r>
        <w:t>.</w:t>
      </w:r>
      <w:r>
        <w:tab/>
        <w:t>Application for registration, evidence for concessional rates</w:t>
      </w:r>
      <w:bookmarkEnd w:id="23"/>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24" w:name="_Toc44415132"/>
      <w:r>
        <w:rPr>
          <w:rStyle w:val="CharSectno"/>
        </w:rPr>
        <w:t>21</w:t>
      </w:r>
      <w:r>
        <w:t>.</w:t>
      </w:r>
      <w:r>
        <w:tab/>
        <w:t>Certificate of registration</w:t>
      </w:r>
      <w:bookmarkEnd w:id="24"/>
    </w:p>
    <w:p>
      <w:pPr>
        <w:pStyle w:val="Subsection"/>
      </w:pPr>
      <w:r>
        <w:tab/>
      </w:r>
      <w:r>
        <w:tab/>
        <w:t>A certificate under section 16(6)(a) is to be in the form of Form 5.</w:t>
      </w:r>
    </w:p>
    <w:p>
      <w:pPr>
        <w:pStyle w:val="Heading5"/>
      </w:pPr>
      <w:bookmarkStart w:id="25" w:name="_Toc44415133"/>
      <w:r>
        <w:rPr>
          <w:rStyle w:val="CharSectno"/>
        </w:rPr>
        <w:t>22</w:t>
      </w:r>
      <w:r>
        <w:t>.</w:t>
      </w:r>
      <w:r>
        <w:tab/>
        <w:t>Owner’s delegate appointment form</w:t>
      </w:r>
      <w:bookmarkEnd w:id="25"/>
    </w:p>
    <w:p>
      <w:pPr>
        <w:pStyle w:val="Subsection"/>
      </w:pPr>
      <w:r>
        <w:tab/>
      </w:r>
      <w:r>
        <w:tab/>
        <w:t>An appointment under section 16AA(1) is to be in the form of Form 4 Parts A, B, E and F.</w:t>
      </w:r>
    </w:p>
    <w:p>
      <w:pPr>
        <w:pStyle w:val="Heading5"/>
      </w:pPr>
      <w:bookmarkStart w:id="26" w:name="_Toc44415134"/>
      <w:r>
        <w:rPr>
          <w:rStyle w:val="CharSectno"/>
        </w:rPr>
        <w:t>23</w:t>
      </w:r>
      <w:r>
        <w:t>.</w:t>
      </w:r>
      <w:r>
        <w:tab/>
        <w:t>Change of ownership form</w:t>
      </w:r>
      <w:bookmarkEnd w:id="26"/>
    </w:p>
    <w:p>
      <w:pPr>
        <w:pStyle w:val="Subsection"/>
      </w:pPr>
      <w:r>
        <w:tab/>
      </w:r>
      <w:r>
        <w:tab/>
        <w:t>A notification under section 16A(1) is to be in the form of Form 4 Parts A, B, C, E and F.</w:t>
      </w:r>
    </w:p>
    <w:p>
      <w:pPr>
        <w:pStyle w:val="Heading5"/>
      </w:pPr>
      <w:bookmarkStart w:id="27" w:name="_Toc44415135"/>
      <w:r>
        <w:rPr>
          <w:rStyle w:val="CharSectno"/>
        </w:rPr>
        <w:t>24</w:t>
      </w:r>
      <w:r>
        <w:t>.</w:t>
      </w:r>
      <w:r>
        <w:tab/>
        <w:t>Particulars to be contained in registration tag</w:t>
      </w:r>
      <w:bookmarkEnd w:id="27"/>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28" w:name="_Toc44415136"/>
      <w:r>
        <w:rPr>
          <w:rStyle w:val="CharSectno"/>
        </w:rPr>
        <w:t>25</w:t>
      </w:r>
      <w:r>
        <w:t>.</w:t>
      </w:r>
      <w:r>
        <w:tab/>
        <w:t>Information to be given by microchip implanter to microchip database company</w:t>
      </w:r>
      <w:bookmarkEnd w:id="28"/>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29" w:name="_Toc44415137"/>
      <w:r>
        <w:rPr>
          <w:rStyle w:val="CharSectno"/>
        </w:rPr>
        <w:t>26</w:t>
      </w:r>
      <w:r>
        <w:t>.</w:t>
      </w:r>
      <w:r>
        <w:tab/>
        <w:t>Notice of dog’s seizure and detention form</w:t>
      </w:r>
      <w:bookmarkEnd w:id="29"/>
    </w:p>
    <w:p>
      <w:pPr>
        <w:pStyle w:val="Subsection"/>
      </w:pPr>
      <w:r>
        <w:tab/>
      </w:r>
      <w:r>
        <w:tab/>
        <w:t>A notice under section 29(8)(a) or (8A)(a) is to be in the form of Form 6.</w:t>
      </w:r>
    </w:p>
    <w:p>
      <w:pPr>
        <w:pStyle w:val="Heading5"/>
      </w:pPr>
      <w:bookmarkStart w:id="30" w:name="_Toc44415138"/>
      <w:r>
        <w:rPr>
          <w:rStyle w:val="CharSectno"/>
        </w:rPr>
        <w:t>27</w:t>
      </w:r>
      <w:r>
        <w:t>.</w:t>
      </w:r>
      <w:r>
        <w:tab/>
        <w:t>Holding, tethering of dogs</w:t>
      </w:r>
      <w:bookmarkEnd w:id="30"/>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31" w:name="_Toc44415139"/>
      <w:r>
        <w:rPr>
          <w:rStyle w:val="CharSectno"/>
        </w:rPr>
        <w:t>28</w:t>
      </w:r>
      <w:r>
        <w:t>.</w:t>
      </w:r>
      <w:r>
        <w:tab/>
        <w:t>Training programme for greyhounds</w:t>
      </w:r>
      <w:bookmarkEnd w:id="31"/>
    </w:p>
    <w:p>
      <w:pPr>
        <w:pStyle w:val="Subsection"/>
      </w:pPr>
      <w:r>
        <w:tab/>
      </w:r>
      <w:r>
        <w:tab/>
        <w:t>The training programme for section 33(1)(b) is that known as the “Greyhounds as Pets Program” conducted by RWWA.</w:t>
      </w:r>
    </w:p>
    <w:p>
      <w:pPr>
        <w:pStyle w:val="Footnotesection"/>
        <w:spacing w:before="100"/>
        <w:ind w:left="890" w:hanging="890"/>
      </w:pPr>
      <w:r>
        <w:tab/>
        <w:t>[Regulation 28 amended: Gazette 23 Mar 2018 p. 1028.]</w:t>
      </w:r>
    </w:p>
    <w:p>
      <w:pPr>
        <w:pStyle w:val="Heading5"/>
      </w:pPr>
      <w:bookmarkStart w:id="32" w:name="_Toc44415140"/>
      <w:r>
        <w:rPr>
          <w:rStyle w:val="CharSectno"/>
        </w:rPr>
        <w:t>29</w:t>
      </w:r>
      <w:r>
        <w:t>.</w:t>
      </w:r>
      <w:r>
        <w:tab/>
        <w:t>Collars for dangerous dogs</w:t>
      </w:r>
      <w:bookmarkEnd w:id="32"/>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Gazette 20 May 2014 p. 1604.]</w:t>
      </w:r>
    </w:p>
    <w:p>
      <w:pPr>
        <w:pStyle w:val="Heading5"/>
        <w:spacing w:before="120"/>
      </w:pPr>
      <w:bookmarkStart w:id="33" w:name="_Toc44415141"/>
      <w:r>
        <w:rPr>
          <w:rStyle w:val="CharSectno"/>
        </w:rPr>
        <w:t>30</w:t>
      </w:r>
      <w:r>
        <w:t>.</w:t>
      </w:r>
      <w:r>
        <w:tab/>
        <w:t>Warning signs about dangerous dogs</w:t>
      </w:r>
      <w:bookmarkEnd w:id="33"/>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34" w:name="_Toc44415142"/>
      <w:r>
        <w:rPr>
          <w:rStyle w:val="CharSectno"/>
        </w:rPr>
        <w:t>31</w:t>
      </w:r>
      <w:r>
        <w:t>.</w:t>
      </w:r>
      <w:r>
        <w:tab/>
        <w:t>Local government expenses as to dangerous dogs (declared)</w:t>
      </w:r>
      <w:bookmarkEnd w:id="34"/>
    </w:p>
    <w:p>
      <w:pPr>
        <w:pStyle w:val="Subsection"/>
      </w:pPr>
      <w:r>
        <w:tab/>
        <w:t>(1)</w:t>
      </w:r>
      <w:r>
        <w:tab/>
        <w:t>The maximum amount for section 33M(1)(a) is $250.</w:t>
      </w:r>
    </w:p>
    <w:p>
      <w:pPr>
        <w:pStyle w:val="Subsection"/>
        <w:keepNext/>
      </w:pPr>
      <w:r>
        <w:tab/>
        <w:t>(2)</w:t>
      </w:r>
      <w:r>
        <w:tab/>
        <w:t>The amount of the fixed charge for section 33M(1)(b)(ii) is $100.</w:t>
      </w:r>
    </w:p>
    <w:p>
      <w:pPr>
        <w:pStyle w:val="Heading5"/>
      </w:pPr>
      <w:bookmarkStart w:id="35" w:name="_Toc44415143"/>
      <w:r>
        <w:rPr>
          <w:rStyle w:val="CharSectno"/>
        </w:rPr>
        <w:t>32</w:t>
      </w:r>
      <w:r>
        <w:t>.</w:t>
      </w:r>
      <w:r>
        <w:tab/>
        <w:t>Nuisance dog complaint form</w:t>
      </w:r>
      <w:bookmarkEnd w:id="35"/>
    </w:p>
    <w:p>
      <w:pPr>
        <w:pStyle w:val="Subsection"/>
      </w:pPr>
      <w:r>
        <w:tab/>
      </w:r>
      <w:r>
        <w:tab/>
        <w:t>A complaint under section 38(2) is to be in the form of Form 7.</w:t>
      </w:r>
    </w:p>
    <w:p>
      <w:pPr>
        <w:pStyle w:val="Heading5"/>
      </w:pPr>
      <w:bookmarkStart w:id="36" w:name="_Toc44415144"/>
      <w:r>
        <w:rPr>
          <w:rStyle w:val="CharSectno"/>
        </w:rPr>
        <w:t>33A</w:t>
      </w:r>
      <w:r>
        <w:t>.</w:t>
      </w:r>
      <w:r>
        <w:tab/>
        <w:t>Form of order to prevent a dog being a nuisance</w:t>
      </w:r>
      <w:bookmarkEnd w:id="36"/>
    </w:p>
    <w:p>
      <w:pPr>
        <w:pStyle w:val="Subsection"/>
      </w:pPr>
      <w:r>
        <w:tab/>
      </w:r>
      <w:r>
        <w:tab/>
        <w:t>An order under section 38(3) may be in the form of Form 8A.</w:t>
      </w:r>
    </w:p>
    <w:p>
      <w:pPr>
        <w:pStyle w:val="Footnotesection"/>
        <w:spacing w:before="100"/>
        <w:ind w:left="890" w:hanging="890"/>
      </w:pPr>
      <w:r>
        <w:tab/>
        <w:t>[Regulation 33A inserted: Gazette 20 May 2014 p. 1604.]</w:t>
      </w:r>
    </w:p>
    <w:p>
      <w:pPr>
        <w:pStyle w:val="Heading5"/>
      </w:pPr>
      <w:bookmarkStart w:id="37" w:name="_Toc44415145"/>
      <w:r>
        <w:rPr>
          <w:rStyle w:val="CharSectno"/>
        </w:rPr>
        <w:t>33</w:t>
      </w:r>
      <w:r>
        <w:t>.</w:t>
      </w:r>
      <w:r>
        <w:tab/>
        <w:t>Modified penalties for offences under the principal Act</w:t>
      </w:r>
      <w:bookmarkEnd w:id="37"/>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cantSplit/>
          <w:tblHeader/>
        </w:trPr>
        <w:tc>
          <w:tcPr>
            <w:tcW w:w="630" w:type="dxa"/>
          </w:tcPr>
          <w:p>
            <w:pPr>
              <w:pStyle w:val="TableNAm"/>
              <w:keepNext/>
              <w:spacing w:before="40"/>
              <w:ind w:left="-79" w:right="-23"/>
              <w:jc w:val="center"/>
              <w:rPr>
                <w:b/>
              </w:rPr>
            </w:pPr>
            <w:r>
              <w:rPr>
                <w:b/>
              </w:rPr>
              <w:t>Item</w:t>
            </w:r>
          </w:p>
        </w:tc>
        <w:tc>
          <w:tcPr>
            <w:tcW w:w="1229" w:type="dxa"/>
          </w:tcPr>
          <w:p>
            <w:pPr>
              <w:pStyle w:val="TableNAm"/>
              <w:keepNext/>
              <w:spacing w:before="40"/>
              <w:ind w:left="-80" w:right="-23"/>
              <w:jc w:val="center"/>
              <w:rPr>
                <w:b/>
              </w:rPr>
            </w:pPr>
            <w:r>
              <w:rPr>
                <w:b/>
              </w:rPr>
              <w:t>Provision of Act</w:t>
            </w:r>
          </w:p>
        </w:tc>
        <w:tc>
          <w:tcPr>
            <w:tcW w:w="1417" w:type="dxa"/>
          </w:tcPr>
          <w:p>
            <w:pPr>
              <w:pStyle w:val="TableNAm"/>
              <w:keepNext/>
              <w:spacing w:before="40"/>
              <w:ind w:left="-108" w:right="-23"/>
              <w:jc w:val="center"/>
              <w:rPr>
                <w:b/>
              </w:rPr>
            </w:pPr>
            <w:r>
              <w:rPr>
                <w:b/>
              </w:rPr>
              <w:t>Nature of offence</w:t>
            </w:r>
          </w:p>
        </w:tc>
        <w:tc>
          <w:tcPr>
            <w:tcW w:w="1218" w:type="dxa"/>
          </w:tcPr>
          <w:p>
            <w:pPr>
              <w:pStyle w:val="TableNAm"/>
              <w:keepNext/>
              <w:spacing w:before="40"/>
              <w:ind w:left="-80" w:right="-23"/>
              <w:jc w:val="center"/>
              <w:rPr>
                <w:b/>
              </w:rPr>
            </w:pPr>
            <w:r>
              <w:rPr>
                <w:b/>
              </w:rPr>
              <w:t>Modified penalty for dogs other than dangerous dogs</w:t>
            </w:r>
            <w:r>
              <w:rPr>
                <w:b/>
              </w:rPr>
              <w:br/>
            </w:r>
            <w:r>
              <w:rPr>
                <w:b/>
              </w:rPr>
              <w:br/>
              <w:t>$</w:t>
            </w:r>
          </w:p>
        </w:tc>
        <w:tc>
          <w:tcPr>
            <w:tcW w:w="1217" w:type="dxa"/>
          </w:tcPr>
          <w:p>
            <w:pPr>
              <w:pStyle w:val="TableNAm"/>
              <w:keepNext/>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keepNext/>
              <w:spacing w:before="40"/>
              <w:ind w:left="-80" w:right="-23"/>
              <w:jc w:val="center"/>
              <w:rPr>
                <w:b/>
              </w:rPr>
            </w:pPr>
            <w:r>
              <w:rPr>
                <w:b/>
              </w:rPr>
              <w:t>Modified penalty whether or not dog is a dangerous dog</w:t>
            </w:r>
            <w:r>
              <w:rPr>
                <w:b/>
              </w:rPr>
              <w:br/>
              <w:t>$</w:t>
            </w:r>
          </w:p>
        </w:tc>
      </w:tr>
      <w:tr>
        <w:trPr>
          <w:cantSplit/>
        </w:trPr>
        <w:tc>
          <w:tcPr>
            <w:tcW w:w="630" w:type="dxa"/>
          </w:tcPr>
          <w:p>
            <w:pPr>
              <w:pStyle w:val="TableNAm"/>
              <w:keepNext/>
              <w:spacing w:before="40"/>
              <w:ind w:left="-79" w:right="-23"/>
            </w:pPr>
            <w:r>
              <w:t>1.</w:t>
            </w:r>
          </w:p>
        </w:tc>
        <w:tc>
          <w:tcPr>
            <w:tcW w:w="1229" w:type="dxa"/>
          </w:tcPr>
          <w:p>
            <w:pPr>
              <w:pStyle w:val="TableNAm"/>
              <w:keepNext/>
              <w:spacing w:before="40"/>
              <w:ind w:left="-80" w:right="-23"/>
            </w:pPr>
            <w:r>
              <w:t>s. 7(1)</w:t>
            </w:r>
          </w:p>
        </w:tc>
        <w:tc>
          <w:tcPr>
            <w:tcW w:w="1417" w:type="dxa"/>
          </w:tcPr>
          <w:p>
            <w:pPr>
              <w:pStyle w:val="TableNAm"/>
              <w:keepNext/>
              <w:spacing w:before="40"/>
              <w:ind w:left="-108" w:right="-23"/>
            </w:pPr>
            <w:r>
              <w:t>Unregistered dog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w:t>
            </w:r>
          </w:p>
        </w:tc>
        <w:tc>
          <w:tcPr>
            <w:tcW w:w="1229" w:type="dxa"/>
          </w:tcPr>
          <w:p>
            <w:pPr>
              <w:pStyle w:val="TableNAm"/>
              <w:keepNext/>
              <w:spacing w:before="40"/>
              <w:ind w:left="-80" w:right="-24"/>
            </w:pPr>
            <w:r>
              <w:t>s. 20(1)(d)</w:t>
            </w:r>
          </w:p>
        </w:tc>
        <w:tc>
          <w:tcPr>
            <w:tcW w:w="1417" w:type="dxa"/>
          </w:tcPr>
          <w:p>
            <w:pPr>
              <w:pStyle w:val="TableNAm"/>
              <w:keepNext/>
              <w:spacing w:before="40"/>
              <w:ind w:left="-108" w:right="-24"/>
            </w:pPr>
            <w:r>
              <w:t>Registration tag, certificate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keepNext/>
              <w:spacing w:before="40"/>
              <w:ind w:left="-79" w:right="-24"/>
            </w:pPr>
            <w:r>
              <w:t>9.</w:t>
            </w:r>
          </w:p>
        </w:tc>
        <w:tc>
          <w:tcPr>
            <w:tcW w:w="1229" w:type="dxa"/>
          </w:tcPr>
          <w:p>
            <w:pPr>
              <w:pStyle w:val="TableNAm"/>
              <w:keepNext/>
              <w:spacing w:before="40"/>
              <w:ind w:left="-80" w:right="-24"/>
            </w:pPr>
            <w:r>
              <w:t>s. 26B(1)</w:t>
            </w:r>
          </w:p>
        </w:tc>
        <w:tc>
          <w:tcPr>
            <w:tcW w:w="1417" w:type="dxa"/>
          </w:tcPr>
          <w:p>
            <w:pPr>
              <w:pStyle w:val="TableNAm"/>
              <w:keepNext/>
              <w:spacing w:before="40"/>
              <w:ind w:left="-108" w:right="-24"/>
            </w:pPr>
            <w:r>
              <w:t>Transfer of ownership of unmicro</w:t>
            </w:r>
            <w:r>
              <w:noBreakHyphen/>
            </w:r>
            <w:r>
              <w:br/>
              <w:t>chipped dog</w:t>
            </w:r>
          </w:p>
        </w:tc>
        <w:tc>
          <w:tcPr>
            <w:tcW w:w="1218" w:type="dxa"/>
          </w:tcPr>
          <w:p>
            <w:pPr>
              <w:pStyle w:val="TableNAm"/>
              <w:keepNext/>
              <w:spacing w:before="40"/>
              <w:ind w:left="-80" w:right="-24"/>
            </w:pPr>
          </w:p>
        </w:tc>
        <w:tc>
          <w:tcPr>
            <w:tcW w:w="1217" w:type="dxa"/>
          </w:tcPr>
          <w:p>
            <w:pPr>
              <w:pStyle w:val="TableNAm"/>
              <w:keepNext/>
              <w:spacing w:before="40"/>
              <w:ind w:left="-80" w:right="-24"/>
            </w:pPr>
          </w:p>
        </w:tc>
        <w:tc>
          <w:tcPr>
            <w:tcW w:w="1203" w:type="dxa"/>
          </w:tcPr>
          <w:p>
            <w:pPr>
              <w:pStyle w:val="TableNAm"/>
              <w:keepNext/>
              <w:spacing w:before="40"/>
              <w:ind w:left="-80" w:right="-24"/>
            </w:pPr>
            <w:r>
              <w:t>200</w:t>
            </w:r>
          </w:p>
        </w:tc>
      </w:tr>
      <w:tr>
        <w:trPr>
          <w:cantSplit/>
        </w:trP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14.</w:t>
            </w:r>
          </w:p>
        </w:tc>
        <w:tc>
          <w:tcPr>
            <w:tcW w:w="1229" w:type="dxa"/>
          </w:tcPr>
          <w:p>
            <w:pPr>
              <w:pStyle w:val="TableNAm"/>
              <w:keepNext/>
              <w:spacing w:before="40"/>
              <w:ind w:left="-80" w:right="-23"/>
            </w:pPr>
            <w:r>
              <w:t>s. 30(2)</w:t>
            </w:r>
          </w:p>
        </w:tc>
        <w:tc>
          <w:tcPr>
            <w:tcW w:w="1417" w:type="dxa"/>
          </w:tcPr>
          <w:p>
            <w:pPr>
              <w:pStyle w:val="TableNAm"/>
              <w:keepNext/>
              <w:spacing w:before="40"/>
              <w:ind w:left="-108" w:right="-23"/>
            </w:pPr>
            <w:r>
              <w:t>Dog not wearing collar with attached registration tag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rPr>
          <w:cantSplit/>
        </w:trP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22.</w:t>
            </w:r>
          </w:p>
        </w:tc>
        <w:tc>
          <w:tcPr>
            <w:tcW w:w="1229" w:type="dxa"/>
          </w:tcPr>
          <w:p>
            <w:pPr>
              <w:pStyle w:val="TableNAm"/>
              <w:spacing w:before="40"/>
              <w:ind w:left="-80" w:right="-24"/>
            </w:pPr>
            <w:r>
              <w:t>s. 33GA(2)</w:t>
            </w:r>
          </w:p>
        </w:tc>
        <w:tc>
          <w:tcPr>
            <w:tcW w:w="1417" w:type="dxa"/>
          </w:tcPr>
          <w:p>
            <w:pPr>
              <w:pStyle w:val="TableNAm"/>
              <w:spacing w:before="40"/>
              <w:ind w:left="-108" w:right="-24"/>
            </w:pPr>
            <w:r>
              <w:t>Not complying with dangerous dog enclosure requirement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23.</w:t>
            </w:r>
          </w:p>
        </w:tc>
        <w:tc>
          <w:tcPr>
            <w:tcW w:w="1229" w:type="dxa"/>
          </w:tcPr>
          <w:p>
            <w:pPr>
              <w:pStyle w:val="TableNAm"/>
              <w:spacing w:before="40"/>
              <w:ind w:left="-80" w:right="-23"/>
            </w:pPr>
            <w:r>
              <w:t>s. 33GA(4)</w:t>
            </w:r>
          </w:p>
        </w:tc>
        <w:tc>
          <w:tcPr>
            <w:tcW w:w="1417" w:type="dxa"/>
          </w:tcPr>
          <w:p>
            <w:pPr>
              <w:pStyle w:val="TableNAm"/>
              <w:spacing w:before="40"/>
              <w:ind w:left="-108" w:right="-23"/>
            </w:pPr>
            <w:r>
              <w:t>Not complying with commercial security dog requirements</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24.</w:t>
            </w:r>
          </w:p>
        </w:tc>
        <w:tc>
          <w:tcPr>
            <w:tcW w:w="1229" w:type="dxa"/>
          </w:tcPr>
          <w:p>
            <w:pPr>
              <w:pStyle w:val="TableNAm"/>
              <w:keepNext/>
              <w:spacing w:before="40"/>
              <w:ind w:left="-80" w:right="-23"/>
            </w:pPr>
            <w:r>
              <w:t>s. 33GA(5)</w:t>
            </w:r>
          </w:p>
        </w:tc>
        <w:tc>
          <w:tcPr>
            <w:tcW w:w="1417" w:type="dxa"/>
          </w:tcPr>
          <w:p>
            <w:pPr>
              <w:pStyle w:val="TableNAm"/>
              <w:keepNext/>
              <w:spacing w:before="40"/>
              <w:ind w:left="-108" w:right="-23"/>
            </w:pPr>
            <w:r>
              <w:t>Warning signs about dangerous dogs not displayed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29.</w:t>
            </w:r>
          </w:p>
        </w:tc>
        <w:tc>
          <w:tcPr>
            <w:tcW w:w="1229" w:type="dxa"/>
          </w:tcPr>
          <w:p>
            <w:pPr>
              <w:pStyle w:val="TableNAm"/>
              <w:spacing w:before="40"/>
              <w:ind w:left="-80" w:right="-23"/>
            </w:pPr>
            <w:r>
              <w:t>s. 33GB(1)</w:t>
            </w:r>
          </w:p>
        </w:tc>
        <w:tc>
          <w:tcPr>
            <w:tcW w:w="1417" w:type="dxa"/>
          </w:tcPr>
          <w:p>
            <w:pPr>
              <w:pStyle w:val="TableNAm"/>
              <w:spacing w:before="40"/>
              <w:ind w:left="-108" w:right="-23"/>
            </w:pPr>
            <w:r>
              <w:t>Dangerous dog (restricted breed) not sterilised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30.</w:t>
            </w:r>
          </w:p>
        </w:tc>
        <w:tc>
          <w:tcPr>
            <w:tcW w:w="1229" w:type="dxa"/>
          </w:tcPr>
          <w:p>
            <w:pPr>
              <w:pStyle w:val="TableNAm"/>
              <w:keepNext/>
              <w:spacing w:before="40"/>
              <w:ind w:left="-80" w:right="-24"/>
            </w:pPr>
            <w:r>
              <w:t>s. 33GC(2)</w:t>
            </w:r>
          </w:p>
        </w:tc>
        <w:tc>
          <w:tcPr>
            <w:tcW w:w="1417" w:type="dxa"/>
          </w:tcPr>
          <w:p>
            <w:pPr>
              <w:pStyle w:val="TableNAm"/>
              <w:keepNext/>
              <w:spacing w:before="40"/>
              <w:ind w:left="-108" w:right="-24"/>
            </w:pPr>
            <w:r>
              <w:t>Dangerous dog (restricted breed) or pup advertised</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34.</w:t>
            </w:r>
          </w:p>
        </w:tc>
        <w:tc>
          <w:tcPr>
            <w:tcW w:w="1229" w:type="dxa"/>
          </w:tcPr>
          <w:p>
            <w:pPr>
              <w:pStyle w:val="TableNAm"/>
              <w:keepNext/>
              <w:spacing w:before="40"/>
              <w:ind w:left="-80" w:right="-23"/>
            </w:pPr>
            <w:r>
              <w:t>s. 33GD</w:t>
            </w:r>
          </w:p>
        </w:tc>
        <w:tc>
          <w:tcPr>
            <w:tcW w:w="1417" w:type="dxa"/>
          </w:tcPr>
          <w:p>
            <w:pPr>
              <w:pStyle w:val="TableNAm"/>
              <w:keepNext/>
              <w:spacing w:before="40"/>
              <w:ind w:left="-108" w:right="-23"/>
            </w:pPr>
            <w:r>
              <w:t>Breeding, or breeding from, dangerous dog (restricted breed)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Gazette 20 May 2014 p. 1604; 11 Mar 2016 p. 689.]</w:t>
      </w:r>
    </w:p>
    <w:p>
      <w:pPr>
        <w:pStyle w:val="Heading5"/>
      </w:pPr>
      <w:bookmarkStart w:id="38" w:name="_Toc44415146"/>
      <w:r>
        <w:rPr>
          <w:rStyle w:val="CharSectno"/>
        </w:rPr>
        <w:t>34</w:t>
      </w:r>
      <w:r>
        <w:t>.</w:t>
      </w:r>
      <w:r>
        <w:tab/>
        <w:t>Modified penalties for offences under the regulations</w:t>
      </w:r>
      <w:bookmarkEnd w:id="38"/>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39" w:name="_Toc44415147"/>
      <w:r>
        <w:rPr>
          <w:rStyle w:val="CharSectno"/>
        </w:rPr>
        <w:t>35</w:t>
      </w:r>
      <w:r>
        <w:t>.</w:t>
      </w:r>
      <w:r>
        <w:tab/>
        <w:t>Dealing with alleged offenders without prosecuting them</w:t>
      </w:r>
      <w:bookmarkEnd w:id="39"/>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Ednotesection"/>
        <w:rPr>
          <w:i w:val="0"/>
        </w:rPr>
      </w:pPr>
      <w:r>
        <w:t>[</w:t>
      </w:r>
      <w:r>
        <w:rPr>
          <w:b/>
        </w:rPr>
        <w:t>36.</w:t>
      </w:r>
      <w:r>
        <w:tab/>
        <w:t>Omitted under the Reprints Act 1984 s. 7(4)(e).]</w:t>
      </w:r>
    </w:p>
    <w:p>
      <w:pPr>
        <w:pStyle w:val="Heading5"/>
      </w:pPr>
      <w:bookmarkStart w:id="40" w:name="_Toc44415148"/>
      <w:r>
        <w:rPr>
          <w:rStyle w:val="CharSectno"/>
        </w:rPr>
        <w:t>37</w:t>
      </w:r>
      <w:r>
        <w:t>.</w:t>
      </w:r>
      <w:r>
        <w:tab/>
        <w:t>Transitional regulation: provisions of certain local laws have no effect after 31 July 2014</w:t>
      </w:r>
      <w:bookmarkEnd w:id="40"/>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Gazette 20 May 2014 p. 1604.]</w:t>
      </w:r>
    </w:p>
    <w:p>
      <w:pPr>
        <w:pStyle w:val="Footnotesection"/>
      </w:pPr>
    </w:p>
    <w:p>
      <w:pPr>
        <w:pStyle w:val="Subsection"/>
        <w:sectPr>
          <w:headerReference w:type="even" r:id="rId24"/>
          <w:head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41" w:name="_Toc44408096"/>
      <w:bookmarkStart w:id="42" w:name="_Toc44408888"/>
      <w:bookmarkStart w:id="43" w:name="_Toc44408933"/>
      <w:bookmarkStart w:id="44" w:name="_Toc44415149"/>
      <w:r>
        <w:rPr>
          <w:rStyle w:val="CharSchNo"/>
        </w:rPr>
        <w:t>Schedule 1</w:t>
      </w:r>
      <w:r>
        <w:rPr>
          <w:rStyle w:val="CharSDivNo"/>
        </w:rPr>
        <w:t> </w:t>
      </w:r>
      <w:r>
        <w:t>—</w:t>
      </w:r>
      <w:r>
        <w:rPr>
          <w:rStyle w:val="CharSDivText"/>
        </w:rPr>
        <w:t> </w:t>
      </w:r>
      <w:r>
        <w:rPr>
          <w:rStyle w:val="CharSchText"/>
        </w:rPr>
        <w:t>Forms</w:t>
      </w:r>
      <w:bookmarkEnd w:id="41"/>
      <w:bookmarkEnd w:id="42"/>
      <w:bookmarkEnd w:id="43"/>
      <w:bookmarkEnd w:id="44"/>
    </w:p>
    <w:p>
      <w:pPr>
        <w:pStyle w:val="yMiscellaneousHeading"/>
        <w:rPr>
          <w:b/>
          <w:bCs/>
        </w:rPr>
      </w:pPr>
      <w:r>
        <w:rPr>
          <w:rStyle w:val="CharSClsNo"/>
          <w:b/>
          <w:bCs/>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rPr>
          <w:b/>
          <w:bCs/>
          <w:snapToGrid w:val="0"/>
        </w:rPr>
      </w:pPr>
      <w:r>
        <w:rPr>
          <w:rStyle w:val="CharSClsNo"/>
          <w:b/>
          <w:bCs/>
        </w:rPr>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Gazette 20 May 2014 p. 1605.]</w:t>
      </w:r>
    </w:p>
    <w:p>
      <w:pPr>
        <w:pStyle w:val="yMiscellaneousHeading"/>
        <w:keepLines/>
        <w:rPr>
          <w:b/>
          <w:bCs/>
          <w:snapToGrid w:val="0"/>
        </w:rPr>
      </w:pPr>
      <w:r>
        <w:rPr>
          <w:rStyle w:val="CharSClsNo"/>
          <w:b/>
          <w:bCs/>
        </w:rPr>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Gazette 11 Mar 2016 p. 689</w:t>
      </w:r>
      <w:r>
        <w:noBreakHyphen/>
        <w:t>90.]</w:t>
      </w:r>
    </w:p>
    <w:p>
      <w:pPr>
        <w:pStyle w:val="yMiscellaneousHeading"/>
        <w:pageBreakBefore/>
        <w:rPr>
          <w:b/>
          <w:bCs/>
        </w:rPr>
      </w:pPr>
      <w:r>
        <w:rPr>
          <w:rStyle w:val="CharSClsNo"/>
          <w:b/>
          <w:bCs/>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Gazette 20 May 2014 p. 1605.]</w:t>
      </w:r>
    </w:p>
    <w:p>
      <w:pPr>
        <w:pStyle w:val="yMiscellaneousHeading"/>
        <w:pageBreakBefore/>
        <w:rPr>
          <w:b/>
        </w:rPr>
      </w:pPr>
      <w:r>
        <w:rPr>
          <w:rStyle w:val="CharSClsNo"/>
          <w:b/>
          <w:bCs/>
        </w:rPr>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Gazette 20 May 2014 p. 1605</w:t>
      </w:r>
      <w:r>
        <w:noBreakHyphen/>
        <w:t>6.]</w:t>
      </w:r>
    </w:p>
    <w:p>
      <w:pPr>
        <w:pStyle w:val="yMiscellaneousHeading"/>
        <w:pageBreakBefore/>
        <w:rPr>
          <w:b/>
          <w:bCs/>
        </w:rPr>
      </w:pPr>
      <w:r>
        <w:rPr>
          <w:rStyle w:val="CharSClsNo"/>
          <w:b/>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pPr>
              <w:pStyle w:val="yTableNAm"/>
              <w:rPr>
                <w:i/>
              </w:rPr>
            </w:pPr>
            <w:r>
              <w:rPr>
                <w:i/>
                <w:sz w:val="24"/>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szCs w:val="22"/>
              </w:rPr>
              <w:t>[relevant local government and address]</w:t>
            </w:r>
            <w:r>
              <w:t xml:space="preserve"> within 28 days after the date of this notice.</w:t>
            </w:r>
          </w:p>
        </w:tc>
      </w:tr>
    </w:tbl>
    <w:p>
      <w:pPr>
        <w:pStyle w:val="yFootnotesection"/>
        <w:rPr>
          <w:sz w:val="18"/>
          <w:szCs w:val="18"/>
        </w:rPr>
      </w:pPr>
      <w:r>
        <w:tab/>
        <w:t>[Form 8 amended: SL 2020/99 r. 8.]</w:t>
      </w:r>
    </w:p>
    <w:p>
      <w:pPr>
        <w:pStyle w:val="yMiscellaneousHeading"/>
        <w:pageBreakBefore/>
        <w:rPr>
          <w:b/>
          <w:bCs/>
        </w:rPr>
      </w:pPr>
      <w:r>
        <w:rPr>
          <w:rStyle w:val="CharSClsNo"/>
          <w:b/>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46" w:name="_Toc44408097"/>
      <w:bookmarkStart w:id="47" w:name="_Toc44408889"/>
      <w:bookmarkStart w:id="48" w:name="_Toc44408934"/>
      <w:bookmarkStart w:id="49" w:name="_Toc44415150"/>
      <w:r>
        <w:t>Notes</w:t>
      </w:r>
      <w:bookmarkEnd w:id="46"/>
      <w:bookmarkEnd w:id="47"/>
      <w:bookmarkEnd w:id="48"/>
      <w:bookmarkEnd w:id="49"/>
    </w:p>
    <w:p>
      <w:pPr>
        <w:pStyle w:val="nStatement"/>
      </w:pPr>
      <w:r>
        <w:t xml:space="preserve">This is a compilation of the </w:t>
      </w:r>
      <w:r>
        <w:rPr>
          <w:i/>
          <w:noProof/>
        </w:rPr>
        <w:t>Dog Regulations 2013</w:t>
      </w:r>
      <w:r>
        <w:t xml:space="preserve"> and includes amendments made by other written laws. For provisions that have come into operation, and for information about any reprints, see the compilation table.</w:t>
      </w:r>
    </w:p>
    <w:p>
      <w:pPr>
        <w:pStyle w:val="nHeading3"/>
      </w:pPr>
      <w:bookmarkStart w:id="50" w:name="_Toc44415151"/>
      <w:r>
        <w:t>Compilation table</w:t>
      </w:r>
      <w:bookmarkEnd w:id="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bCs/>
                <w:snapToGrid w:val="0"/>
                <w:spacing w:val="-2"/>
              </w:rPr>
              <w:t>r. 1 and 2: 20 May 2014 (see r. 2(a));</w:t>
            </w:r>
            <w:r>
              <w:rPr>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11 Mar 2016 (see r. 2(a));</w:t>
            </w:r>
            <w:r>
              <w:rPr>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24 Jan 2017</w:t>
            </w:r>
            <w:r>
              <w:rPr>
                <w:bCs/>
                <w:snapToGrid w:val="0"/>
                <w:spacing w:val="-2"/>
              </w:rPr>
              <w:t xml:space="preserve"> (see r. 2(a));</w:t>
            </w:r>
            <w:r>
              <w:rPr>
                <w:bCs/>
                <w:snapToGrid w:val="0"/>
                <w:spacing w:val="-2"/>
              </w:rPr>
              <w:br/>
              <w:t xml:space="preserve">Regulations other than r. 1 and 2: </w:t>
            </w:r>
            <w:r>
              <w:t>25 Jan 2017</w:t>
            </w:r>
            <w:r>
              <w:rPr>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Dog Regulations 2013</w:t>
            </w:r>
            <w:r>
              <w:rPr>
                <w:b/>
                <w:bCs/>
                <w:snapToGrid w:val="0"/>
                <w:spacing w:val="-2"/>
              </w:rPr>
              <w:t xml:space="preserve"> as at 1 Sep 2017</w:t>
            </w:r>
            <w:r>
              <w:rPr>
                <w:bCs/>
                <w:snapToGrid w:val="0"/>
                <w:spacing w:val="-2"/>
              </w:rPr>
              <w:t xml:space="preserve"> (includes amendments listed above)</w:t>
            </w:r>
          </w:p>
        </w:tc>
      </w:tr>
      <w:tr>
        <w:tc>
          <w:tcPr>
            <w:tcW w:w="3118" w:type="dxa"/>
            <w:tcBorders>
              <w:top w:val="nil"/>
              <w:bottom w:val="nil"/>
            </w:tcBorders>
          </w:tcPr>
          <w:p>
            <w:pPr>
              <w:pStyle w:val="nTable"/>
              <w:spacing w:after="40"/>
            </w:pPr>
            <w:r>
              <w:rPr>
                <w:i/>
              </w:rPr>
              <w:t>Local Government Regulations Amendment (Cat and Dog) Regulations 2018</w:t>
            </w:r>
            <w:r>
              <w:t xml:space="preserve"> Pt. 3</w:t>
            </w:r>
          </w:p>
        </w:tc>
        <w:tc>
          <w:tcPr>
            <w:tcW w:w="1276" w:type="dxa"/>
            <w:tcBorders>
              <w:top w:val="nil"/>
              <w:bottom w:val="nil"/>
            </w:tcBorders>
          </w:tcPr>
          <w:p>
            <w:pPr>
              <w:pStyle w:val="nTable"/>
              <w:spacing w:after="40"/>
            </w:pPr>
            <w:r>
              <w:t>23 Mar 2018 p. 1025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24 Mar 2018 (see r. 2(b))</w:t>
            </w:r>
          </w:p>
        </w:tc>
      </w:tr>
      <w:tr>
        <w:tc>
          <w:tcPr>
            <w:tcW w:w="3118" w:type="dxa"/>
            <w:tcBorders>
              <w:top w:val="nil"/>
              <w:bottom w:val="nil"/>
            </w:tcBorders>
          </w:tcPr>
          <w:p>
            <w:pPr>
              <w:pStyle w:val="nTable"/>
              <w:spacing w:after="40"/>
              <w:rPr>
                <w:i/>
              </w:rPr>
            </w:pPr>
            <w:r>
              <w:rPr>
                <w:i/>
              </w:rPr>
              <w:t>Dog Amendment Regulations 2020</w:t>
            </w:r>
          </w:p>
        </w:tc>
        <w:tc>
          <w:tcPr>
            <w:tcW w:w="1276" w:type="dxa"/>
            <w:tcBorders>
              <w:top w:val="nil"/>
              <w:bottom w:val="nil"/>
            </w:tcBorders>
          </w:tcPr>
          <w:p>
            <w:pPr>
              <w:pStyle w:val="nTable"/>
              <w:spacing w:after="40"/>
            </w:pPr>
            <w:r>
              <w:t>SL 2020/9 25 Feb 2020</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25 Feb 2020</w:t>
            </w:r>
            <w:r>
              <w:rPr>
                <w:bCs/>
                <w:snapToGrid w:val="0"/>
                <w:spacing w:val="-2"/>
              </w:rPr>
              <w:t xml:space="preserve"> (see r. 2(a));</w:t>
            </w:r>
            <w:r>
              <w:rPr>
                <w:bCs/>
                <w:snapToGrid w:val="0"/>
                <w:spacing w:val="-2"/>
              </w:rPr>
              <w:br/>
              <w:t xml:space="preserve">Regulations other than r. 1 and 2: </w:t>
            </w:r>
            <w:r>
              <w:t>26 Feb 2020</w:t>
            </w:r>
            <w:r>
              <w:rPr>
                <w:bCs/>
                <w:snapToGrid w:val="0"/>
                <w:spacing w:val="-2"/>
              </w:rPr>
              <w:t xml:space="preserve"> (see r. 2(b))</w:t>
            </w:r>
          </w:p>
        </w:tc>
      </w:tr>
      <w:tr>
        <w:tc>
          <w:tcPr>
            <w:tcW w:w="3118" w:type="dxa"/>
            <w:tcBorders>
              <w:top w:val="nil"/>
              <w:bottom w:val="nil"/>
            </w:tcBorders>
          </w:tcPr>
          <w:p>
            <w:pPr>
              <w:pStyle w:val="nTable"/>
              <w:spacing w:after="40"/>
              <w:rPr>
                <w:i/>
              </w:rPr>
            </w:pPr>
            <w:r>
              <w:rPr>
                <w:i/>
              </w:rPr>
              <w:t>Dog Amendment Regulations (No. 2) 2020</w:t>
            </w:r>
          </w:p>
        </w:tc>
        <w:tc>
          <w:tcPr>
            <w:tcW w:w="1276" w:type="dxa"/>
            <w:tcBorders>
              <w:top w:val="nil"/>
              <w:bottom w:val="nil"/>
            </w:tcBorders>
          </w:tcPr>
          <w:p>
            <w:pPr>
              <w:pStyle w:val="nTable"/>
              <w:spacing w:after="40"/>
            </w:pPr>
            <w:r>
              <w:t>SL 2020/70 5 Jun 2020</w:t>
            </w:r>
          </w:p>
        </w:tc>
        <w:tc>
          <w:tcPr>
            <w:tcW w:w="2693" w:type="dxa"/>
            <w:tcBorders>
              <w:top w:val="nil"/>
              <w:bottom w:val="nil"/>
            </w:tcBorders>
          </w:tcPr>
          <w:p>
            <w:pPr>
              <w:pStyle w:val="nTable"/>
              <w:spacing w:after="40"/>
              <w:rPr>
                <w:bCs/>
                <w:snapToGrid w:val="0"/>
                <w:spacing w:val="-2"/>
              </w:rPr>
            </w:pPr>
            <w:r>
              <w:rPr>
                <w:bCs/>
                <w:snapToGrid w:val="0"/>
                <w:spacing w:val="-2"/>
              </w:rPr>
              <w:t>r. 1 and 2: 5 Jun 2020 (see r. 2(a));</w:t>
            </w:r>
            <w:r>
              <w:rPr>
                <w:bCs/>
                <w:snapToGrid w:val="0"/>
                <w:spacing w:val="-2"/>
              </w:rPr>
              <w:br/>
              <w:t>Regulations other than r. 1 and 2: 6 Jun 2020 (see r. 2(b))</w:t>
            </w:r>
          </w:p>
        </w:tc>
      </w:tr>
      <w:tr>
        <w:tc>
          <w:tcPr>
            <w:tcW w:w="3118" w:type="dxa"/>
            <w:tcBorders>
              <w:top w:val="nil"/>
              <w:bottom w:val="nil"/>
            </w:tcBorders>
          </w:tcPr>
          <w:p>
            <w:pPr>
              <w:pStyle w:val="nTable"/>
              <w:spacing w:after="40"/>
              <w:rPr>
                <w:i/>
              </w:rPr>
            </w:pPr>
            <w:r>
              <w:rPr>
                <w:i/>
              </w:rPr>
              <w:t>Dog Amendment Regulations (No. 3) 2020</w:t>
            </w:r>
          </w:p>
        </w:tc>
        <w:tc>
          <w:tcPr>
            <w:tcW w:w="1276" w:type="dxa"/>
            <w:tcBorders>
              <w:top w:val="nil"/>
              <w:bottom w:val="nil"/>
            </w:tcBorders>
          </w:tcPr>
          <w:p>
            <w:pPr>
              <w:pStyle w:val="nTable"/>
              <w:spacing w:after="40"/>
            </w:pPr>
            <w:r>
              <w:t>SL 2020/98 30 Jun 2020</w:t>
            </w:r>
          </w:p>
        </w:tc>
        <w:tc>
          <w:tcPr>
            <w:tcW w:w="2693" w:type="dxa"/>
            <w:tcBorders>
              <w:top w:val="nil"/>
              <w:bottom w:val="nil"/>
            </w:tcBorders>
          </w:tcPr>
          <w:p>
            <w:pPr>
              <w:pStyle w:val="nTable"/>
              <w:spacing w:after="40"/>
              <w:rPr>
                <w:bCs/>
                <w:snapToGrid w:val="0"/>
                <w:spacing w:val="-2"/>
              </w:rPr>
            </w:pPr>
            <w:r>
              <w:rPr>
                <w:bCs/>
                <w:snapToGrid w:val="0"/>
                <w:spacing w:val="-2"/>
              </w:rPr>
              <w:t>r. 1 and 2: 30 Jun 2020 (see r. 2(a));</w:t>
            </w:r>
            <w:r>
              <w:rPr>
                <w:bCs/>
                <w:snapToGrid w:val="0"/>
                <w:spacing w:val="-2"/>
              </w:rPr>
              <w:br/>
              <w:t>Regulations other than r. 1 and 2: 1 Jul 2020 (see r. 2(b))</w:t>
            </w:r>
          </w:p>
        </w:tc>
      </w:tr>
      <w:tr>
        <w:trPr>
          <w:cantSplit/>
        </w:trPr>
        <w:tc>
          <w:tcPr>
            <w:tcW w:w="3118" w:type="dxa"/>
            <w:tcBorders>
              <w:top w:val="nil"/>
              <w:bottom w:val="single" w:sz="4" w:space="0" w:color="auto"/>
            </w:tcBorders>
          </w:tcPr>
          <w:p>
            <w:pPr>
              <w:pStyle w:val="nTable"/>
              <w:spacing w:after="40"/>
              <w:rPr>
                <w:i/>
              </w:rPr>
            </w:pPr>
            <w:r>
              <w:rPr>
                <w:i/>
              </w:rPr>
              <w:t>Local Government Regulations Amendment (Payment Method) Regulations 2020</w:t>
            </w:r>
            <w:r>
              <w:t xml:space="preserve"> Pt. 4</w:t>
            </w:r>
          </w:p>
        </w:tc>
        <w:tc>
          <w:tcPr>
            <w:tcW w:w="1276" w:type="dxa"/>
            <w:tcBorders>
              <w:top w:val="nil"/>
              <w:bottom w:val="single" w:sz="4" w:space="0" w:color="auto"/>
            </w:tcBorders>
          </w:tcPr>
          <w:p>
            <w:pPr>
              <w:pStyle w:val="nTable"/>
              <w:spacing w:after="40"/>
            </w:pPr>
            <w:r>
              <w:t>SL 2020/99</w:t>
            </w:r>
            <w:r>
              <w:br/>
              <w:t>30 Jun 2020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1 Jul 2020 (see r. 2(b))</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52" w:name="_Toc44408099"/>
      <w:bookmarkStart w:id="53" w:name="_Toc44408891"/>
      <w:bookmarkStart w:id="54" w:name="_Toc44408936"/>
      <w:bookmarkStart w:id="55" w:name="_Toc44415152"/>
      <w:r>
        <w:rPr>
          <w:sz w:val="28"/>
        </w:rPr>
        <w:t>Defined terms</w:t>
      </w:r>
      <w:bookmarkEnd w:id="52"/>
      <w:bookmarkEnd w:id="53"/>
      <w:bookmarkEnd w:id="54"/>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infringement notice</w:t>
      </w:r>
      <w:r>
        <w:tab/>
        <w:t>35(1)</w:t>
      </w:r>
    </w:p>
    <w:p>
      <w:pPr>
        <w:pStyle w:val="DefinedTerms"/>
      </w:pPr>
      <w:r>
        <w:t>pensioner</w:t>
      </w:r>
      <w:r>
        <w:tab/>
        <w:t>17(1)</w:t>
      </w:r>
    </w:p>
    <w:p>
      <w:pPr>
        <w:pStyle w:val="DefinedTerms"/>
      </w:pPr>
      <w:r>
        <w:t>place control provision</w:t>
      </w:r>
      <w:r>
        <w:tab/>
        <w:t>37(1)</w:t>
      </w:r>
    </w:p>
    <w:p>
      <w:pPr>
        <w:pStyle w:val="DefinedTerms"/>
      </w:pPr>
      <w:r>
        <w:t>registered training provider</w:t>
      </w:r>
      <w:r>
        <w:tab/>
        <w:t>9(1)</w:t>
      </w:r>
    </w:p>
    <w:p>
      <w:pPr>
        <w:pStyle w:val="DefinedTerms"/>
      </w:pPr>
      <w:r>
        <w:t>RWWA</w:t>
      </w:r>
      <w:r>
        <w:tab/>
        <w:t>3</w:t>
      </w:r>
    </w:p>
    <w:p>
      <w:pPr>
        <w:pStyle w:val="DefinedTerms"/>
      </w:pPr>
      <w:r>
        <w:t>section</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30110031"/>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 w:name="WAFER_202002241017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1711_GUID" w:val="3a3f53e1-57c8-47fe-9385-35cdf8c3245a"/>
    <w:docVar w:name="WAFER_20200604120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4120323_GUID" w:val="419a7263-61b5-4b0a-89bd-2eb33bc99d86"/>
    <w:docVar w:name="WAFER_20200630110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10031_GUID" w:val="b1d35310-be44-410f-b0f0-e453286a82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image" Target="media/image5.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689BA-3284-48F6-8584-8E26F0599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7990</Words>
  <Characters>43312</Characters>
  <Application>Microsoft Office Word</Application>
  <DocSecurity>0</DocSecurity>
  <Lines>1804</Lines>
  <Paragraphs>1091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2013 - 01-e0-01</dc:title>
  <dc:subject/>
  <dc:creator/>
  <cp:keywords/>
  <dc:description/>
  <cp:lastModifiedBy>svcMRProcess</cp:lastModifiedBy>
  <cp:revision>4</cp:revision>
  <cp:lastPrinted>2017-09-05T01:09:00Z</cp:lastPrinted>
  <dcterms:created xsi:type="dcterms:W3CDTF">2020-07-01T03:33:00Z</dcterms:created>
  <dcterms:modified xsi:type="dcterms:W3CDTF">2020-07-01T03:33:00Z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AsAtDate">
    <vt:lpwstr>01 Jul 2020</vt:lpwstr>
  </property>
  <property fmtid="{D5CDD505-2E9C-101B-9397-08002B2CF9AE}" pid="8" name="Suffix">
    <vt:lpwstr>01-e0-01</vt:lpwstr>
  </property>
  <property fmtid="{D5CDD505-2E9C-101B-9397-08002B2CF9AE}" pid="9" name="CommencementDate">
    <vt:lpwstr>20200701</vt:lpwstr>
  </property>
</Properties>
</file>