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Code Act Compilation Act 1913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Code (Infringement Notices)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Code (Infringement Notices)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_Toc44581083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_Toc44581084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_Toc44581085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offences under </w:t>
      </w:r>
      <w:r>
        <w:rPr>
          <w:i/>
          <w:snapToGrid w:val="0"/>
        </w:rPr>
        <w:t>The Criminal Code</w:t>
      </w:r>
      <w:r>
        <w:rPr>
          <w:snapToGrid w:val="0"/>
        </w:rPr>
        <w:t xml:space="preserve"> and modified penalties</w:t>
      </w:r>
      <w:r>
        <w:tab/>
      </w:r>
      <w:r>
        <w:fldChar w:fldCharType="begin"/>
      </w:r>
      <w:r>
        <w:instrText xml:space="preserve"> PAGEREF _Toc44581086 \h </w:instrText>
      </w:r>
      <w:r>
        <w:fldChar w:fldCharType="separate"/>
      </w:r>
      <w:r>
        <w:t>1</w:t>
      </w:r>
      <w:r>
        <w:fldChar w:fldCharType="end"/>
      </w:r>
    </w:p>
    <w:p>
      <w:pPr>
        <w:pStyle w:val="TOC8"/>
        <w:rPr>
          <w:rFonts w:asciiTheme="minorHAnsi" w:eastAsiaTheme="minorEastAsia" w:hAnsiTheme="minorHAnsi" w:cstheme="minorBidi"/>
          <w:szCs w:val="22"/>
        </w:rPr>
      </w:pPr>
      <w:r>
        <w:t>5.</w:t>
      </w:r>
      <w:r>
        <w:tab/>
        <w:t>When infringement notices cannot be issued (</w:t>
      </w:r>
      <w:r>
        <w:rPr>
          <w:i/>
        </w:rPr>
        <w:t>The Criminal Code</w:t>
      </w:r>
      <w:r>
        <w:t xml:space="preserve"> s. 721(3)(b) and (c))</w:t>
      </w:r>
      <w:r>
        <w:tab/>
      </w:r>
      <w:r>
        <w:fldChar w:fldCharType="begin"/>
      </w:r>
      <w:r>
        <w:instrText xml:space="preserve"> PAGEREF _Toc44581087 \h </w:instrText>
      </w:r>
      <w:r>
        <w:fldChar w:fldCharType="separate"/>
      </w:r>
      <w:r>
        <w:t>2</w:t>
      </w:r>
      <w:r>
        <w:fldChar w:fldCharType="end"/>
      </w:r>
    </w:p>
    <w:p>
      <w:pPr>
        <w:pStyle w:val="TOC8"/>
        <w:rPr>
          <w:rFonts w:asciiTheme="minorHAnsi" w:eastAsiaTheme="minorEastAsia" w:hAnsiTheme="minorHAnsi" w:cstheme="minorBidi"/>
          <w:szCs w:val="22"/>
        </w:rPr>
      </w:pPr>
      <w:r>
        <w:t>6.</w:t>
      </w:r>
      <w:r>
        <w:tab/>
        <w:t>Authorised officers and approved officers</w:t>
      </w:r>
      <w:r>
        <w:tab/>
      </w:r>
      <w:r>
        <w:fldChar w:fldCharType="begin"/>
      </w:r>
      <w:r>
        <w:instrText xml:space="preserve"> PAGEREF _Toc44581088 \h </w:instrText>
      </w:r>
      <w:r>
        <w:fldChar w:fldCharType="separate"/>
      </w:r>
      <w:r>
        <w:t>2</w:t>
      </w:r>
      <w:r>
        <w:fldChar w:fldCharType="end"/>
      </w:r>
    </w:p>
    <w:p>
      <w:pPr>
        <w:pStyle w:val="TOC8"/>
        <w:rPr>
          <w:rFonts w:asciiTheme="minorHAnsi" w:eastAsiaTheme="minorEastAsia" w:hAnsiTheme="minorHAnsi" w:cstheme="minorBidi"/>
          <w:szCs w:val="22"/>
        </w:rPr>
      </w:pPr>
      <w:r>
        <w:t>7.</w:t>
      </w:r>
      <w:r>
        <w:tab/>
        <w:t>Forms</w:t>
      </w:r>
      <w:r>
        <w:tab/>
      </w:r>
      <w:r>
        <w:fldChar w:fldCharType="begin"/>
      </w:r>
      <w:r>
        <w:instrText xml:space="preserve"> PAGEREF _Toc44581089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_Toc44581093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Code Act Compilation Act 1913</w:t>
      </w:r>
    </w:p>
    <w:p>
      <w:pPr>
        <w:pStyle w:val="NameofActReg"/>
      </w:pPr>
      <w:r>
        <w:t>Criminal Code (Infringement Notices) Regulations 2015</w:t>
      </w:r>
    </w:p>
    <w:p>
      <w:pPr>
        <w:pStyle w:val="Heading5"/>
      </w:pPr>
      <w:bookmarkStart w:id="3" w:name="_Toc44581083"/>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Criminal Code (Infringement Notices) Regulations 2015</w:t>
      </w:r>
      <w:r>
        <w:t>.</w:t>
      </w:r>
    </w:p>
    <w:p>
      <w:pPr>
        <w:pStyle w:val="Heading5"/>
        <w:rPr>
          <w:spacing w:val="-2"/>
        </w:rPr>
      </w:pPr>
      <w:bookmarkStart w:id="5" w:name="_Toc4458108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Criminal Code Amendment (Infringement Notices) Act 2011</w:t>
      </w:r>
      <w:r>
        <w:rPr>
          <w:spacing w:val="-2"/>
        </w:rPr>
        <w:t>, other than sections 1 and 2, comes into operation.</w:t>
      </w:r>
    </w:p>
    <w:p>
      <w:pPr>
        <w:pStyle w:val="Heading5"/>
      </w:pPr>
      <w:bookmarkStart w:id="6" w:name="_Toc44581085"/>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Certificate of Authority</w:t>
      </w:r>
      <w:r>
        <w:t xml:space="preserve"> has the meaning given in the </w:t>
      </w:r>
      <w:r>
        <w:rPr>
          <w:i/>
        </w:rPr>
        <w:t>Police Force Regulations 1979</w:t>
      </w:r>
      <w:r>
        <w:t xml:space="preserve"> regulation 901A;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CP Act</w:t>
      </w:r>
      <w:r>
        <w:t xml:space="preserve"> means the </w:t>
      </w:r>
      <w:r>
        <w:rPr>
          <w:i/>
        </w:rPr>
        <w:t>Criminal Procedure Act 2004</w:t>
      </w:r>
      <w:r>
        <w:t>;</w:t>
      </w:r>
    </w:p>
    <w:p>
      <w:pPr>
        <w:pStyle w:val="Defstart"/>
      </w:pPr>
      <w:r>
        <w:tab/>
      </w:r>
      <w:r>
        <w:rPr>
          <w:rStyle w:val="CharDefText"/>
        </w:rPr>
        <w:t>Form</w:t>
      </w:r>
      <w:r>
        <w:t>, followed by a number, means the form of that number in Schedule 2;</w:t>
      </w:r>
    </w:p>
    <w:p>
      <w:pPr>
        <w:pStyle w:val="Defstart"/>
      </w:pPr>
      <w:r>
        <w:tab/>
      </w:r>
      <w:r>
        <w:rPr>
          <w:rStyle w:val="CharDefText"/>
        </w:rPr>
        <w:t>senior police officer</w:t>
      </w:r>
      <w:r>
        <w:t xml:space="preserve"> has the meaning given in the </w:t>
      </w:r>
      <w:r>
        <w:rPr>
          <w:i/>
        </w:rPr>
        <w:t>Criminal Investigation Act 2006</w:t>
      </w:r>
      <w:r>
        <w:t xml:space="preserve"> section 3(1).</w:t>
      </w:r>
    </w:p>
    <w:p>
      <w:pPr>
        <w:pStyle w:val="Heading5"/>
        <w:rPr>
          <w:snapToGrid w:val="0"/>
        </w:rPr>
      </w:pPr>
      <w:bookmarkStart w:id="7" w:name="_Toc44581086"/>
      <w:r>
        <w:rPr>
          <w:rStyle w:val="CharSectno"/>
        </w:rPr>
        <w:t>4</w:t>
      </w:r>
      <w:r>
        <w:rPr>
          <w:snapToGrid w:val="0"/>
        </w:rPr>
        <w:t>.</w:t>
      </w:r>
      <w:r>
        <w:rPr>
          <w:snapToGrid w:val="0"/>
        </w:rPr>
        <w:tab/>
        <w:t xml:space="preserve">Prescribed offences under </w:t>
      </w:r>
      <w:r>
        <w:rPr>
          <w:i/>
          <w:snapToGrid w:val="0"/>
        </w:rPr>
        <w:t>The Criminal Code</w:t>
      </w:r>
      <w:r>
        <w:rPr>
          <w:snapToGrid w:val="0"/>
        </w:rPr>
        <w:t xml:space="preserve"> and modified penalties</w:t>
      </w:r>
      <w:bookmarkEnd w:id="7"/>
    </w:p>
    <w:p>
      <w:pPr>
        <w:pStyle w:val="Subsection"/>
      </w:pPr>
      <w:r>
        <w:tab/>
        <w:t>(1)</w:t>
      </w:r>
      <w:r>
        <w:tab/>
        <w:t xml:space="preserve">The offences under </w:t>
      </w:r>
      <w:r>
        <w:rPr>
          <w:i/>
        </w:rPr>
        <w:t>The Criminal Code</w:t>
      </w:r>
      <w:r>
        <w:t xml:space="preserve"> that are specified in Schedule 1 are offences for which an infringement notice may be issued under the CP Act Part 2.</w:t>
      </w:r>
    </w:p>
    <w:p>
      <w:pPr>
        <w:pStyle w:val="Subsection"/>
      </w:pPr>
      <w:r>
        <w:tab/>
        <w:t>(2)</w:t>
      </w:r>
      <w:r>
        <w:tab/>
        <w:t>The modified penalty specified opposite an offence in Schedule 1 is the modified penalty for that offence for the purposes of the CP Act section 5(3).</w:t>
      </w:r>
    </w:p>
    <w:p>
      <w:pPr>
        <w:pStyle w:val="Heading5"/>
      </w:pPr>
      <w:bookmarkStart w:id="8" w:name="_Toc44581087"/>
      <w:r>
        <w:rPr>
          <w:rStyle w:val="CharSectno"/>
        </w:rPr>
        <w:t>5</w:t>
      </w:r>
      <w:r>
        <w:t>.</w:t>
      </w:r>
      <w:r>
        <w:tab/>
        <w:t>When infringement notices cannot be issued (</w:t>
      </w:r>
      <w:r>
        <w:rPr>
          <w:i/>
        </w:rPr>
        <w:t>The Criminal Code</w:t>
      </w:r>
      <w:r>
        <w:t xml:space="preserve"> s. 721(3)(b) and (c))</w:t>
      </w:r>
      <w:bookmarkEnd w:id="8"/>
    </w:p>
    <w:p>
      <w:pPr>
        <w:pStyle w:val="Subsection"/>
      </w:pPr>
      <w:r>
        <w:tab/>
      </w:r>
      <w:r>
        <w:tab/>
        <w:t xml:space="preserve">However, an infringement notice cannot be issued under the CP Act Part 2 for an offence specified in Schedule 1 in the following situations — </w:t>
      </w:r>
    </w:p>
    <w:p>
      <w:pPr>
        <w:pStyle w:val="Indenta"/>
      </w:pPr>
      <w:r>
        <w:tab/>
        <w:t>(a)</w:t>
      </w:r>
      <w:r>
        <w:tab/>
        <w:t xml:space="preserve">if, on the day on which the alleged offence is believed to have been committed, the alleged offender is under 17 years of age; </w:t>
      </w:r>
    </w:p>
    <w:p>
      <w:pPr>
        <w:pStyle w:val="Indenta"/>
      </w:pPr>
      <w:r>
        <w:tab/>
        <w:t>(b)</w:t>
      </w:r>
      <w:r>
        <w:tab/>
        <w:t xml:space="preserve">if — </w:t>
      </w:r>
    </w:p>
    <w:p>
      <w:pPr>
        <w:pStyle w:val="Indenti"/>
      </w:pPr>
      <w:r>
        <w:tab/>
        <w:t>(i)</w:t>
      </w:r>
      <w:r>
        <w:tab/>
        <w:t xml:space="preserve">the alleged offence is under </w:t>
      </w:r>
      <w:r>
        <w:rPr>
          <w:i/>
        </w:rPr>
        <w:t>The Criminal Code</w:t>
      </w:r>
      <w:r>
        <w:t xml:space="preserve"> section 378; and</w:t>
      </w:r>
    </w:p>
    <w:p>
      <w:pPr>
        <w:pStyle w:val="Indenti"/>
      </w:pPr>
      <w:r>
        <w:tab/>
        <w:t>(ii)</w:t>
      </w:r>
      <w:r>
        <w:tab/>
        <w:t>the value of the thing alleged to have been stolen exceeds $500;</w:t>
      </w:r>
    </w:p>
    <w:p>
      <w:pPr>
        <w:pStyle w:val="Indenta"/>
      </w:pPr>
      <w:r>
        <w:tab/>
        <w:t>(c)</w:t>
      </w:r>
      <w:r>
        <w:tab/>
        <w:t xml:space="preserve">if  — </w:t>
      </w:r>
    </w:p>
    <w:p>
      <w:pPr>
        <w:pStyle w:val="Indenti"/>
      </w:pPr>
      <w:r>
        <w:tab/>
        <w:t>(i)</w:t>
      </w:r>
      <w:r>
        <w:tab/>
        <w:t xml:space="preserve">the alleged offence is under </w:t>
      </w:r>
      <w:r>
        <w:rPr>
          <w:i/>
        </w:rPr>
        <w:t>The Criminal Code</w:t>
      </w:r>
      <w:r>
        <w:t xml:space="preserve"> section 417(1); and </w:t>
      </w:r>
    </w:p>
    <w:p>
      <w:pPr>
        <w:pStyle w:val="Indenti"/>
      </w:pPr>
      <w:r>
        <w:tab/>
        <w:t>(ii)</w:t>
      </w:r>
      <w:r>
        <w:tab/>
        <w:t>the value of the thing alleged to have been in the possession of the alleged offender exceeds $500;</w:t>
      </w:r>
    </w:p>
    <w:p>
      <w:pPr>
        <w:pStyle w:val="Indenta"/>
      </w:pPr>
      <w:r>
        <w:tab/>
        <w:t>(d)</w:t>
      </w:r>
      <w:r>
        <w:tab/>
        <w:t xml:space="preserve">if — </w:t>
      </w:r>
    </w:p>
    <w:p>
      <w:pPr>
        <w:pStyle w:val="Indenti"/>
      </w:pPr>
      <w:r>
        <w:tab/>
        <w:t>(i)</w:t>
      </w:r>
      <w:r>
        <w:tab/>
        <w:t xml:space="preserve">the alleged offence is under </w:t>
      </w:r>
      <w:r>
        <w:rPr>
          <w:i/>
        </w:rPr>
        <w:t>The Criminal Code</w:t>
      </w:r>
      <w:r>
        <w:t xml:space="preserve"> section 445; and </w:t>
      </w:r>
    </w:p>
    <w:p>
      <w:pPr>
        <w:pStyle w:val="Indenti"/>
      </w:pPr>
      <w:r>
        <w:tab/>
        <w:t>(ii)</w:t>
      </w:r>
      <w:r>
        <w:tab/>
        <w:t>the value of the property alleged to have been destroyed or damaged exceeds $500.</w:t>
      </w:r>
    </w:p>
    <w:p>
      <w:pPr>
        <w:pStyle w:val="Footnotesection"/>
      </w:pPr>
      <w:r>
        <w:tab/>
        <w:t>[Regulation 5 amended: SL 2020/110 r. 4.]</w:t>
      </w:r>
    </w:p>
    <w:p>
      <w:pPr>
        <w:pStyle w:val="Heading5"/>
      </w:pPr>
      <w:bookmarkStart w:id="9" w:name="_Toc44581088"/>
      <w:r>
        <w:rPr>
          <w:rStyle w:val="CharSectno"/>
        </w:rPr>
        <w:t>6</w:t>
      </w:r>
      <w:r>
        <w:t>.</w:t>
      </w:r>
      <w:r>
        <w:tab/>
        <w:t>Authorised officers and approved officers</w:t>
      </w:r>
      <w:bookmarkEnd w:id="9"/>
    </w:p>
    <w:p>
      <w:pPr>
        <w:pStyle w:val="Subsection"/>
      </w:pPr>
      <w:r>
        <w:tab/>
        <w:t>(1)</w:t>
      </w:r>
      <w:r>
        <w:tab/>
        <w:t>Every police officer, other than a senior police officer, is an authorised officer for the purposes of the CP Act Part 2.</w:t>
      </w:r>
    </w:p>
    <w:p>
      <w:pPr>
        <w:pStyle w:val="Subsection"/>
      </w:pPr>
      <w:r>
        <w:tab/>
        <w:t>(2)</w:t>
      </w:r>
      <w:r>
        <w:tab/>
        <w:t>A police officer who is an authorised officer under subregulation (1) can show that he or she is authorised to issue infringement notices by showing his or her Certificate of Authority.</w:t>
      </w:r>
    </w:p>
    <w:p>
      <w:pPr>
        <w:pStyle w:val="Subsection"/>
      </w:pPr>
      <w:r>
        <w:tab/>
        <w:t>(3)</w:t>
      </w:r>
      <w:r>
        <w:tab/>
        <w:t>Every senior police officer is an approved officer for the purposes of the CP Act Part 2.</w:t>
      </w:r>
    </w:p>
    <w:p>
      <w:pPr>
        <w:pStyle w:val="Subsection"/>
      </w:pPr>
      <w:r>
        <w:tab/>
        <w:t>(4)</w:t>
      </w:r>
      <w:r>
        <w:tab/>
        <w:t>The Commissioner of Police may, in writing, appoint a person who is not a police officer to be an approved officer for the purposes of the CP Act Part 2.</w:t>
      </w:r>
    </w:p>
    <w:p>
      <w:pPr>
        <w:pStyle w:val="Subsection"/>
      </w:pPr>
      <w:r>
        <w:tab/>
        <w:t>(5)</w:t>
      </w:r>
      <w:r>
        <w:tab/>
        <w:t xml:space="preserve">An appointment under subregulation (4) may be made — </w:t>
      </w:r>
    </w:p>
    <w:p>
      <w:pPr>
        <w:pStyle w:val="Indenta"/>
      </w:pPr>
      <w:r>
        <w:tab/>
        <w:t>(a)</w:t>
      </w:r>
      <w:r>
        <w:tab/>
        <w:t>for the purposes of the CP Act section 9(1)(f)(iii), 14 or 15 or the purposes of 2 or more of those sections; and</w:t>
      </w:r>
    </w:p>
    <w:p>
      <w:pPr>
        <w:pStyle w:val="Indenta"/>
      </w:pPr>
      <w:r>
        <w:tab/>
        <w:t>(b)</w:t>
      </w:r>
      <w:r>
        <w:tab/>
        <w:t>in respect of a specified person or persons of a specified class.</w:t>
      </w:r>
    </w:p>
    <w:p>
      <w:pPr>
        <w:pStyle w:val="Heading5"/>
      </w:pPr>
      <w:bookmarkStart w:id="10" w:name="_Toc44581089"/>
      <w:r>
        <w:rPr>
          <w:rStyle w:val="CharSectno"/>
        </w:rPr>
        <w:t>7</w:t>
      </w:r>
      <w:r>
        <w:t>.</w:t>
      </w:r>
      <w:r>
        <w:tab/>
        <w:t>Forms</w:t>
      </w:r>
      <w:bookmarkEnd w:id="10"/>
    </w:p>
    <w:p>
      <w:pPr>
        <w:pStyle w:val="Subsection"/>
      </w:pPr>
      <w:r>
        <w:tab/>
      </w:r>
      <w:r>
        <w:tab/>
        <w:t xml:space="preserve">For the purposes of the CP Act Part 2 — </w:t>
      </w:r>
    </w:p>
    <w:p>
      <w:pPr>
        <w:pStyle w:val="Indenta"/>
      </w:pPr>
      <w:r>
        <w:tab/>
        <w:t>(a)</w:t>
      </w:r>
      <w:r>
        <w:tab/>
        <w:t>Form 1 is the prescribed form for an infringement notice; and</w:t>
      </w:r>
    </w:p>
    <w:p>
      <w:pPr>
        <w:pStyle w:val="Indenta"/>
      </w:pPr>
      <w:r>
        <w:tab/>
        <w:t>(b)</w:t>
      </w:r>
      <w:r>
        <w:tab/>
        <w:t>Form 2 is the prescribed form for the withdrawal of an infringement notice.</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rPr>
          <w:rStyle w:val="CharSchText"/>
        </w:rPr>
      </w:pPr>
      <w:bookmarkStart w:id="11" w:name="_Toc44575705"/>
      <w:bookmarkStart w:id="12" w:name="_Toc44581090"/>
      <w:bookmarkStart w:id="13" w:name="_Toc44573864"/>
      <w:r>
        <w:rPr>
          <w:rStyle w:val="CharSchNo"/>
        </w:rPr>
        <w:t>Schedule 1</w:t>
      </w:r>
      <w:r>
        <w:rPr>
          <w:rStyle w:val="CharSDivNo"/>
          <w:sz w:val="28"/>
          <w:szCs w:val="28"/>
        </w:rPr>
        <w:t> </w:t>
      </w:r>
      <w:r>
        <w:rPr>
          <w:szCs w:val="28"/>
        </w:rPr>
        <w:t>—</w:t>
      </w:r>
      <w:r>
        <w:rPr>
          <w:rStyle w:val="CharSDivText"/>
          <w:sz w:val="28"/>
          <w:szCs w:val="28"/>
        </w:rPr>
        <w:t> </w:t>
      </w:r>
      <w:r>
        <w:rPr>
          <w:rStyle w:val="CharSchText"/>
        </w:rPr>
        <w:t>Prescribed offences and modified penalties</w:t>
      </w:r>
      <w:bookmarkEnd w:id="11"/>
      <w:bookmarkEnd w:id="12"/>
    </w:p>
    <w:p>
      <w:pPr>
        <w:pStyle w:val="yShoulderClause"/>
      </w:pPr>
      <w:r>
        <w:t>[r. 4]</w:t>
      </w:r>
    </w:p>
    <w:p>
      <w:pPr>
        <w:pStyle w:val="yFootnoteheading"/>
        <w:spacing w:after="120"/>
      </w:pPr>
      <w:r>
        <w:tab/>
        <w:t>[Heading inserted: SL 2020/110 r. 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134"/>
        <w:gridCol w:w="3907"/>
        <w:gridCol w:w="1445"/>
      </w:tblGrid>
      <w:tr>
        <w:trPr>
          <w:tblHeader/>
        </w:trPr>
        <w:tc>
          <w:tcPr>
            <w:tcW w:w="5608" w:type="dxa"/>
            <w:gridSpan w:val="3"/>
            <w:noWrap/>
          </w:tcPr>
          <w:p>
            <w:pPr>
              <w:pStyle w:val="yTableNAm"/>
              <w:jc w:val="center"/>
              <w:rPr>
                <w:b/>
                <w:bCs/>
              </w:rPr>
            </w:pPr>
            <w:r>
              <w:rPr>
                <w:b/>
                <w:bCs/>
              </w:rPr>
              <w:t xml:space="preserve">Offences under </w:t>
            </w:r>
            <w:r>
              <w:rPr>
                <w:b/>
                <w:bCs/>
                <w:i/>
              </w:rPr>
              <w:t>The Criminal Code</w:t>
            </w:r>
          </w:p>
        </w:tc>
        <w:tc>
          <w:tcPr>
            <w:tcW w:w="1445" w:type="dxa"/>
            <w:noWrap/>
          </w:tcPr>
          <w:p>
            <w:pPr>
              <w:pStyle w:val="yTableNAm"/>
              <w:jc w:val="center"/>
              <w:rPr>
                <w:b/>
                <w:bCs/>
              </w:rPr>
            </w:pPr>
            <w:r>
              <w:rPr>
                <w:b/>
                <w:bCs/>
              </w:rPr>
              <w:t>Modified penalty</w:t>
            </w:r>
          </w:p>
        </w:tc>
      </w:tr>
      <w:tr>
        <w:tc>
          <w:tcPr>
            <w:tcW w:w="567" w:type="dxa"/>
            <w:noWrap/>
          </w:tcPr>
          <w:p>
            <w:pPr>
              <w:pStyle w:val="yTableNAm"/>
            </w:pPr>
            <w:r>
              <w:t>1.</w:t>
            </w:r>
          </w:p>
        </w:tc>
        <w:tc>
          <w:tcPr>
            <w:tcW w:w="1134" w:type="dxa"/>
            <w:noWrap/>
          </w:tcPr>
          <w:p>
            <w:pPr>
              <w:pStyle w:val="yTableNAm"/>
            </w:pPr>
            <w:r>
              <w:t>s. 70A(2)</w:t>
            </w:r>
          </w:p>
        </w:tc>
        <w:tc>
          <w:tcPr>
            <w:tcW w:w="3907" w:type="dxa"/>
            <w:noWrap/>
          </w:tcPr>
          <w:p>
            <w:pPr>
              <w:pStyle w:val="yTableNAm"/>
            </w:pPr>
            <w:r>
              <w:t>Trespassing</w:t>
            </w:r>
          </w:p>
        </w:tc>
        <w:tc>
          <w:tcPr>
            <w:tcW w:w="1445" w:type="dxa"/>
            <w:noWrap/>
          </w:tcPr>
          <w:p>
            <w:pPr>
              <w:pStyle w:val="yTableNAm"/>
              <w:jc w:val="center"/>
            </w:pPr>
            <w:r>
              <w:t>$500</w:t>
            </w:r>
          </w:p>
        </w:tc>
      </w:tr>
      <w:tr>
        <w:tc>
          <w:tcPr>
            <w:tcW w:w="567" w:type="dxa"/>
            <w:noWrap/>
          </w:tcPr>
          <w:p>
            <w:pPr>
              <w:pStyle w:val="yTableNAm"/>
            </w:pPr>
            <w:r>
              <w:t>2.</w:t>
            </w:r>
          </w:p>
        </w:tc>
        <w:tc>
          <w:tcPr>
            <w:tcW w:w="1134" w:type="dxa"/>
            <w:noWrap/>
          </w:tcPr>
          <w:p>
            <w:r>
              <w:t>s. 74A(2)</w:t>
            </w:r>
          </w:p>
        </w:tc>
        <w:tc>
          <w:tcPr>
            <w:tcW w:w="3907" w:type="dxa"/>
            <w:noWrap/>
          </w:tcPr>
          <w:p>
            <w:r>
              <w:t xml:space="preserve">Behaving in a disorderly manner — </w:t>
            </w:r>
          </w:p>
          <w:p>
            <w:r>
              <w:t>(a)</w:t>
            </w:r>
            <w:r>
              <w:tab/>
              <w:t xml:space="preserve">in a public place or in sight or hearing of any person in a public place; or </w:t>
            </w:r>
          </w:p>
          <w:p>
            <w:r>
              <w:t>(b)</w:t>
            </w:r>
            <w:r>
              <w:tab/>
              <w:t>in a police station or lock</w:t>
            </w:r>
            <w:r>
              <w:noBreakHyphen/>
              <w:t>up</w:t>
            </w:r>
          </w:p>
        </w:tc>
        <w:tc>
          <w:tcPr>
            <w:tcW w:w="1445" w:type="dxa"/>
            <w:noWrap/>
          </w:tcPr>
          <w:p>
            <w:pPr>
              <w:pStyle w:val="yTableNAm"/>
              <w:jc w:val="center"/>
            </w:pPr>
            <w:r>
              <w:t>$500</w:t>
            </w:r>
          </w:p>
        </w:tc>
      </w:tr>
      <w:tr>
        <w:tc>
          <w:tcPr>
            <w:tcW w:w="567" w:type="dxa"/>
            <w:noWrap/>
          </w:tcPr>
          <w:p>
            <w:pPr>
              <w:pStyle w:val="yTableNAm"/>
              <w:keepNext/>
            </w:pPr>
            <w:r>
              <w:t>3.</w:t>
            </w:r>
          </w:p>
        </w:tc>
        <w:tc>
          <w:tcPr>
            <w:tcW w:w="1134" w:type="dxa"/>
            <w:noWrap/>
          </w:tcPr>
          <w:p>
            <w:r>
              <w:t>s. 172(2)</w:t>
            </w:r>
          </w:p>
        </w:tc>
        <w:tc>
          <w:tcPr>
            <w:tcW w:w="3907" w:type="dxa"/>
            <w:noWrap/>
          </w:tcPr>
          <w:p>
            <w:r>
              <w:t>Obstructing a public officer or person lawfully assisting a public officer</w:t>
            </w:r>
          </w:p>
        </w:tc>
        <w:tc>
          <w:tcPr>
            <w:tcW w:w="1445" w:type="dxa"/>
            <w:noWrap/>
          </w:tcPr>
          <w:p>
            <w:pPr>
              <w:pStyle w:val="yTableNAm"/>
              <w:keepNext/>
              <w:jc w:val="center"/>
            </w:pPr>
            <w:r>
              <w:t>$500</w:t>
            </w:r>
          </w:p>
        </w:tc>
      </w:tr>
      <w:tr>
        <w:tc>
          <w:tcPr>
            <w:tcW w:w="567" w:type="dxa"/>
            <w:noWrap/>
          </w:tcPr>
          <w:p>
            <w:pPr>
              <w:pStyle w:val="yTableNAm"/>
            </w:pPr>
            <w:r>
              <w:t>4.</w:t>
            </w:r>
          </w:p>
        </w:tc>
        <w:tc>
          <w:tcPr>
            <w:tcW w:w="1134" w:type="dxa"/>
            <w:noWrap/>
          </w:tcPr>
          <w:p>
            <w:r>
              <w:t>s. 378</w:t>
            </w:r>
          </w:p>
        </w:tc>
        <w:tc>
          <w:tcPr>
            <w:tcW w:w="3907" w:type="dxa"/>
            <w:noWrap/>
          </w:tcPr>
          <w:p>
            <w:r>
              <w:t xml:space="preserve">Stealing anything capable of being stolen </w:t>
            </w:r>
          </w:p>
        </w:tc>
        <w:tc>
          <w:tcPr>
            <w:tcW w:w="1445" w:type="dxa"/>
            <w:noWrap/>
          </w:tcPr>
          <w:p>
            <w:pPr>
              <w:pStyle w:val="yTableNAm"/>
              <w:jc w:val="center"/>
            </w:pPr>
            <w:r>
              <w:t>$500</w:t>
            </w:r>
          </w:p>
        </w:tc>
      </w:tr>
      <w:tr>
        <w:tc>
          <w:tcPr>
            <w:tcW w:w="567" w:type="dxa"/>
            <w:noWrap/>
          </w:tcPr>
          <w:p>
            <w:pPr>
              <w:pStyle w:val="yTableNAm"/>
            </w:pPr>
            <w:r>
              <w:t>5.</w:t>
            </w:r>
          </w:p>
        </w:tc>
        <w:tc>
          <w:tcPr>
            <w:tcW w:w="1134" w:type="dxa"/>
            <w:noWrap/>
          </w:tcPr>
          <w:p>
            <w:r>
              <w:t>s. 417(1)</w:t>
            </w:r>
          </w:p>
        </w:tc>
        <w:tc>
          <w:tcPr>
            <w:tcW w:w="3907" w:type="dxa"/>
            <w:noWrap/>
          </w:tcPr>
          <w:p>
            <w:r>
              <w:t>Possessing any thing reasonably suspected to be stolen or unlawfully obtained</w:t>
            </w:r>
          </w:p>
        </w:tc>
        <w:tc>
          <w:tcPr>
            <w:tcW w:w="1445" w:type="dxa"/>
            <w:noWrap/>
          </w:tcPr>
          <w:p>
            <w:pPr>
              <w:pStyle w:val="yTableNAm"/>
              <w:jc w:val="center"/>
            </w:pPr>
            <w:r>
              <w:t>$500</w:t>
            </w:r>
          </w:p>
        </w:tc>
      </w:tr>
      <w:tr>
        <w:tc>
          <w:tcPr>
            <w:tcW w:w="567" w:type="dxa"/>
            <w:noWrap/>
          </w:tcPr>
          <w:p>
            <w:pPr>
              <w:pStyle w:val="yTableNAm"/>
            </w:pPr>
            <w:r>
              <w:t>6.</w:t>
            </w:r>
          </w:p>
        </w:tc>
        <w:tc>
          <w:tcPr>
            <w:tcW w:w="1134" w:type="dxa"/>
            <w:noWrap/>
          </w:tcPr>
          <w:p>
            <w:r>
              <w:t>s. 445</w:t>
            </w:r>
          </w:p>
        </w:tc>
        <w:tc>
          <w:tcPr>
            <w:tcW w:w="3907" w:type="dxa"/>
            <w:noWrap/>
          </w:tcPr>
          <w:p>
            <w:r>
              <w:t>Destroying or damaging property</w:t>
            </w:r>
          </w:p>
        </w:tc>
        <w:tc>
          <w:tcPr>
            <w:tcW w:w="1445" w:type="dxa"/>
            <w:noWrap/>
          </w:tcPr>
          <w:p>
            <w:pPr>
              <w:pStyle w:val="yTableNAm"/>
              <w:jc w:val="center"/>
            </w:pPr>
            <w:r>
              <w:t>$500</w:t>
            </w:r>
          </w:p>
        </w:tc>
      </w:tr>
    </w:tbl>
    <w:p>
      <w:pPr>
        <w:pStyle w:val="yFootnotesection"/>
      </w:pPr>
      <w:r>
        <w:tab/>
        <w:t>[Schedule 1 inserted: SL 2020/110 r. 5.]</w:t>
      </w:r>
    </w:p>
    <w:p>
      <w:pPr>
        <w:pStyle w:val="yScheduleHeading"/>
      </w:pPr>
      <w:bookmarkStart w:id="14" w:name="_Toc44573865"/>
      <w:bookmarkStart w:id="15" w:name="_Toc44575706"/>
      <w:bookmarkStart w:id="16" w:name="_Toc44581091"/>
      <w:bookmarkEnd w:id="13"/>
      <w:r>
        <w:rPr>
          <w:rStyle w:val="CharSchNo"/>
        </w:rPr>
        <w:t>Schedule 2</w:t>
      </w:r>
      <w:r>
        <w:rPr>
          <w:rStyle w:val="CharSDivNo"/>
        </w:rPr>
        <w:t> </w:t>
      </w:r>
      <w:r>
        <w:t>—</w:t>
      </w:r>
      <w:r>
        <w:rPr>
          <w:rStyle w:val="CharSDivText"/>
        </w:rPr>
        <w:t> </w:t>
      </w:r>
      <w:r>
        <w:rPr>
          <w:rStyle w:val="CharSchText"/>
        </w:rPr>
        <w:t>Forms</w:t>
      </w:r>
      <w:bookmarkEnd w:id="14"/>
      <w:bookmarkEnd w:id="15"/>
      <w:bookmarkEnd w:id="16"/>
    </w:p>
    <w:p>
      <w:pPr>
        <w:pStyle w:val="yShoulderClause"/>
      </w:pPr>
      <w:r>
        <w:t>[r. 7]</w:t>
      </w:r>
    </w:p>
    <w:p>
      <w:pPr>
        <w:pStyle w:val="yMiscellaneousHeading"/>
        <w:spacing w:after="60"/>
        <w:ind w:left="601"/>
        <w:jc w:val="left"/>
        <w:rPr>
          <w:b/>
          <w:bCs/>
        </w:rPr>
      </w:pPr>
      <w:r>
        <w:rPr>
          <w:b/>
          <w:bCs/>
        </w:rPr>
        <w:t>Form 1 —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276"/>
        <w:gridCol w:w="1985"/>
        <w:gridCol w:w="2126"/>
      </w:tblGrid>
      <w:tr>
        <w:trPr>
          <w:cantSplit/>
          <w:trHeight w:val="282"/>
        </w:trPr>
        <w:tc>
          <w:tcPr>
            <w:tcW w:w="4820" w:type="dxa"/>
            <w:gridSpan w:val="3"/>
          </w:tcPr>
          <w:p>
            <w:pPr>
              <w:pStyle w:val="yTableNAm"/>
              <w:rPr>
                <w:i/>
                <w:iCs/>
              </w:rPr>
            </w:pPr>
            <w:r>
              <w:rPr>
                <w:b/>
              </w:rPr>
              <w:br w:type="page"/>
            </w:r>
            <w:r>
              <w:rPr>
                <w:i/>
              </w:rPr>
              <w:t xml:space="preserve">The </w:t>
            </w:r>
            <w:r>
              <w:rPr>
                <w:i/>
                <w:iCs/>
              </w:rPr>
              <w:t>Criminal Code</w:t>
            </w:r>
          </w:p>
          <w:p>
            <w:pPr>
              <w:pStyle w:val="yTableNAm"/>
              <w:rPr>
                <w:b/>
                <w:sz w:val="28"/>
              </w:rPr>
            </w:pPr>
            <w:r>
              <w:rPr>
                <w:b/>
                <w:sz w:val="28"/>
              </w:rPr>
              <w:t>Infringement notice</w:t>
            </w:r>
          </w:p>
        </w:tc>
        <w:tc>
          <w:tcPr>
            <w:tcW w:w="2126" w:type="dxa"/>
            <w:tcBorders>
              <w:bottom w:val="single" w:sz="4" w:space="0" w:color="auto"/>
            </w:tcBorders>
          </w:tcPr>
          <w:p>
            <w:pPr>
              <w:pStyle w:val="yTableNAm"/>
            </w:pPr>
            <w:r>
              <w:t xml:space="preserve">Infringement </w:t>
            </w:r>
            <w:r>
              <w:br/>
              <w:t>notice no.</w:t>
            </w:r>
          </w:p>
        </w:tc>
      </w:tr>
      <w:tr>
        <w:trPr>
          <w:cantSplit/>
          <w:trHeight w:val="150"/>
        </w:trPr>
        <w:tc>
          <w:tcPr>
            <w:tcW w:w="1559" w:type="dxa"/>
            <w:vMerge w:val="restart"/>
          </w:tcPr>
          <w:p>
            <w:pPr>
              <w:pStyle w:val="yTableNAm"/>
              <w:rPr>
                <w:b/>
              </w:rPr>
            </w:pPr>
            <w:r>
              <w:rPr>
                <w:b/>
              </w:rPr>
              <w:t>Alleged offender</w:t>
            </w:r>
          </w:p>
        </w:tc>
        <w:tc>
          <w:tcPr>
            <w:tcW w:w="5387" w:type="dxa"/>
            <w:gridSpan w:val="3"/>
          </w:tcPr>
          <w:p>
            <w:pPr>
              <w:pStyle w:val="yTableNAm"/>
              <w:tabs>
                <w:tab w:val="clear" w:pos="567"/>
                <w:tab w:val="left" w:pos="831"/>
              </w:tabs>
            </w:pPr>
            <w:r>
              <w:t>Name:</w:t>
            </w:r>
            <w:r>
              <w:tab/>
              <w:t>Surname</w:t>
            </w:r>
          </w:p>
        </w:tc>
      </w:tr>
      <w:tr>
        <w:trPr>
          <w:cantSplit/>
          <w:trHeight w:val="150"/>
        </w:trPr>
        <w:tc>
          <w:tcPr>
            <w:tcW w:w="1559" w:type="dxa"/>
            <w:vMerge/>
          </w:tcPr>
          <w:p>
            <w:pPr>
              <w:pStyle w:val="yTableNAm"/>
              <w:rPr>
                <w:b/>
              </w:rPr>
            </w:pPr>
          </w:p>
        </w:tc>
        <w:tc>
          <w:tcPr>
            <w:tcW w:w="5387" w:type="dxa"/>
            <w:gridSpan w:val="3"/>
          </w:tcPr>
          <w:p>
            <w:pPr>
              <w:pStyle w:val="yTableNAm"/>
              <w:tabs>
                <w:tab w:val="clear" w:pos="567"/>
                <w:tab w:val="left" w:pos="831"/>
              </w:tabs>
            </w:pPr>
            <w:r>
              <w:tab/>
              <w:t>Given names</w:t>
            </w:r>
          </w:p>
        </w:tc>
      </w:tr>
      <w:tr>
        <w:trPr>
          <w:cantSplit/>
          <w:trHeight w:val="150"/>
        </w:trPr>
        <w:tc>
          <w:tcPr>
            <w:tcW w:w="1559" w:type="dxa"/>
            <w:vMerge/>
          </w:tcPr>
          <w:p>
            <w:pPr>
              <w:pStyle w:val="yTableNAm"/>
              <w:rPr>
                <w:b/>
              </w:rPr>
            </w:pPr>
          </w:p>
        </w:tc>
        <w:tc>
          <w:tcPr>
            <w:tcW w:w="5387" w:type="dxa"/>
            <w:gridSpan w:val="3"/>
          </w:tcPr>
          <w:p>
            <w:pPr>
              <w:pStyle w:val="yTableNAm"/>
              <w:ind w:right="-250"/>
            </w:pPr>
            <w:r>
              <w:t>Address _________________________________________________</w:t>
            </w:r>
          </w:p>
          <w:p>
            <w:pPr>
              <w:pStyle w:val="yTableNAm"/>
              <w:tabs>
                <w:tab w:val="clear" w:pos="567"/>
                <w:tab w:val="left" w:pos="3471"/>
              </w:tabs>
            </w:pPr>
            <w:r>
              <w:tab/>
              <w:t>Postcode</w:t>
            </w:r>
          </w:p>
        </w:tc>
      </w:tr>
      <w:tr>
        <w:trPr>
          <w:cantSplit/>
        </w:trPr>
        <w:tc>
          <w:tcPr>
            <w:tcW w:w="1559" w:type="dxa"/>
            <w:vMerge w:val="restart"/>
          </w:tcPr>
          <w:p>
            <w:pPr>
              <w:pStyle w:val="yTableNAm"/>
              <w:rPr>
                <w:b/>
              </w:rPr>
            </w:pPr>
            <w:r>
              <w:rPr>
                <w:b/>
              </w:rPr>
              <w:t>Alleged offence</w:t>
            </w:r>
          </w:p>
        </w:tc>
        <w:tc>
          <w:tcPr>
            <w:tcW w:w="5387" w:type="dxa"/>
            <w:gridSpan w:val="3"/>
          </w:tcPr>
          <w:p>
            <w:pPr>
              <w:pStyle w:val="yTableNAm"/>
              <w:ind w:right="-250"/>
            </w:pPr>
            <w:r>
              <w:t>Description of offence _________________________________________________</w:t>
            </w:r>
          </w:p>
          <w:p>
            <w:pPr>
              <w:pStyle w:val="yTableNAm"/>
            </w:pPr>
          </w:p>
        </w:tc>
      </w:tr>
      <w:tr>
        <w:trPr>
          <w:cantSplit/>
        </w:trPr>
        <w:tc>
          <w:tcPr>
            <w:tcW w:w="1559" w:type="dxa"/>
            <w:vMerge/>
          </w:tcPr>
          <w:p>
            <w:pPr>
              <w:pStyle w:val="yTableNAm"/>
            </w:pPr>
          </w:p>
        </w:tc>
        <w:tc>
          <w:tcPr>
            <w:tcW w:w="5387" w:type="dxa"/>
            <w:gridSpan w:val="3"/>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r>
          </w:p>
        </w:tc>
      </w:tr>
      <w:tr>
        <w:trPr>
          <w:cantSplit/>
        </w:trPr>
        <w:tc>
          <w:tcPr>
            <w:tcW w:w="1559" w:type="dxa"/>
            <w:vMerge/>
          </w:tcPr>
          <w:p>
            <w:pPr>
              <w:pStyle w:val="yTableNAm"/>
            </w:pPr>
          </w:p>
        </w:tc>
        <w:tc>
          <w:tcPr>
            <w:tcW w:w="5387" w:type="dxa"/>
            <w:gridSpan w:val="3"/>
          </w:tcPr>
          <w:p>
            <w:pPr>
              <w:pStyle w:val="yTableNAm"/>
              <w:tabs>
                <w:tab w:val="clear" w:pos="567"/>
                <w:tab w:val="left" w:pos="951"/>
                <w:tab w:val="left" w:pos="1551"/>
                <w:tab w:val="left" w:pos="2391"/>
                <w:tab w:val="left" w:pos="3711"/>
              </w:tabs>
            </w:pPr>
            <w:r>
              <w:t>Place</w:t>
            </w:r>
          </w:p>
        </w:tc>
      </w:tr>
      <w:tr>
        <w:trPr>
          <w:cantSplit/>
        </w:trPr>
        <w:tc>
          <w:tcPr>
            <w:tcW w:w="1559" w:type="dxa"/>
            <w:vMerge/>
          </w:tcPr>
          <w:p>
            <w:pPr>
              <w:pStyle w:val="yTableNAm"/>
              <w:rPr>
                <w:b/>
              </w:rPr>
            </w:pPr>
          </w:p>
        </w:tc>
        <w:tc>
          <w:tcPr>
            <w:tcW w:w="5387" w:type="dxa"/>
            <w:gridSpan w:val="3"/>
          </w:tcPr>
          <w:p>
            <w:pPr>
              <w:pStyle w:val="yTableNAm"/>
            </w:pPr>
            <w:r>
              <w:t>Modified penalty  $</w:t>
            </w:r>
          </w:p>
        </w:tc>
      </w:tr>
      <w:tr>
        <w:trPr>
          <w:cantSplit/>
        </w:trPr>
        <w:tc>
          <w:tcPr>
            <w:tcW w:w="1559" w:type="dxa"/>
            <w:vMerge w:val="restart"/>
          </w:tcPr>
          <w:p>
            <w:pPr>
              <w:pStyle w:val="yTableNAm"/>
              <w:rPr>
                <w:b/>
              </w:rPr>
            </w:pPr>
            <w:r>
              <w:rPr>
                <w:b/>
              </w:rPr>
              <w:t>Officer issuing notice</w:t>
            </w:r>
          </w:p>
        </w:tc>
        <w:tc>
          <w:tcPr>
            <w:tcW w:w="5387" w:type="dxa"/>
            <w:gridSpan w:val="3"/>
          </w:tcPr>
          <w:p>
            <w:pPr>
              <w:pStyle w:val="yTableNAm"/>
            </w:pPr>
            <w:r>
              <w:t>Name</w:t>
            </w:r>
          </w:p>
        </w:tc>
      </w:tr>
      <w:tr>
        <w:trPr>
          <w:cantSplit/>
        </w:trPr>
        <w:tc>
          <w:tcPr>
            <w:tcW w:w="1559" w:type="dxa"/>
            <w:vMerge/>
          </w:tcPr>
          <w:p>
            <w:pPr>
              <w:pStyle w:val="yTableNAm"/>
            </w:pPr>
          </w:p>
        </w:tc>
        <w:tc>
          <w:tcPr>
            <w:tcW w:w="5387" w:type="dxa"/>
            <w:gridSpan w:val="3"/>
          </w:tcPr>
          <w:p>
            <w:pPr>
              <w:pStyle w:val="yTableNAm"/>
              <w:rPr>
                <w:highlight w:val="yellow"/>
              </w:rPr>
            </w:pPr>
            <w:r>
              <w:t>Registered number</w:t>
            </w:r>
          </w:p>
        </w:tc>
      </w:tr>
      <w:tr>
        <w:trPr>
          <w:cantSplit/>
        </w:trPr>
        <w:tc>
          <w:tcPr>
            <w:tcW w:w="1559" w:type="dxa"/>
            <w:vMerge/>
          </w:tcPr>
          <w:p>
            <w:pPr>
              <w:pStyle w:val="yTableNAm"/>
            </w:pPr>
          </w:p>
        </w:tc>
        <w:tc>
          <w:tcPr>
            <w:tcW w:w="5387" w:type="dxa"/>
            <w:gridSpan w:val="3"/>
          </w:tcPr>
          <w:p>
            <w:pPr>
              <w:pStyle w:val="yTableNAm"/>
            </w:pPr>
            <w:r>
              <w:t>Police station</w:t>
            </w:r>
          </w:p>
        </w:tc>
      </w:tr>
      <w:tr>
        <w:tc>
          <w:tcPr>
            <w:tcW w:w="1559" w:type="dxa"/>
          </w:tcPr>
          <w:p>
            <w:pPr>
              <w:pStyle w:val="yTableNAm"/>
              <w:rPr>
                <w:b/>
              </w:rPr>
            </w:pPr>
            <w:r>
              <w:rPr>
                <w:b/>
              </w:rPr>
              <w:t>Date of issue</w:t>
            </w:r>
          </w:p>
        </w:tc>
        <w:tc>
          <w:tcPr>
            <w:tcW w:w="5387" w:type="dxa"/>
            <w:gridSpan w:val="3"/>
            <w:tcBorders>
              <w:bottom w:val="single" w:sz="4" w:space="0" w:color="auto"/>
            </w:tcBorders>
          </w:tcPr>
          <w:p>
            <w:pPr>
              <w:pStyle w:val="yTableNAm"/>
              <w:tabs>
                <w:tab w:val="clear" w:pos="567"/>
                <w:tab w:val="left" w:pos="1791"/>
                <w:tab w:val="left" w:pos="2391"/>
              </w:tabs>
            </w:pPr>
            <w:r>
              <w:tab/>
              <w:t>/</w:t>
            </w:r>
            <w:r>
              <w:tab/>
              <w:t>/20</w:t>
            </w:r>
          </w:p>
        </w:tc>
      </w:tr>
      <w:tr>
        <w:trPr>
          <w:trHeight w:val="1097"/>
        </w:trPr>
        <w:tc>
          <w:tcPr>
            <w:tcW w:w="1559" w:type="dxa"/>
          </w:tcPr>
          <w:p>
            <w:pPr>
              <w:pStyle w:val="yTableNAm"/>
              <w:rPr>
                <w:b/>
              </w:rPr>
            </w:pPr>
            <w:r>
              <w:rPr>
                <w:b/>
              </w:rPr>
              <w:t xml:space="preserve">Notice to alleged offender </w:t>
            </w:r>
          </w:p>
        </w:tc>
        <w:tc>
          <w:tcPr>
            <w:tcW w:w="5387" w:type="dxa"/>
            <w:gridSpan w:val="3"/>
          </w:tcPr>
          <w:p>
            <w:pPr>
              <w:pStyle w:val="yTableNAm"/>
            </w:pPr>
            <w:r>
              <w:t>It is alleged that you have committed the above offence.</w:t>
            </w:r>
          </w:p>
          <w:p>
            <w:pPr>
              <w:pStyle w:val="yTableNAm"/>
            </w:pPr>
            <w:r>
              <w:rPr>
                <w:b/>
              </w:rPr>
              <w:t>If you do not want to be prosecuted in court for the alleged offence</w:t>
            </w:r>
            <w:r>
              <w:t>, pay the modified penalty above to an approved officer within 28 days after the date of issue of this notice. See below for how and where to pay the modified penalty.</w:t>
            </w:r>
          </w:p>
          <w:p>
            <w:pPr>
              <w:pStyle w:val="yTableNAm"/>
              <w:rPr>
                <w:b/>
              </w:rPr>
            </w:pPr>
            <w:r>
              <w:rPr>
                <w:b/>
              </w:rPr>
              <w:t>Paying the modified penalty will not be regarded as an admission for the purposes of any civil or criminal court case.</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r>
              <w:rPr>
                <w:b/>
                <w:szCs w:val="22"/>
              </w:rPr>
              <w:t>How to pay the modified penalty</w:t>
            </w: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In person</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paying in person]</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post</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Post this notice, with a cheque or money order made payable to [</w:t>
            </w:r>
            <w:r>
              <w:rPr>
                <w:i/>
                <w:szCs w:val="22"/>
              </w:rPr>
              <w:t>payee</w:t>
            </w:r>
            <w:r>
              <w:rPr>
                <w:szCs w:val="22"/>
              </w:rPr>
              <w:t>], to:</w:t>
            </w:r>
          </w:p>
          <w:p>
            <w:pPr>
              <w:pStyle w:val="yTableNAm"/>
              <w:rPr>
                <w:i/>
                <w:szCs w:val="22"/>
              </w:rPr>
            </w:pPr>
            <w:r>
              <w:rPr>
                <w:i/>
                <w:szCs w:val="22"/>
              </w:rPr>
              <w:t>[Address]</w:t>
            </w:r>
          </w:p>
          <w:p>
            <w:pPr>
              <w:pStyle w:val="yTableNAm"/>
              <w:rPr>
                <w:szCs w:val="22"/>
                <w:u w:val="single"/>
              </w:rPr>
            </w:pPr>
            <w:r>
              <w:rPr>
                <w:szCs w:val="22"/>
              </w:rPr>
              <w:t>Do not send cash in the mail.</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Online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[Details for online payments]</w:t>
            </w:r>
          </w:p>
        </w:tc>
      </w:tr>
      <w:tr>
        <w:trPr>
          <w:trHeight w:val="401"/>
        </w:trPr>
        <w:tc>
          <w:tcPr>
            <w:tcW w:w="1559" w:type="dxa"/>
            <w:tcBorders>
              <w:top w:val="single" w:sz="4" w:space="0" w:color="auto"/>
              <w:left w:val="single" w:sz="4" w:space="0" w:color="auto"/>
              <w:bottom w:val="single" w:sz="4" w:space="0" w:color="auto"/>
              <w:right w:val="single" w:sz="4" w:space="0" w:color="auto"/>
            </w:tcBorders>
          </w:tcPr>
          <w:p>
            <w:pPr>
              <w:pStyle w:val="yTableNAm"/>
              <w:rPr>
                <w:b/>
                <w:szCs w:val="22"/>
              </w:rPr>
            </w:pPr>
          </w:p>
        </w:tc>
        <w:tc>
          <w:tcPr>
            <w:tcW w:w="1276" w:type="dxa"/>
            <w:tcBorders>
              <w:top w:val="single" w:sz="4" w:space="0" w:color="auto"/>
              <w:left w:val="single" w:sz="4" w:space="0" w:color="auto"/>
              <w:bottom w:val="single" w:sz="4" w:space="0" w:color="auto"/>
              <w:right w:val="single" w:sz="4" w:space="0" w:color="auto"/>
            </w:tcBorders>
          </w:tcPr>
          <w:p>
            <w:pPr>
              <w:pStyle w:val="yTableNAm"/>
              <w:rPr>
                <w:szCs w:val="22"/>
              </w:rPr>
            </w:pPr>
            <w:r>
              <w:rPr>
                <w:szCs w:val="22"/>
              </w:rPr>
              <w:t>By telephone</w:t>
            </w:r>
          </w:p>
        </w:tc>
        <w:tc>
          <w:tcPr>
            <w:tcW w:w="4111" w:type="dxa"/>
            <w:gridSpan w:val="2"/>
            <w:tcBorders>
              <w:top w:val="single" w:sz="4" w:space="0" w:color="auto"/>
              <w:left w:val="single" w:sz="4" w:space="0" w:color="auto"/>
              <w:bottom w:val="single" w:sz="4" w:space="0" w:color="auto"/>
              <w:right w:val="single" w:sz="4" w:space="0" w:color="auto"/>
            </w:tcBorders>
          </w:tcPr>
          <w:p>
            <w:pPr>
              <w:pStyle w:val="yTableNAm"/>
              <w:rPr>
                <w:i/>
                <w:szCs w:val="22"/>
              </w:rPr>
            </w:pPr>
            <w:r>
              <w:rPr>
                <w:i/>
                <w:szCs w:val="22"/>
              </w:rPr>
              <w:t xml:space="preserve">[Details for telephone payments] </w:t>
            </w:r>
          </w:p>
        </w:tc>
      </w:tr>
    </w:tbl>
    <w:p>
      <w:pPr>
        <w:pStyle w:val="yMiscellaneousBody"/>
        <w:rPr>
          <w:rStyle w:val="DraftersNotes"/>
        </w:rPr>
      </w:pPr>
    </w:p>
    <w:p>
      <w:pPr>
        <w:pStyle w:val="yMiscellaneousHeading"/>
        <w:pageBreakBefore/>
        <w:spacing w:after="60"/>
        <w:ind w:left="601"/>
        <w:jc w:val="left"/>
        <w:rPr>
          <w:b/>
          <w:bCs/>
        </w:rPr>
      </w:pPr>
      <w:r>
        <w:rPr>
          <w:b/>
          <w:bCs/>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rPr>
                <w:i/>
                <w:iCs/>
              </w:rPr>
            </w:pPr>
            <w:r>
              <w:rPr>
                <w:i/>
                <w:iCs/>
              </w:rPr>
              <w:t>The Criminal Code</w:t>
            </w:r>
          </w:p>
          <w:p>
            <w:pPr>
              <w:pStyle w:val="yTableNAm"/>
            </w:pPr>
            <w:r>
              <w:rPr>
                <w:b/>
                <w:sz w:val="28"/>
              </w:rPr>
              <w:t>Withdrawal of infringement notice</w:t>
            </w:r>
          </w:p>
        </w:tc>
      </w:tr>
      <w:tr>
        <w:trPr>
          <w:cantSplit/>
          <w:trHeight w:val="150"/>
        </w:trPr>
        <w:tc>
          <w:tcPr>
            <w:tcW w:w="1559" w:type="dxa"/>
            <w:vMerge w:val="restart"/>
          </w:tcPr>
          <w:p>
            <w:pPr>
              <w:pStyle w:val="yTableNAm"/>
              <w:rPr>
                <w:b/>
              </w:rPr>
            </w:pPr>
            <w:r>
              <w:rPr>
                <w:b/>
              </w:rPr>
              <w:t>Alleged offender</w:t>
            </w:r>
          </w:p>
        </w:tc>
        <w:tc>
          <w:tcPr>
            <w:tcW w:w="5387" w:type="dxa"/>
          </w:tcPr>
          <w:p>
            <w:pPr>
              <w:pStyle w:val="yTableNAm"/>
              <w:tabs>
                <w:tab w:val="clear" w:pos="567"/>
                <w:tab w:val="left" w:pos="837"/>
              </w:tabs>
            </w:pPr>
            <w:r>
              <w:t>Name:</w:t>
            </w:r>
            <w:r>
              <w:tab/>
              <w:t>Surname</w:t>
            </w:r>
          </w:p>
        </w:tc>
      </w:tr>
      <w:tr>
        <w:trPr>
          <w:cantSplit/>
          <w:trHeight w:val="150"/>
        </w:trPr>
        <w:tc>
          <w:tcPr>
            <w:tcW w:w="1559" w:type="dxa"/>
            <w:vMerge/>
          </w:tcPr>
          <w:p>
            <w:pPr>
              <w:pStyle w:val="yTableNAm"/>
              <w:rPr>
                <w:b/>
              </w:rPr>
            </w:pPr>
          </w:p>
        </w:tc>
        <w:tc>
          <w:tcPr>
            <w:tcW w:w="5387" w:type="dxa"/>
          </w:tcPr>
          <w:p>
            <w:pPr>
              <w:pStyle w:val="yTableNAm"/>
              <w:tabs>
                <w:tab w:val="clear" w:pos="567"/>
                <w:tab w:val="left" w:pos="837"/>
              </w:tabs>
            </w:pPr>
            <w:r>
              <w:tab/>
              <w:t>Given names</w:t>
            </w:r>
          </w:p>
        </w:tc>
      </w:tr>
      <w:tr>
        <w:trPr>
          <w:cantSplit/>
          <w:trHeight w:val="150"/>
        </w:trPr>
        <w:tc>
          <w:tcPr>
            <w:tcW w:w="1559" w:type="dxa"/>
            <w:vMerge/>
          </w:tcPr>
          <w:p>
            <w:pPr>
              <w:pStyle w:val="yTableNAm"/>
              <w:rPr>
                <w:b/>
              </w:rPr>
            </w:pPr>
          </w:p>
        </w:tc>
        <w:tc>
          <w:tcPr>
            <w:tcW w:w="5387" w:type="dxa"/>
          </w:tcPr>
          <w:p>
            <w:pPr>
              <w:pStyle w:val="yTableNAm"/>
              <w:ind w:right="-391"/>
            </w:pPr>
            <w:r>
              <w:t>Address _________________________________________________</w:t>
            </w:r>
          </w:p>
          <w:p>
            <w:pPr>
              <w:pStyle w:val="yTableNAm"/>
              <w:tabs>
                <w:tab w:val="clear" w:pos="567"/>
                <w:tab w:val="left" w:pos="3591"/>
              </w:tabs>
            </w:pPr>
            <w:r>
              <w:tab/>
              <w:t>Postcode</w:t>
            </w:r>
          </w:p>
        </w:tc>
      </w:tr>
      <w:tr>
        <w:trPr>
          <w:cantSplit/>
        </w:trPr>
        <w:tc>
          <w:tcPr>
            <w:tcW w:w="1559" w:type="dxa"/>
            <w:vMerge w:val="restart"/>
          </w:tcPr>
          <w:p>
            <w:pPr>
              <w:pStyle w:val="yTableNAm"/>
              <w:rPr>
                <w:b/>
              </w:rPr>
            </w:pPr>
            <w:r>
              <w:rPr>
                <w:b/>
              </w:rPr>
              <w:t>Infringement notice</w:t>
            </w:r>
          </w:p>
        </w:tc>
        <w:tc>
          <w:tcPr>
            <w:tcW w:w="5387" w:type="dxa"/>
          </w:tcPr>
          <w:p>
            <w:pPr>
              <w:pStyle w:val="yTableNAm"/>
            </w:pPr>
            <w:r>
              <w:t>Infringement notice no.</w:t>
            </w:r>
          </w:p>
        </w:tc>
      </w:tr>
      <w:tr>
        <w:trPr>
          <w:cantSplit/>
        </w:trPr>
        <w:tc>
          <w:tcPr>
            <w:tcW w:w="1559" w:type="dxa"/>
            <w:vMerge/>
          </w:tcPr>
          <w:p>
            <w:pPr>
              <w:pStyle w:val="yTableNAm"/>
            </w:pPr>
          </w:p>
        </w:tc>
        <w:tc>
          <w:tcPr>
            <w:tcW w:w="5387" w:type="dxa"/>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387" w:type="dxa"/>
          </w:tcPr>
          <w:p>
            <w:pPr>
              <w:pStyle w:val="yTableNAm"/>
              <w:ind w:right="-391"/>
            </w:pPr>
            <w:r>
              <w:t>Description of offence _________________________________________________</w:t>
            </w:r>
          </w:p>
          <w:p>
            <w:pPr>
              <w:pStyle w:val="yTableNAm"/>
            </w:pPr>
          </w:p>
        </w:tc>
      </w:tr>
      <w:tr>
        <w:trPr>
          <w:cantSplit/>
        </w:trPr>
        <w:tc>
          <w:tcPr>
            <w:tcW w:w="1559" w:type="dxa"/>
            <w:vMerge/>
          </w:tcPr>
          <w:p>
            <w:pPr>
              <w:pStyle w:val="yTableNAm"/>
              <w:rPr>
                <w:b/>
              </w:rPr>
            </w:pPr>
          </w:p>
        </w:tc>
        <w:tc>
          <w:tcPr>
            <w:tcW w:w="5387" w:type="dxa"/>
          </w:tcPr>
          <w:p>
            <w:pPr>
              <w:pStyle w:val="yTableNAm"/>
            </w:pPr>
            <w:r>
              <w:rPr>
                <w:i/>
                <w:iCs/>
              </w:rPr>
              <w:t>The Criminal Code</w:t>
            </w:r>
            <w:r>
              <w:t xml:space="preserve"> s. </w:t>
            </w:r>
          </w:p>
          <w:p>
            <w:pPr>
              <w:pStyle w:val="yTableNAm"/>
            </w:pP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 xml:space="preserve">Date </w:t>
            </w:r>
            <w:r>
              <w:tab/>
              <w:t>/</w:t>
            </w:r>
            <w:r>
              <w:tab/>
              <w:t>/20</w:t>
            </w:r>
            <w:r>
              <w:tab/>
              <w:t>Time</w:t>
            </w:r>
            <w:r>
              <w:tab/>
            </w:r>
          </w:p>
        </w:tc>
      </w:tr>
      <w:tr>
        <w:trPr>
          <w:cantSplit/>
        </w:trPr>
        <w:tc>
          <w:tcPr>
            <w:tcW w:w="1559" w:type="dxa"/>
            <w:vMerge/>
          </w:tcPr>
          <w:p>
            <w:pPr>
              <w:pStyle w:val="yTableNAm"/>
            </w:pPr>
          </w:p>
        </w:tc>
        <w:tc>
          <w:tcPr>
            <w:tcW w:w="5387" w:type="dxa"/>
          </w:tcPr>
          <w:p>
            <w:pPr>
              <w:pStyle w:val="yTableNAm"/>
              <w:tabs>
                <w:tab w:val="clear" w:pos="567"/>
                <w:tab w:val="left" w:pos="831"/>
                <w:tab w:val="left" w:pos="1311"/>
                <w:tab w:val="left" w:pos="2391"/>
                <w:tab w:val="left" w:pos="3831"/>
              </w:tabs>
            </w:pPr>
            <w:r>
              <w:t>Place</w:t>
            </w:r>
          </w:p>
        </w:tc>
      </w:tr>
      <w:tr>
        <w:trPr>
          <w:cantSplit/>
        </w:trPr>
        <w:tc>
          <w:tcPr>
            <w:tcW w:w="1559" w:type="dxa"/>
            <w:vMerge w:val="restart"/>
          </w:tcPr>
          <w:p>
            <w:pPr>
              <w:pStyle w:val="yTableNAm"/>
              <w:rPr>
                <w:b/>
              </w:rPr>
            </w:pPr>
            <w:r>
              <w:rPr>
                <w:b/>
              </w:rPr>
              <w:t>Officer withdrawing notice</w:t>
            </w:r>
          </w:p>
        </w:tc>
        <w:tc>
          <w:tcPr>
            <w:tcW w:w="5387" w:type="dxa"/>
          </w:tcPr>
          <w:p>
            <w:pPr>
              <w:pStyle w:val="yTableNAm"/>
            </w:pPr>
            <w:r>
              <w:t>Name</w:t>
            </w:r>
          </w:p>
        </w:tc>
      </w:tr>
      <w:tr>
        <w:trPr>
          <w:cantSplit/>
        </w:trPr>
        <w:tc>
          <w:tcPr>
            <w:tcW w:w="1559" w:type="dxa"/>
            <w:vMerge/>
          </w:tcPr>
          <w:p>
            <w:pPr>
              <w:pStyle w:val="yTableNAm"/>
            </w:pPr>
          </w:p>
        </w:tc>
        <w:tc>
          <w:tcPr>
            <w:tcW w:w="5387" w:type="dxa"/>
          </w:tcPr>
          <w:p>
            <w:pPr>
              <w:pStyle w:val="yTableNAm"/>
            </w:pPr>
            <w:r>
              <w:t>Registered number</w:t>
            </w:r>
          </w:p>
        </w:tc>
      </w:tr>
      <w:tr>
        <w:trPr>
          <w:cantSplit/>
        </w:trPr>
        <w:tc>
          <w:tcPr>
            <w:tcW w:w="1559" w:type="dxa"/>
            <w:vMerge/>
          </w:tcPr>
          <w:p>
            <w:pPr>
              <w:pStyle w:val="yTableNAm"/>
            </w:pPr>
          </w:p>
        </w:tc>
        <w:tc>
          <w:tcPr>
            <w:tcW w:w="5387" w:type="dxa"/>
          </w:tcPr>
          <w:p>
            <w:pPr>
              <w:pStyle w:val="yTableNAm"/>
            </w:pPr>
            <w:r>
              <w:t>Police station</w:t>
            </w:r>
          </w:p>
        </w:tc>
      </w:tr>
      <w:tr>
        <w:tc>
          <w:tcPr>
            <w:tcW w:w="1559" w:type="dxa"/>
          </w:tcPr>
          <w:p>
            <w:pPr>
              <w:pStyle w:val="yTableNAm"/>
              <w:rPr>
                <w:b/>
              </w:rPr>
            </w:pPr>
            <w:r>
              <w:rPr>
                <w:b/>
              </w:rPr>
              <w:t>Date of withdrawal</w:t>
            </w:r>
          </w:p>
        </w:tc>
        <w:tc>
          <w:tcPr>
            <w:tcW w:w="5387" w:type="dxa"/>
            <w:tcBorders>
              <w:bottom w:val="single" w:sz="4" w:space="0" w:color="auto"/>
            </w:tcBorders>
          </w:tcPr>
          <w:p>
            <w:pPr>
              <w:pStyle w:val="yTableNAm"/>
              <w:tabs>
                <w:tab w:val="clear" w:pos="567"/>
                <w:tab w:val="left" w:pos="2391"/>
                <w:tab w:val="left" w:pos="3111"/>
              </w:tabs>
            </w:pPr>
            <w:r>
              <w:tab/>
              <w:t>/</w:t>
            </w:r>
            <w:r>
              <w:tab/>
              <w:t>/20</w:t>
            </w:r>
          </w:p>
        </w:tc>
      </w:tr>
      <w:tr>
        <w:tc>
          <w:tcPr>
            <w:tcW w:w="1559" w:type="dxa"/>
          </w:tcPr>
          <w:p>
            <w:pPr>
              <w:pStyle w:val="yTableNAm"/>
              <w:keepNext/>
              <w:rPr>
                <w:b/>
              </w:rPr>
            </w:pPr>
            <w:r>
              <w:rPr>
                <w:b/>
              </w:rPr>
              <w:t>Withdrawal of infringement notice</w:t>
            </w:r>
          </w:p>
          <w:p>
            <w:pPr>
              <w:pStyle w:val="yTableNAm"/>
              <w:keepNext/>
              <w:rPr>
                <w:b/>
              </w:rPr>
            </w:pPr>
          </w:p>
        </w:tc>
        <w:tc>
          <w:tcPr>
            <w:tcW w:w="5387" w:type="dxa"/>
          </w:tcPr>
          <w:p>
            <w:pPr>
              <w:pStyle w:val="yTableNAm"/>
              <w:keepNext/>
            </w:pPr>
            <w:r>
              <w:t>The above infringement notice, which was issued for the above alleged offence, has been withdrawn.</w:t>
            </w:r>
          </w:p>
          <w:p>
            <w:pPr>
              <w:pStyle w:val="yTableNAm"/>
              <w:keepNext/>
            </w:pPr>
            <w:r>
              <w:t>If you have already paid the modified penalty for the alleged offence in accordance with the infringement notice, the amount will be refunded to you.</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 w:name="_Toc44575707"/>
      <w:bookmarkStart w:id="19" w:name="_Toc44581092"/>
      <w:bookmarkStart w:id="20" w:name="_Toc44573868"/>
      <w:r>
        <w:t>Notes</w:t>
      </w:r>
      <w:bookmarkEnd w:id="18"/>
      <w:bookmarkEnd w:id="19"/>
    </w:p>
    <w:p>
      <w:pPr>
        <w:pStyle w:val="nStatement"/>
      </w:pPr>
      <w:r>
        <w:t xml:space="preserve">This is a compilation of the </w:t>
      </w:r>
      <w:r>
        <w:rPr>
          <w:i/>
          <w:noProof/>
        </w:rPr>
        <w:t>Criminal Code (Infringement Notices) Regulations 2015</w:t>
      </w:r>
      <w:r>
        <w:t xml:space="preserve"> and includes amendments made by other written laws. For provisions that have come into operation see the compilation table.</w:t>
      </w:r>
    </w:p>
    <w:p>
      <w:pPr>
        <w:pStyle w:val="nHeading3"/>
      </w:pPr>
      <w:bookmarkStart w:id="21" w:name="_Toc44581093"/>
      <w:r>
        <w:t>Compilation table</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Criminal Code (Infringement Notices) Regulations 2015</w:t>
            </w:r>
          </w:p>
        </w:tc>
        <w:tc>
          <w:tcPr>
            <w:tcW w:w="1276" w:type="dxa"/>
            <w:tcBorders>
              <w:top w:val="single" w:sz="4" w:space="0" w:color="auto"/>
              <w:bottom w:val="nil"/>
            </w:tcBorders>
          </w:tcPr>
          <w:p>
            <w:pPr>
              <w:pStyle w:val="nTable"/>
              <w:spacing w:after="40"/>
            </w:pPr>
            <w:r>
              <w:t>3 Mar 2015 p. 801</w:t>
            </w:r>
            <w:r>
              <w:noBreakHyphen/>
              <w:t>11</w:t>
            </w:r>
          </w:p>
        </w:tc>
        <w:tc>
          <w:tcPr>
            <w:tcW w:w="2693" w:type="dxa"/>
            <w:tcBorders>
              <w:top w:val="single" w:sz="4" w:space="0" w:color="auto"/>
              <w:bottom w:val="nil"/>
            </w:tcBorders>
          </w:tcPr>
          <w:p>
            <w:pPr>
              <w:pStyle w:val="nTable"/>
              <w:spacing w:after="40"/>
            </w:pPr>
            <w:r>
              <w:t xml:space="preserve">4 Mar 2015 (see r. 2 and </w:t>
            </w:r>
            <w:r>
              <w:rPr>
                <w:i/>
              </w:rPr>
              <w:t>Gazette</w:t>
            </w:r>
            <w:r>
              <w:t xml:space="preserve"> 3 Mar 2015 p. 783)</w:t>
            </w:r>
          </w:p>
        </w:tc>
      </w:tr>
      <w:tr>
        <w:tc>
          <w:tcPr>
            <w:tcW w:w="3118" w:type="dxa"/>
            <w:tcBorders>
              <w:top w:val="nil"/>
              <w:bottom w:val="single" w:sz="4" w:space="0" w:color="auto"/>
            </w:tcBorders>
          </w:tcPr>
          <w:p>
            <w:pPr>
              <w:pStyle w:val="nTable"/>
              <w:spacing w:after="40"/>
              <w:rPr>
                <w:i/>
                <w:noProof/>
              </w:rPr>
            </w:pPr>
            <w:r>
              <w:rPr>
                <w:i/>
                <w:noProof/>
              </w:rPr>
              <w:t>Criminal Code (Infringement Notices) Amendment Regulations 2020</w:t>
            </w:r>
          </w:p>
        </w:tc>
        <w:tc>
          <w:tcPr>
            <w:tcW w:w="1276" w:type="dxa"/>
            <w:tcBorders>
              <w:top w:val="nil"/>
              <w:bottom w:val="single" w:sz="4" w:space="0" w:color="auto"/>
            </w:tcBorders>
          </w:tcPr>
          <w:p>
            <w:pPr>
              <w:pStyle w:val="nTable"/>
              <w:spacing w:after="40"/>
            </w:pPr>
            <w:r>
              <w:t>SL 2020/110 3 Jul 2020</w:t>
            </w:r>
          </w:p>
        </w:tc>
        <w:tc>
          <w:tcPr>
            <w:tcW w:w="2693" w:type="dxa"/>
            <w:tcBorders>
              <w:top w:val="nil"/>
              <w:bottom w:val="single" w:sz="4" w:space="0" w:color="auto"/>
            </w:tcBorders>
          </w:tcPr>
          <w:p>
            <w:pPr>
              <w:pStyle w:val="nTable"/>
              <w:spacing w:after="40"/>
            </w:pPr>
            <w:r>
              <w:t>r. 1 and 2: 3 Jul 2020 (see r. 2(a));</w:t>
            </w:r>
            <w:r>
              <w:br/>
              <w:t>Regulations other than r. 1 and 2: 4 Jul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3" w:name="_Toc44575709"/>
      <w:bookmarkStart w:id="24" w:name="_Toc44581094"/>
      <w:r>
        <w:rPr>
          <w:sz w:val="28"/>
        </w:rPr>
        <w:t>Defined terms</w:t>
      </w:r>
      <w:bookmarkEnd w:id="20"/>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Certificate of Authority</w:t>
      </w:r>
      <w:r>
        <w:tab/>
        <w:t>3</w:t>
      </w:r>
    </w:p>
    <w:p>
      <w:pPr>
        <w:pStyle w:val="DefinedTerms"/>
      </w:pPr>
      <w:r>
        <w:t>Commissioner of Police</w:t>
      </w:r>
      <w:r>
        <w:tab/>
        <w:t>3</w:t>
      </w:r>
    </w:p>
    <w:p>
      <w:pPr>
        <w:pStyle w:val="DefinedTerms"/>
      </w:pPr>
      <w:r>
        <w:t>CP Act</w:t>
      </w:r>
      <w:r>
        <w:tab/>
        <w:t>3</w:t>
      </w:r>
    </w:p>
    <w:p>
      <w:pPr>
        <w:pStyle w:val="DefinedTerms"/>
      </w:pPr>
      <w:r>
        <w:t>Form</w:t>
      </w:r>
      <w:r>
        <w:tab/>
        <w:t>3</w:t>
      </w:r>
    </w:p>
    <w:p>
      <w:pPr>
        <w:pStyle w:val="DefinedTerms"/>
      </w:pPr>
      <w:r>
        <w:t>senior police officer</w:t>
      </w:r>
      <w:r>
        <w:tab/>
        <w:t>3</w:t>
      </w:r>
    </w:p>
    <w:p>
      <w:pPr>
        <w:rPr>
          <w:sz w:val="22"/>
        </w:rPr>
      </w:pPr>
    </w:p>
    <w:p>
      <w:pPr>
        <w:rPr>
          <w:sz w:val="22"/>
        </w:r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 (Infringement Notices)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2091529"/>
    <w:docVar w:name="WAFER_20141119111927" w:val="RemoveTocBookmarks,RemoveUnusedBookmarks,RemoveLanguageTags,UsedStyles,ResetPageSize,UpdateArrangement"/>
    <w:docVar w:name="WAFER_20141119111927_GUID" w:val="07128e40-68ed-4bad-8db4-c38fab739033"/>
    <w:docVar w:name="WAFER_20150304103352" w:val="ResetPageSize,UpdateArrangement,UpdateNTable"/>
    <w:docVar w:name="WAFER_20150304103352_GUID" w:val="92cd1284-f976-46d5-bdc0-920860cc2254"/>
    <w:docVar w:name="WAFER_20151103102629" w:val="UpdateStyles,UsedStyles"/>
    <w:docVar w:name="WAFER_20151103102629_GUID" w:val="14ffd0af-9224-4b1a-afd9-a02f3b42e92d"/>
    <w:docVar w:name="WAFER_202007020915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091529_GUID" w:val="f296a846-15a5-4d39-bd89-c889f2697d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jp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5AD95-9BA3-49A3-8B68-6B10FD635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1476</Words>
  <Characters>7458</Characters>
  <Application>Microsoft Office Word</Application>
  <DocSecurity>0</DocSecurity>
  <Lines>355</Lines>
  <Paragraphs>235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(Infringement Notices) Regulations 2015 - 00-b0-00</dc:title>
  <dc:subject/>
  <dc:creator/>
  <cp:keywords/>
  <dc:description/>
  <cp:lastModifiedBy>svcMRProcess</cp:lastModifiedBy>
  <cp:revision>4</cp:revision>
  <cp:lastPrinted>2014-11-26T07:54:00Z</cp:lastPrinted>
  <dcterms:created xsi:type="dcterms:W3CDTF">2020-07-03T04:27:00Z</dcterms:created>
  <dcterms:modified xsi:type="dcterms:W3CDTF">2020-07-03T04:27:00Z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 2015 p 801-11</vt:lpwstr>
  </property>
  <property fmtid="{D5CDD505-2E9C-101B-9397-08002B2CF9AE}" pid="3" name="OWLSUId">
    <vt:i4>196</vt:i4>
  </property>
  <property fmtid="{D5CDD505-2E9C-101B-9397-08002B2CF9AE}" pid="4" name="DocumentType">
    <vt:lpwstr>Reg</vt:lpwstr>
  </property>
  <property fmtid="{D5CDD505-2E9C-101B-9397-08002B2CF9AE}" pid="5" name="AsAtDate">
    <vt:lpwstr>04 Jul 2020</vt:lpwstr>
  </property>
  <property fmtid="{D5CDD505-2E9C-101B-9397-08002B2CF9AE}" pid="6" name="Suffix">
    <vt:lpwstr>00-b0-00</vt:lpwstr>
  </property>
  <property fmtid="{D5CDD505-2E9C-101B-9397-08002B2CF9AE}" pid="7" name="CommencementDate">
    <vt:lpwstr>20200704</vt:lpwstr>
  </property>
</Properties>
</file>