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_Toc47081395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_Toc47081396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_Toc47081397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_Toc47081398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_Toc47081399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_Toc47081400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_Toc47081401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_Toc47081402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_Toc47081403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_Toc47081404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_Toc47081405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_Toc47081406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_Toc47081407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_Toc47081408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_Toc47081409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_Toc47081415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3" w:name="_Toc47081395"/>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47081396"/>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47081397"/>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6" w:name="_Toc47081398"/>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47081399"/>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47081400"/>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47081401"/>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47081402"/>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47081403"/>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12" w:name="_Toc47081404"/>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47081405"/>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47081406"/>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47081407"/>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47081408"/>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47081409"/>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47014271"/>
      <w:bookmarkStart w:id="19" w:name="_Toc47081410"/>
      <w:bookmarkStart w:id="20" w:name="_Toc47013752"/>
      <w:r>
        <w:rPr>
          <w:rStyle w:val="CharSchNo"/>
        </w:rPr>
        <w:t>Schedule 1</w:t>
      </w:r>
      <w:r>
        <w:t> — </w:t>
      </w:r>
      <w:r>
        <w:rPr>
          <w:rStyle w:val="CharSchText"/>
        </w:rPr>
        <w:t>Fees</w:t>
      </w:r>
      <w:bookmarkEnd w:id="18"/>
      <w:bookmarkEnd w:id="19"/>
    </w:p>
    <w:p>
      <w:pPr>
        <w:pStyle w:val="yShoulderClause"/>
      </w:pPr>
      <w:r>
        <w:t>[r. 4]</w:t>
      </w:r>
    </w:p>
    <w:p>
      <w:pPr>
        <w:pStyle w:val="yFootnoteheading"/>
      </w:pPr>
      <w:r>
        <w:tab/>
        <w:t>[Heading inserted: SL 2020/124 r. 4.]</w:t>
      </w:r>
    </w:p>
    <w:p>
      <w:pPr>
        <w:pStyle w:val="yHeading3"/>
      </w:pPr>
      <w:bookmarkStart w:id="21" w:name="_Toc47014272"/>
      <w:bookmarkStart w:id="22" w:name="_Toc47081411"/>
      <w:r>
        <w:rPr>
          <w:rStyle w:val="CharSDivNo"/>
        </w:rPr>
        <w:t>Division 1</w:t>
      </w:r>
      <w:r>
        <w:rPr>
          <w:b w:val="0"/>
        </w:rPr>
        <w:t> — </w:t>
      </w:r>
      <w:r>
        <w:rPr>
          <w:rStyle w:val="CharSDivText"/>
        </w:rPr>
        <w:t>General</w:t>
      </w:r>
      <w:bookmarkEnd w:id="21"/>
      <w:bookmarkEnd w:id="22"/>
    </w:p>
    <w:p>
      <w:pPr>
        <w:pStyle w:val="yFootnoteheading"/>
        <w:spacing w:after="120"/>
      </w:pPr>
      <w:r>
        <w:tab/>
        <w:t>[Heading inserted: SL 2020/124 r. 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pPr>
            <w:r>
              <w:t>Fee for individual</w:t>
            </w:r>
            <w:r>
              <w:br/>
            </w:r>
            <w:r>
              <w:br/>
              <w:t>$</w:t>
            </w:r>
          </w:p>
        </w:tc>
        <w:tc>
          <w:tcPr>
            <w:tcW w:w="1418" w:type="dxa"/>
            <w:tcBorders>
              <w:top w:val="single" w:sz="4" w:space="0" w:color="auto"/>
              <w:bottom w:val="single" w:sz="4" w:space="0" w:color="auto"/>
            </w:tcBorders>
          </w:tcPr>
          <w:p>
            <w:pPr>
              <w:pStyle w:val="yTableNAm"/>
              <w:jc w:val="center"/>
              <w:rPr>
                <w:b/>
              </w:rPr>
            </w:pPr>
            <w:r>
              <w:rPr>
                <w:b/>
              </w:rPr>
              <w:t>Column B</w:t>
            </w:r>
          </w:p>
          <w:p>
            <w:pPr>
              <w:pStyle w:val="yTableNAm"/>
              <w:jc w:val="center"/>
            </w:pPr>
            <w:r>
              <w:t>Fee for eligible individual</w:t>
            </w:r>
            <w:r>
              <w:b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left" w:pos="470"/>
              </w:tabs>
              <w:ind w:left="470" w:hanging="470"/>
            </w:pPr>
            <w:r>
              <w:t>(a)</w:t>
            </w:r>
            <w:r>
              <w:tab/>
              <w:t xml:space="preserve">For every order or conviction drawn up in the Court’s criminal jurisdiction </w:t>
            </w:r>
          </w:p>
        </w:tc>
        <w:tc>
          <w:tcPr>
            <w:tcW w:w="1417" w:type="dxa"/>
            <w:tcBorders>
              <w:top w:val="single" w:sz="4" w:space="0" w:color="auto"/>
            </w:tcBorders>
            <w:vAlign w:val="bottom"/>
          </w:tcPr>
          <w:p>
            <w:pPr>
              <w:pStyle w:val="yTableNAm"/>
            </w:pPr>
            <w:r>
              <w:t>21.30</w:t>
            </w:r>
          </w:p>
        </w:tc>
        <w:tc>
          <w:tcPr>
            <w:tcW w:w="1418" w:type="dxa"/>
            <w:tcBorders>
              <w:top w:val="single" w:sz="4" w:space="0" w:color="auto"/>
            </w:tcBorders>
            <w:vAlign w:val="bottom"/>
          </w:tcPr>
          <w:p>
            <w:pPr>
              <w:pStyle w:val="yTableNAm"/>
            </w:pPr>
            <w:r>
              <w:t>6.40</w:t>
            </w:r>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Issue of a duplicate document or order</w:t>
            </w:r>
          </w:p>
        </w:tc>
        <w:tc>
          <w:tcPr>
            <w:tcW w:w="1417" w:type="dxa"/>
            <w:vAlign w:val="bottom"/>
          </w:tcPr>
          <w:p>
            <w:pPr>
              <w:pStyle w:val="yTableNAm"/>
            </w:pPr>
            <w:r>
              <w:t>21.30</w:t>
            </w:r>
          </w:p>
        </w:tc>
        <w:tc>
          <w:tcPr>
            <w:tcW w:w="1418" w:type="dxa"/>
            <w:vAlign w:val="bottom"/>
          </w:tcPr>
          <w:p>
            <w:pPr>
              <w:pStyle w:val="yTableNAm"/>
            </w:pPr>
            <w:r>
              <w:t>6.40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vAlign w:val="bottom"/>
          </w:tcPr>
          <w:p>
            <w:pPr>
              <w:pStyle w:val="yTableNAm"/>
            </w:pPr>
            <w:r>
              <w:t>93.00</w:t>
            </w:r>
          </w:p>
        </w:tc>
        <w:tc>
          <w:tcPr>
            <w:tcW w:w="1418" w:type="dxa"/>
            <w:vAlign w:val="bottom"/>
          </w:tcPr>
          <w:p>
            <w:pPr>
              <w:pStyle w:val="yTableNAm"/>
            </w:pPr>
            <w:r>
              <w:t>93.00</w:t>
            </w:r>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tabs>
                <w:tab w:val="clear" w:pos="567"/>
                <w:tab w:val="left" w:pos="470"/>
              </w:tabs>
              <w:ind w:left="470" w:hanging="470"/>
            </w:pPr>
            <w:r>
              <w:t>(a)</w:t>
            </w:r>
            <w:r>
              <w:tab/>
              <w:t xml:space="preserve">for each kilometre travelled (1 way) in the metropolitan area </w:t>
            </w:r>
          </w:p>
        </w:tc>
        <w:tc>
          <w:tcPr>
            <w:tcW w:w="1417" w:type="dxa"/>
            <w:vAlign w:val="bottom"/>
          </w:tcPr>
          <w:p>
            <w:pPr>
              <w:pStyle w:val="yTableNAm"/>
            </w:pPr>
            <w:r>
              <w:t>2.40</w:t>
            </w:r>
          </w:p>
        </w:tc>
        <w:tc>
          <w:tcPr>
            <w:tcW w:w="1418" w:type="dxa"/>
            <w:vAlign w:val="bottom"/>
          </w:tcPr>
          <w:p>
            <w:pPr>
              <w:pStyle w:val="yTableNAm"/>
            </w:pPr>
            <w:r>
              <w:t>2.40</w:t>
            </w:r>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for each kilometre travelled (1 way) outside the metropolitan area </w:t>
            </w:r>
          </w:p>
        </w:tc>
        <w:tc>
          <w:tcPr>
            <w:tcW w:w="1417" w:type="dxa"/>
            <w:vAlign w:val="bottom"/>
          </w:tcPr>
          <w:p>
            <w:pPr>
              <w:pStyle w:val="yTableNAm"/>
            </w:pPr>
            <w:r>
              <w:t>2.65</w:t>
            </w:r>
          </w:p>
        </w:tc>
        <w:tc>
          <w:tcPr>
            <w:tcW w:w="1418" w:type="dxa"/>
            <w:vAlign w:val="bottom"/>
          </w:tcPr>
          <w:p>
            <w:pPr>
              <w:pStyle w:val="yTableNAm"/>
            </w:pPr>
            <w:r>
              <w:t>2.65</w:t>
            </w:r>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tcPr>
          <w:p>
            <w:pPr>
              <w:pStyle w:val="yTableNAm"/>
            </w:pPr>
            <w:r>
              <w:t>4.</w:t>
            </w:r>
          </w:p>
        </w:tc>
        <w:tc>
          <w:tcPr>
            <w:tcW w:w="3544" w:type="dxa"/>
          </w:tcPr>
          <w:p>
            <w:pPr>
              <w:pStyle w:val="yTableNAm"/>
              <w:tabs>
                <w:tab w:val="clear" w:pos="567"/>
                <w:tab w:val="left" w:pos="470"/>
              </w:tabs>
              <w:ind w:left="470" w:hanging="470"/>
            </w:pPr>
            <w:r>
              <w:t>(a)</w:t>
            </w:r>
            <w:r>
              <w:tab/>
              <w:t>For searching any record or proceeding other than a search by or on behalf of a party to the proceedings in the Court’s civil jurisdiction</w:t>
            </w:r>
          </w:p>
        </w:tc>
        <w:tc>
          <w:tcPr>
            <w:tcW w:w="1417" w:type="dxa"/>
            <w:vAlign w:val="bottom"/>
          </w:tcPr>
          <w:p>
            <w:pPr>
              <w:pStyle w:val="yTableNAm"/>
            </w:pPr>
            <w:r>
              <w:t>54.00</w:t>
            </w:r>
          </w:p>
        </w:tc>
        <w:tc>
          <w:tcPr>
            <w:tcW w:w="1418" w:type="dxa"/>
            <w:vAlign w:val="bottom"/>
          </w:tcPr>
          <w:p>
            <w:pPr>
              <w:pStyle w:val="yTableNAm"/>
            </w:pPr>
            <w:r>
              <w:t>16.20</w:t>
            </w:r>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For listening to or viewing any electronic recording that requires supervision by an officer of the Court — </w:t>
            </w:r>
          </w:p>
          <w:p>
            <w:pPr>
              <w:pStyle w:val="yTableNAm"/>
              <w:tabs>
                <w:tab w:val="clear" w:pos="567"/>
                <w:tab w:val="left" w:pos="459"/>
              </w:tabs>
              <w:ind w:left="884" w:hanging="425"/>
            </w:pPr>
            <w:r>
              <w:t>(i)</w:t>
            </w:r>
            <w:r>
              <w:tab/>
              <w:t>a search fee of</w:t>
            </w:r>
          </w:p>
        </w:tc>
        <w:tc>
          <w:tcPr>
            <w:tcW w:w="1417" w:type="dxa"/>
            <w:vAlign w:val="bottom"/>
          </w:tcPr>
          <w:p>
            <w:pPr>
              <w:pStyle w:val="yTableNAm"/>
            </w:pPr>
            <w:r>
              <w:t>54.00</w:t>
            </w:r>
          </w:p>
        </w:tc>
        <w:tc>
          <w:tcPr>
            <w:tcW w:w="1418" w:type="dxa"/>
            <w:vAlign w:val="bottom"/>
          </w:tcPr>
          <w:p>
            <w:pPr>
              <w:pStyle w:val="yTableNAm"/>
            </w:pPr>
            <w:r>
              <w:t>16.20</w:t>
            </w:r>
          </w:p>
        </w:tc>
      </w:tr>
      <w:tr>
        <w:trPr>
          <w:cantSplit/>
        </w:trPr>
        <w:tc>
          <w:tcPr>
            <w:tcW w:w="709" w:type="dxa"/>
          </w:tcPr>
          <w:p>
            <w:pPr>
              <w:pStyle w:val="yTableNAm"/>
            </w:pPr>
          </w:p>
        </w:tc>
        <w:tc>
          <w:tcPr>
            <w:tcW w:w="3544" w:type="dxa"/>
          </w:tcPr>
          <w:p>
            <w:pPr>
              <w:pStyle w:val="yTableNAm"/>
              <w:tabs>
                <w:tab w:val="clear" w:pos="567"/>
                <w:tab w:val="left" w:pos="459"/>
              </w:tabs>
              <w:ind w:left="884" w:hanging="425"/>
            </w:pPr>
            <w:r>
              <w:t>(ii)</w:t>
            </w:r>
            <w:r>
              <w:tab/>
              <w:t>in addition to the search fee, for each hour of the officer’s time</w:t>
            </w:r>
          </w:p>
        </w:tc>
        <w:tc>
          <w:tcPr>
            <w:tcW w:w="1417" w:type="dxa"/>
            <w:vAlign w:val="bottom"/>
          </w:tcPr>
          <w:p>
            <w:pPr>
              <w:pStyle w:val="yTableNAm"/>
            </w:pPr>
            <w:r>
              <w:t>131.50</w:t>
            </w:r>
          </w:p>
        </w:tc>
        <w:tc>
          <w:tcPr>
            <w:tcW w:w="1418" w:type="dxa"/>
            <w:vAlign w:val="bottom"/>
          </w:tcPr>
          <w:p>
            <w:pPr>
              <w:pStyle w:val="yTableNAm"/>
            </w:pPr>
            <w:r>
              <w:t>39.40</w:t>
            </w:r>
          </w:p>
        </w:tc>
      </w:tr>
      <w:tr>
        <w:trPr>
          <w:cantSplit/>
        </w:trPr>
        <w:tc>
          <w:tcPr>
            <w:tcW w:w="709" w:type="dxa"/>
          </w:tcPr>
          <w:p>
            <w:pPr>
              <w:pStyle w:val="yTableNAm"/>
            </w:pPr>
            <w:r>
              <w:t>5.</w:t>
            </w:r>
          </w:p>
        </w:tc>
        <w:tc>
          <w:tcPr>
            <w:tcW w:w="3544" w:type="dxa"/>
          </w:tcPr>
          <w:p>
            <w:pPr>
              <w:pStyle w:val="yTableNAm"/>
              <w:tabs>
                <w:tab w:val="clear" w:pos="567"/>
                <w:tab w:val="left" w:pos="470"/>
              </w:tabs>
              <w:ind w:left="470" w:hanging="470"/>
            </w:pPr>
            <w:r>
              <w:t>(a)</w:t>
            </w:r>
            <w:r>
              <w:tab/>
              <w:t xml:space="preserve">On an application or summons for the production of records or documents that are required to be produced to any court, tribunal, arbitrator or umpire </w:t>
            </w:r>
          </w:p>
        </w:tc>
        <w:tc>
          <w:tcPr>
            <w:tcW w:w="1417" w:type="dxa"/>
            <w:vAlign w:val="bottom"/>
          </w:tcPr>
          <w:p>
            <w:pPr>
              <w:pStyle w:val="yTableNAm"/>
            </w:pPr>
            <w:r>
              <w:t>79.00</w:t>
            </w:r>
          </w:p>
        </w:tc>
        <w:tc>
          <w:tcPr>
            <w:tcW w:w="1418" w:type="dxa"/>
            <w:vAlign w:val="bottom"/>
          </w:tcPr>
          <w:p>
            <w:pPr>
              <w:pStyle w:val="yTableNAm"/>
            </w:pPr>
            <w:r>
              <w:t>23.70</w:t>
            </w:r>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vAlign w:val="bottom"/>
          </w:tcPr>
          <w:p>
            <w:pPr>
              <w:pStyle w:val="yTableNAm"/>
            </w:pPr>
            <w:r>
              <w:t>119.00</w:t>
            </w:r>
          </w:p>
        </w:tc>
        <w:tc>
          <w:tcPr>
            <w:tcW w:w="1418" w:type="dxa"/>
            <w:vAlign w:val="bottom"/>
          </w:tcPr>
          <w:p>
            <w:pPr>
              <w:pStyle w:val="yTableNAm"/>
            </w:pPr>
            <w:r>
              <w:t>35.70</w:t>
            </w:r>
          </w:p>
        </w:tc>
      </w:tr>
      <w:tr>
        <w:trPr>
          <w:cantSplit/>
        </w:trPr>
        <w:tc>
          <w:tcPr>
            <w:tcW w:w="709" w:type="dxa"/>
          </w:tcPr>
          <w:p>
            <w:pPr>
              <w:pStyle w:val="yTableNAm"/>
            </w:pPr>
            <w:r>
              <w:t>6.</w:t>
            </w:r>
          </w:p>
        </w:tc>
        <w:tc>
          <w:tcPr>
            <w:tcW w:w="3544" w:type="dxa"/>
          </w:tcPr>
          <w:p>
            <w:pPr>
              <w:pStyle w:val="yTableNAm"/>
              <w:tabs>
                <w:tab w:val="clear" w:pos="567"/>
                <w:tab w:val="left" w:pos="470"/>
              </w:tabs>
              <w:ind w:left="470" w:hanging="470"/>
            </w:pPr>
            <w:r>
              <w:t>(a)</w:t>
            </w:r>
            <w:r>
              <w:tab/>
              <w:t xml:space="preserve">Copies of documents or exhibits for each page or part of a page </w:t>
            </w:r>
          </w:p>
        </w:tc>
        <w:tc>
          <w:tcPr>
            <w:tcW w:w="1417" w:type="dxa"/>
            <w:vAlign w:val="bottom"/>
          </w:tcPr>
          <w:p>
            <w:pPr>
              <w:pStyle w:val="yTableNAm"/>
            </w:pPr>
            <w:r>
              <w:t>2.25</w:t>
            </w:r>
          </w:p>
        </w:tc>
        <w:tc>
          <w:tcPr>
            <w:tcW w:w="1418" w:type="dxa"/>
            <w:vAlign w:val="bottom"/>
          </w:tcPr>
          <w:p>
            <w:pPr>
              <w:pStyle w:val="yTableNAm"/>
            </w:pPr>
            <w:r>
              <w:t>0.70</w:t>
            </w:r>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For a copy of reasons for judgment — </w:t>
            </w:r>
          </w:p>
          <w:p>
            <w:pPr>
              <w:pStyle w:val="yTableNAm"/>
              <w:tabs>
                <w:tab w:val="clear" w:pos="567"/>
                <w:tab w:val="left" w:pos="459"/>
              </w:tabs>
              <w:ind w:left="884" w:hanging="884"/>
            </w:pPr>
            <w:r>
              <w:tab/>
              <w:t>(i)</w:t>
            </w:r>
            <w:r>
              <w:tab/>
              <w:t xml:space="preserve">for each copy issued to a person not a party to the proceedings and for each copy in excess of 1 copy issued to a party to the proceedings </w:t>
            </w:r>
          </w:p>
        </w:tc>
        <w:tc>
          <w:tcPr>
            <w:tcW w:w="1417" w:type="dxa"/>
            <w:vAlign w:val="bottom"/>
          </w:tcPr>
          <w:p>
            <w:pPr>
              <w:pStyle w:val="yTableNAm"/>
            </w:pPr>
            <w:r>
              <w:t>18.75</w:t>
            </w:r>
          </w:p>
        </w:tc>
        <w:tc>
          <w:tcPr>
            <w:tcW w:w="1418" w:type="dxa"/>
            <w:vAlign w:val="bottom"/>
          </w:tcPr>
          <w:p>
            <w:pPr>
              <w:pStyle w:val="yTableNAm"/>
            </w:pPr>
            <w:r>
              <w:t>5.65</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w:t>
            </w:r>
            <w:r>
              <w:tab/>
              <w:t xml:space="preserve">for each copy consisting of 10 or more pages an additional fee per page of </w:t>
            </w:r>
          </w:p>
        </w:tc>
        <w:tc>
          <w:tcPr>
            <w:tcW w:w="1417" w:type="dxa"/>
            <w:vAlign w:val="bottom"/>
          </w:tcPr>
          <w:p>
            <w:pPr>
              <w:pStyle w:val="yTableNAm"/>
            </w:pPr>
            <w:r>
              <w:t>2.40</w:t>
            </w:r>
          </w:p>
        </w:tc>
        <w:tc>
          <w:tcPr>
            <w:tcW w:w="1418" w:type="dxa"/>
            <w:vAlign w:val="bottom"/>
          </w:tcPr>
          <w:p>
            <w:pPr>
              <w:pStyle w:val="yTableNAm"/>
            </w:pPr>
            <w:r>
              <w:t>0.70</w:t>
            </w:r>
          </w:p>
        </w:tc>
      </w:tr>
      <w:tr>
        <w:trPr>
          <w:cantSplit/>
        </w:trPr>
        <w:tc>
          <w:tcPr>
            <w:tcW w:w="709" w:type="dxa"/>
          </w:tcPr>
          <w:p>
            <w:pPr>
              <w:pStyle w:val="yTableNAm"/>
              <w:keepNext/>
            </w:pPr>
          </w:p>
        </w:tc>
        <w:tc>
          <w:tcPr>
            <w:tcW w:w="3544" w:type="dxa"/>
          </w:tcPr>
          <w:p>
            <w:pPr>
              <w:pStyle w:val="yTableNAm"/>
              <w:tabs>
                <w:tab w:val="clear" w:pos="567"/>
                <w:tab w:val="left" w:pos="470"/>
              </w:tabs>
              <w:ind w:left="470" w:hanging="470"/>
            </w:pPr>
            <w:r>
              <w:t>(c)</w:t>
            </w:r>
            <w:r>
              <w:tab/>
              <w:t xml:space="preserve">For certifying that a document is a true copy, an additional fee of </w:t>
            </w:r>
          </w:p>
        </w:tc>
        <w:tc>
          <w:tcPr>
            <w:tcW w:w="1417" w:type="dxa"/>
            <w:vAlign w:val="bottom"/>
          </w:tcPr>
          <w:p>
            <w:pPr>
              <w:pStyle w:val="yTableNAm"/>
            </w:pPr>
            <w:r>
              <w:t>25.90</w:t>
            </w:r>
          </w:p>
        </w:tc>
        <w:tc>
          <w:tcPr>
            <w:tcW w:w="1418" w:type="dxa"/>
            <w:vAlign w:val="bottom"/>
          </w:tcPr>
          <w:p>
            <w:pPr>
              <w:pStyle w:val="yTableNAm"/>
            </w:pPr>
            <w:r>
              <w:t>7.75</w:t>
            </w:r>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09" w:type="dxa"/>
          </w:tcPr>
          <w:p>
            <w:pPr>
              <w:pStyle w:val="yTableNAm"/>
              <w:keepNext/>
            </w:pPr>
            <w:r>
              <w:t>7.</w:t>
            </w:r>
          </w:p>
        </w:tc>
        <w:tc>
          <w:tcPr>
            <w:tcW w:w="3544" w:type="dxa"/>
          </w:tcPr>
          <w:p>
            <w:pPr>
              <w:pStyle w:val="yTableNAm"/>
              <w:keepNext/>
              <w:tabs>
                <w:tab w:val="clear" w:pos="567"/>
                <w:tab w:val="left" w:pos="470"/>
              </w:tabs>
              <w:ind w:left="470" w:hanging="470"/>
            </w:pPr>
            <w:r>
              <w:t>(a)</w:t>
            </w:r>
            <w:r>
              <w:tab/>
              <w:t xml:space="preserve">For the provision of a transcript, or part of a transcript — </w:t>
            </w:r>
          </w:p>
        </w:tc>
        <w:tc>
          <w:tcPr>
            <w:tcW w:w="1417" w:type="dxa"/>
            <w:vAlign w:val="bottom"/>
          </w:tcPr>
          <w:p>
            <w:pPr>
              <w:pStyle w:val="yTableNAm"/>
              <w:keepNext/>
            </w:pPr>
          </w:p>
        </w:tc>
        <w:tc>
          <w:tcPr>
            <w:tcW w:w="1418" w:type="dxa"/>
            <w:vAlign w:val="bottom"/>
          </w:tcPr>
          <w:p>
            <w:pPr>
              <w:pStyle w:val="yTableNAm"/>
              <w:keepNext/>
            </w:pP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w:t>
            </w:r>
            <w:r>
              <w:tab/>
              <w:t xml:space="preserve">provided within 1 day after the day on which the fee is paid </w:t>
            </w:r>
          </w:p>
        </w:tc>
        <w:tc>
          <w:tcPr>
            <w:tcW w:w="1417" w:type="dxa"/>
          </w:tcPr>
          <w:p>
            <w:pPr>
              <w:pStyle w:val="yTableNAm"/>
            </w:pPr>
            <w:r>
              <w:t>24.90 plus</w:t>
            </w:r>
            <w:r>
              <w:br/>
              <w:t>10.25 per page</w:t>
            </w:r>
          </w:p>
        </w:tc>
        <w:tc>
          <w:tcPr>
            <w:tcW w:w="1418" w:type="dxa"/>
          </w:tcPr>
          <w:p>
            <w:pPr>
              <w:pStyle w:val="yTableNAm"/>
            </w:pPr>
            <w:r>
              <w:t xml:space="preserve">7.45 plus </w:t>
            </w:r>
            <w:r>
              <w:br/>
              <w:t>3.05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w:t>
            </w:r>
            <w:r>
              <w:tab/>
              <w:t xml:space="preserve">provided within 2 days after the day on which the fee is paid </w:t>
            </w:r>
          </w:p>
        </w:tc>
        <w:tc>
          <w:tcPr>
            <w:tcW w:w="1417" w:type="dxa"/>
          </w:tcPr>
          <w:p>
            <w:pPr>
              <w:pStyle w:val="yTableNAm"/>
            </w:pPr>
            <w:r>
              <w:t>24.90 plus</w:t>
            </w:r>
            <w:r>
              <w:br/>
              <w:t>9.40 per page</w:t>
            </w:r>
          </w:p>
        </w:tc>
        <w:tc>
          <w:tcPr>
            <w:tcW w:w="1418" w:type="dxa"/>
          </w:tcPr>
          <w:p>
            <w:pPr>
              <w:pStyle w:val="yTableNAm"/>
            </w:pPr>
            <w:r>
              <w:t xml:space="preserve">7.45 plus </w:t>
            </w:r>
            <w:r>
              <w:br/>
              <w:t>2.80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(iii)</w:t>
            </w:r>
            <w:r>
              <w:tab/>
              <w:t xml:space="preserve">provided within 4 days after the day on which the fee is paid </w:t>
            </w:r>
          </w:p>
        </w:tc>
        <w:tc>
          <w:tcPr>
            <w:tcW w:w="1417" w:type="dxa"/>
          </w:tcPr>
          <w:p>
            <w:pPr>
              <w:pStyle w:val="yTableNAm"/>
            </w:pPr>
            <w:r>
              <w:t>24.90 plus</w:t>
            </w:r>
            <w:r>
              <w:br/>
              <w:t>8.85 per page</w:t>
            </w:r>
          </w:p>
        </w:tc>
        <w:tc>
          <w:tcPr>
            <w:tcW w:w="1418" w:type="dxa"/>
          </w:tcPr>
          <w:p>
            <w:pPr>
              <w:pStyle w:val="yTableNAm"/>
            </w:pPr>
            <w:r>
              <w:t xml:space="preserve">7.45 plus </w:t>
            </w:r>
            <w:r>
              <w:br/>
              <w:t>2.65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(iv)</w:t>
            </w:r>
            <w:r>
              <w:tab/>
              <w:t xml:space="preserve">provided within 7 days after the day on which the fee is paid </w:t>
            </w:r>
          </w:p>
        </w:tc>
        <w:tc>
          <w:tcPr>
            <w:tcW w:w="1417" w:type="dxa"/>
          </w:tcPr>
          <w:p>
            <w:pPr>
              <w:pStyle w:val="yTableNAm"/>
            </w:pPr>
            <w:r>
              <w:t xml:space="preserve">24.90 plus </w:t>
            </w:r>
            <w:r>
              <w:br/>
              <w:t>8.55 per page</w:t>
            </w:r>
          </w:p>
        </w:tc>
        <w:tc>
          <w:tcPr>
            <w:tcW w:w="1418" w:type="dxa"/>
          </w:tcPr>
          <w:p>
            <w:pPr>
              <w:pStyle w:val="yTableNAm"/>
            </w:pPr>
            <w:r>
              <w:t xml:space="preserve">7.45 plus </w:t>
            </w:r>
            <w:r>
              <w:br/>
              <w:t>2.55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(v)</w:t>
            </w:r>
            <w:r>
              <w:tab/>
              <w:t xml:space="preserve">provided within 14 days after the day on which the fee is paid </w:t>
            </w:r>
          </w:p>
        </w:tc>
        <w:tc>
          <w:tcPr>
            <w:tcW w:w="1417" w:type="dxa"/>
          </w:tcPr>
          <w:p>
            <w:pPr>
              <w:pStyle w:val="yTableNAm"/>
            </w:pPr>
            <w:r>
              <w:t xml:space="preserve">24.90 plus </w:t>
            </w:r>
            <w:r>
              <w:br/>
              <w:t>7.25 per page</w:t>
            </w:r>
          </w:p>
        </w:tc>
        <w:tc>
          <w:tcPr>
            <w:tcW w:w="1418" w:type="dxa"/>
          </w:tcPr>
          <w:p>
            <w:pPr>
              <w:pStyle w:val="yTableNAm"/>
            </w:pPr>
            <w:r>
              <w:t xml:space="preserve">7.45 plus </w:t>
            </w:r>
            <w:r>
              <w:br/>
              <w:t>2.15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(vi)</w:t>
            </w:r>
            <w:r>
              <w:tab/>
              <w:t>provided on a running basis (i.e. periodically throughout or following the day of the proceedings)</w:t>
            </w:r>
          </w:p>
        </w:tc>
        <w:tc>
          <w:tcPr>
            <w:tcW w:w="1417" w:type="dxa"/>
          </w:tcPr>
          <w:p>
            <w:pPr>
              <w:pStyle w:val="yTableNAm"/>
            </w:pPr>
            <w:r>
              <w:t xml:space="preserve">24.90 plus </w:t>
            </w:r>
            <w:r>
              <w:br/>
              <w:t>10.90 per page</w:t>
            </w:r>
          </w:p>
        </w:tc>
        <w:tc>
          <w:tcPr>
            <w:tcW w:w="1418" w:type="dxa"/>
          </w:tcPr>
          <w:p>
            <w:pPr>
              <w:pStyle w:val="yTableNAm"/>
            </w:pPr>
            <w:r>
              <w:t xml:space="preserve">7.45 plus </w:t>
            </w:r>
            <w:r>
              <w:br/>
              <w:t>3.25 per page</w:t>
            </w:r>
          </w:p>
        </w:tc>
      </w:tr>
      <w:tr>
        <w:trPr>
          <w:cantSplit/>
        </w:trPr>
        <w:tc>
          <w:tcPr>
            <w:tcW w:w="709" w:type="dxa"/>
          </w:tcPr>
          <w:p>
            <w:pPr>
              <w:pStyle w:val="yTableNAm"/>
              <w:keepNext/>
            </w:pPr>
          </w:p>
        </w:tc>
        <w:tc>
          <w:tcPr>
            <w:tcW w:w="3544" w:type="dxa"/>
          </w:tcPr>
          <w:p>
            <w:pPr>
              <w:pStyle w:val="yTableNAm"/>
              <w:tabs>
                <w:tab w:val="clear" w:pos="567"/>
                <w:tab w:val="left" w:pos="470"/>
              </w:tabs>
              <w:ind w:left="470" w:hanging="470"/>
            </w:pPr>
            <w:r>
              <w:t>(b)</w:t>
            </w:r>
            <w:r>
              <w:tab/>
              <w:t>For the provision of a copy of a transcript, or part of a transcript, where the transcript or part has already been provided to the person requesting the copy —</w:t>
            </w:r>
          </w:p>
        </w:tc>
        <w:tc>
          <w:tcPr>
            <w:tcW w:w="1417" w:type="dxa"/>
          </w:tcPr>
          <w:p>
            <w:pPr>
              <w:pStyle w:val="yTableNAm"/>
              <w:keepNext/>
            </w:pPr>
          </w:p>
        </w:tc>
        <w:tc>
          <w:tcPr>
            <w:tcW w:w="1418" w:type="dxa"/>
          </w:tcPr>
          <w:p>
            <w:pPr>
              <w:pStyle w:val="yTableNAm"/>
              <w:keepNext/>
            </w:pP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w:t>
            </w:r>
            <w:r>
              <w:tab/>
              <w:t xml:space="preserve">electronic format </w:t>
            </w:r>
          </w:p>
        </w:tc>
        <w:tc>
          <w:tcPr>
            <w:tcW w:w="1417" w:type="dxa"/>
          </w:tcPr>
          <w:p>
            <w:pPr>
              <w:pStyle w:val="yTableNAm"/>
            </w:pPr>
            <w:r>
              <w:t>25.90 per copy</w:t>
            </w:r>
          </w:p>
        </w:tc>
        <w:tc>
          <w:tcPr>
            <w:tcW w:w="1418" w:type="dxa"/>
          </w:tcPr>
          <w:p>
            <w:pPr>
              <w:pStyle w:val="yTableNAm"/>
            </w:pPr>
            <w:r>
              <w:t>7.75 per copy</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w:t>
            </w:r>
            <w:r>
              <w:tab/>
              <w:t xml:space="preserve">paper copy </w:t>
            </w:r>
          </w:p>
        </w:tc>
        <w:tc>
          <w:tcPr>
            <w:tcW w:w="1417" w:type="dxa"/>
          </w:tcPr>
          <w:p>
            <w:pPr>
              <w:pStyle w:val="yTableNAm"/>
            </w:pPr>
            <w:r>
              <w:t>2.55 per page</w:t>
            </w:r>
          </w:p>
        </w:tc>
        <w:tc>
          <w:tcPr>
            <w:tcW w:w="1418" w:type="dxa"/>
          </w:tcPr>
          <w:p>
            <w:pPr>
              <w:pStyle w:val="yTableNAm"/>
            </w:pPr>
            <w:r>
              <w:t>0.75 per page</w:t>
            </w:r>
          </w:p>
        </w:tc>
      </w:tr>
      <w:tr>
        <w:trPr>
          <w:cantSplit/>
        </w:trPr>
        <w:tc>
          <w:tcPr>
            <w:tcW w:w="709" w:type="dxa"/>
            <w:tcBorders>
              <w:bottom w:val="single" w:sz="4" w:space="0" w:color="auto"/>
            </w:tcBorders>
          </w:tcPr>
          <w:p>
            <w:pPr>
              <w:pStyle w:val="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spacing w:after="40"/>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2020/124 r. 4.]</w:t>
      </w:r>
    </w:p>
    <w:p>
      <w:pPr>
        <w:pStyle w:val="yHeading3"/>
      </w:pPr>
      <w:bookmarkStart w:id="23" w:name="_Toc47014273"/>
      <w:bookmarkStart w:id="24" w:name="_Toc47081412"/>
      <w:r>
        <w:rPr>
          <w:rStyle w:val="CharSDivNo"/>
        </w:rPr>
        <w:t>Division 2</w:t>
      </w:r>
      <w:r>
        <w:rPr>
          <w:b w:val="0"/>
        </w:rPr>
        <w:t> — </w:t>
      </w:r>
      <w:r>
        <w:rPr>
          <w:rStyle w:val="CharSDivText"/>
        </w:rPr>
        <w:t>Civil jurisdiction</w:t>
      </w:r>
      <w:bookmarkEnd w:id="23"/>
      <w:bookmarkEnd w:id="24"/>
    </w:p>
    <w:p>
      <w:pPr>
        <w:pStyle w:val="yFootnoteheading"/>
        <w:spacing w:after="120"/>
      </w:pPr>
      <w:r>
        <w:tab/>
        <w:t>[Heading inserted: SL 2020/124 r. 4.]</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rPr>
                <w:b/>
              </w:rPr>
            </w:pPr>
            <w:r>
              <w:rPr>
                <w:b/>
              </w:rPr>
              <w:t>Column A</w:t>
            </w:r>
          </w:p>
          <w:p>
            <w:pPr>
              <w:pStyle w:val="yTableNAm"/>
              <w:jc w:val="center"/>
            </w:pPr>
            <w:r>
              <w:t>Fee for individual</w:t>
            </w:r>
            <w:r>
              <w:br/>
            </w:r>
            <w:r>
              <w:br/>
              <w:t>$</w:t>
            </w:r>
          </w:p>
        </w:tc>
        <w:tc>
          <w:tcPr>
            <w:tcW w:w="1559" w:type="dxa"/>
            <w:tcBorders>
              <w:top w:val="single" w:sz="4" w:space="0" w:color="auto"/>
              <w:bottom w:val="single" w:sz="4" w:space="0" w:color="auto"/>
            </w:tcBorders>
          </w:tcPr>
          <w:p>
            <w:pPr>
              <w:pStyle w:val="yTableNAm"/>
              <w:jc w:val="center"/>
              <w:rPr>
                <w:b/>
              </w:rPr>
            </w:pPr>
            <w:r>
              <w:rPr>
                <w:b/>
              </w:rPr>
              <w:t>Column B</w:t>
            </w:r>
          </w:p>
          <w:p>
            <w:pPr>
              <w:pStyle w:val="yTableNAm"/>
              <w:jc w:val="center"/>
            </w:pPr>
            <w:r>
              <w:t>Fee for eligible individual</w:t>
            </w:r>
            <w:r>
              <w:b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vAlign w:val="bottom"/>
          </w:tcPr>
          <w:p>
            <w:pPr>
              <w:pStyle w:val="yTableNAm"/>
            </w:pPr>
            <w:r>
              <w:t>155.00</w:t>
            </w:r>
          </w:p>
        </w:tc>
        <w:tc>
          <w:tcPr>
            <w:tcW w:w="1559" w:type="dxa"/>
            <w:vAlign w:val="bottom"/>
          </w:tcPr>
          <w:p>
            <w:pPr>
              <w:pStyle w:val="yTableNAm"/>
            </w:pPr>
            <w:r>
              <w:t>46.50</w:t>
            </w:r>
          </w:p>
        </w:tc>
      </w:tr>
      <w:tr>
        <w:trPr>
          <w:cantSplit/>
        </w:trPr>
        <w:tc>
          <w:tcPr>
            <w:tcW w:w="741" w:type="dxa"/>
          </w:tcPr>
          <w:p>
            <w:pPr>
              <w:pStyle w:val="yTableNAm"/>
              <w:keepNext/>
            </w:pPr>
            <w:r>
              <w:t>2.</w:t>
            </w:r>
          </w:p>
        </w:tc>
        <w:tc>
          <w:tcPr>
            <w:tcW w:w="3512" w:type="dxa"/>
          </w:tcPr>
          <w:p>
            <w:pPr>
              <w:pStyle w:val="yTableNAm"/>
              <w:keepNext/>
              <w:keepLines/>
            </w:pPr>
            <w:r>
              <w:t xml:space="preserve">On the execution of an arrest warrant of any kind — </w:t>
            </w:r>
          </w:p>
        </w:tc>
        <w:tc>
          <w:tcPr>
            <w:tcW w:w="1276" w:type="dxa"/>
          </w:tcPr>
          <w:p>
            <w:pPr>
              <w:pStyle w:val="yTableNAm"/>
              <w:keepNext/>
              <w:jc w:val="center"/>
            </w:pPr>
          </w:p>
        </w:tc>
        <w:tc>
          <w:tcPr>
            <w:tcW w:w="1559" w:type="dxa"/>
          </w:tcPr>
          <w:p>
            <w:pPr>
              <w:pStyle w:val="yTableNAm"/>
              <w:keepNext/>
            </w:pPr>
          </w:p>
        </w:tc>
      </w:tr>
      <w:tr>
        <w:trPr>
          <w:cantSplit/>
        </w:trPr>
        <w:tc>
          <w:tcPr>
            <w:tcW w:w="741" w:type="dxa"/>
          </w:tcPr>
          <w:p>
            <w:pPr>
              <w:pStyle w:val="yTableNAm"/>
            </w:pPr>
          </w:p>
        </w:tc>
        <w:tc>
          <w:tcPr>
            <w:tcW w:w="3512" w:type="dxa"/>
          </w:tcPr>
          <w:p>
            <w:pPr>
              <w:pStyle w:val="yTableNAm"/>
              <w:tabs>
                <w:tab w:val="clear" w:pos="567"/>
                <w:tab w:val="left" w:pos="470"/>
              </w:tabs>
              <w:ind w:left="470" w:hanging="470"/>
            </w:pPr>
            <w:r>
              <w:t>(a)</w:t>
            </w:r>
            <w:r>
              <w:tab/>
              <w:t xml:space="preserve">for arresting the person </w:t>
            </w:r>
          </w:p>
        </w:tc>
        <w:tc>
          <w:tcPr>
            <w:tcW w:w="1276" w:type="dxa"/>
            <w:vAlign w:val="bottom"/>
          </w:tcPr>
          <w:p>
            <w:pPr>
              <w:pStyle w:val="yTableNAm"/>
            </w:pPr>
            <w:r>
              <w:t>171.00</w:t>
            </w:r>
          </w:p>
        </w:tc>
        <w:tc>
          <w:tcPr>
            <w:tcW w:w="1559" w:type="dxa"/>
            <w:vAlign w:val="bottom"/>
          </w:tcPr>
          <w:p>
            <w:pPr>
              <w:pStyle w:val="yTableNAm"/>
            </w:pPr>
            <w:r>
              <w:t>171.00</w:t>
            </w:r>
          </w:p>
        </w:tc>
      </w:tr>
      <w:tr>
        <w:trPr>
          <w:cantSplit/>
        </w:trPr>
        <w:tc>
          <w:tcPr>
            <w:tcW w:w="741" w:type="dxa"/>
          </w:tcPr>
          <w:p>
            <w:pPr>
              <w:pStyle w:val="yTableNAm"/>
            </w:pPr>
          </w:p>
        </w:tc>
        <w:tc>
          <w:tcPr>
            <w:tcW w:w="3512" w:type="dxa"/>
          </w:tcPr>
          <w:p>
            <w:pPr>
              <w:pStyle w:val="yTableNAm"/>
              <w:tabs>
                <w:tab w:val="clear" w:pos="567"/>
                <w:tab w:val="left" w:pos="470"/>
              </w:tabs>
              <w:ind w:left="470" w:hanging="470"/>
            </w:pPr>
            <w:r>
              <w:t>(b)</w:t>
            </w:r>
            <w:r>
              <w:tab/>
              <w:t>for conveying the person to a court or a custodial place and releasing the person from arrest or custody</w:t>
            </w:r>
          </w:p>
        </w:tc>
        <w:tc>
          <w:tcPr>
            <w:tcW w:w="1276" w:type="dxa"/>
            <w:vAlign w:val="bottom"/>
          </w:tcPr>
          <w:p>
            <w:pPr>
              <w:pStyle w:val="yTableNAm"/>
            </w:pPr>
            <w:r>
              <w:t>169.50</w:t>
            </w:r>
          </w:p>
        </w:tc>
        <w:tc>
          <w:tcPr>
            <w:tcW w:w="1559" w:type="dxa"/>
            <w:vAlign w:val="bottom"/>
          </w:tcPr>
          <w:p>
            <w:pPr>
              <w:pStyle w:val="yTableNAm"/>
            </w:pPr>
            <w:r>
              <w:t>169.50</w:t>
            </w:r>
          </w:p>
        </w:tc>
      </w:tr>
      <w:tr>
        <w:trPr>
          <w:cantSplit/>
        </w:trPr>
        <w:tc>
          <w:tcPr>
            <w:tcW w:w="741" w:type="dxa"/>
          </w:tcPr>
          <w:p>
            <w:pPr>
              <w:pStyle w:val="yTableNAm"/>
            </w:pPr>
          </w:p>
        </w:tc>
        <w:tc>
          <w:tcPr>
            <w:tcW w:w="3512" w:type="dxa"/>
          </w:tcPr>
          <w:p>
            <w:pPr>
              <w:pStyle w:val="yTableNAm"/>
              <w:tabs>
                <w:tab w:val="clear" w:pos="567"/>
                <w:tab w:val="left" w:pos="470"/>
              </w:tabs>
              <w:ind w:left="470" w:hanging="470"/>
            </w:pPr>
            <w:r>
              <w:t>(c)</w:t>
            </w:r>
            <w:r>
              <w:tab/>
              <w:t xml:space="preserve">for each 30 minutes after 2 hours and 30 minutes that an enforcement officer is required to keep the person in custody until the person is conveyed to a court or a custodial place </w:t>
            </w:r>
          </w:p>
        </w:tc>
        <w:tc>
          <w:tcPr>
            <w:tcW w:w="1276" w:type="dxa"/>
            <w:vAlign w:val="bottom"/>
          </w:tcPr>
          <w:p>
            <w:pPr>
              <w:pStyle w:val="yTableNAm"/>
            </w:pPr>
            <w:r>
              <w:t>44.90</w:t>
            </w:r>
          </w:p>
        </w:tc>
        <w:tc>
          <w:tcPr>
            <w:tcW w:w="1559" w:type="dxa"/>
            <w:vAlign w:val="bottom"/>
          </w:tcPr>
          <w:p>
            <w:pPr>
              <w:pStyle w:val="yTableNAm"/>
            </w:pPr>
            <w:r>
              <w:t>44.90</w:t>
            </w:r>
          </w:p>
        </w:tc>
      </w:tr>
      <w:tr>
        <w:trPr>
          <w:cantSplit/>
          <w:trHeight w:val="1100"/>
        </w:trPr>
        <w:tc>
          <w:tcPr>
            <w:tcW w:w="741" w:type="dxa"/>
          </w:tcPr>
          <w:p>
            <w:pPr>
              <w:pStyle w:val="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tcPr>
          <w:p>
            <w:pPr>
              <w:pStyle w:val="yTableNAm"/>
              <w:rPr>
                <w:rFonts w:ascii="Arial" w:hAnsi="Arial" w:cs="Arial"/>
                <w:sz w:val="18"/>
                <w:szCs w:val="18"/>
              </w:rPr>
            </w:pPr>
          </w:p>
        </w:tc>
        <w:tc>
          <w:tcPr>
            <w:tcW w:w="6347" w:type="dxa"/>
            <w:gridSpan w:val="3"/>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994"/>
              </w:tabs>
              <w:spacing w:before="60"/>
              <w:ind w:left="992"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994"/>
              </w:tabs>
              <w:spacing w:before="60"/>
              <w:ind w:left="992"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994"/>
              </w:tabs>
              <w:spacing w:before="60"/>
              <w:ind w:left="992"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994"/>
              </w:tabs>
              <w:spacing w:before="60"/>
              <w:ind w:left="992"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spacing w:after="40"/>
            </w:pPr>
            <w:r>
              <w:rPr>
                <w:szCs w:val="22"/>
              </w:rPr>
              <w:t xml:space="preserve">On filing an application for an extraordinary licence under the </w:t>
            </w:r>
            <w:r>
              <w:rPr>
                <w:i/>
                <w:szCs w:val="22"/>
              </w:rPr>
              <w:t>Road Traffic (Authorisation to Drive) Act 2008</w:t>
            </w:r>
            <w:r>
              <w:rPr>
                <w:iCs/>
                <w:szCs w:val="22"/>
              </w:rPr>
              <w:t xml:space="preserve"> section 27</w:t>
            </w:r>
            <w:r>
              <w:t xml:space="preserve"> </w:t>
            </w:r>
          </w:p>
        </w:tc>
        <w:tc>
          <w:tcPr>
            <w:tcW w:w="1276" w:type="dxa"/>
            <w:tcBorders>
              <w:bottom w:val="single" w:sz="4" w:space="0" w:color="auto"/>
            </w:tcBorders>
            <w:vAlign w:val="bottom"/>
          </w:tcPr>
          <w:p>
            <w:pPr>
              <w:pStyle w:val="yTableNAm"/>
            </w:pPr>
            <w:r>
              <w:t>255.00</w:t>
            </w:r>
          </w:p>
        </w:tc>
        <w:tc>
          <w:tcPr>
            <w:tcW w:w="1559" w:type="dxa"/>
            <w:tcBorders>
              <w:bottom w:val="single" w:sz="4" w:space="0" w:color="auto"/>
            </w:tcBorders>
            <w:vAlign w:val="bottom"/>
          </w:tcPr>
          <w:p>
            <w:pPr>
              <w:pStyle w:val="yTableNAm"/>
            </w:pPr>
            <w:r>
              <w:t>76.50</w:t>
            </w:r>
          </w:p>
        </w:tc>
      </w:tr>
    </w:tbl>
    <w:p>
      <w:pPr>
        <w:pStyle w:val="yFootnotesection"/>
      </w:pPr>
      <w:r>
        <w:tab/>
        <w:t>[Division 2 inserted: SL 2020/124 r. 4.]</w:t>
      </w:r>
    </w:p>
    <w:p>
      <w:pPr>
        <w:pStyle w:val="yHeading3"/>
      </w:pPr>
      <w:bookmarkStart w:id="25" w:name="_Toc47014274"/>
      <w:bookmarkStart w:id="26" w:name="_Toc47081413"/>
      <w:r>
        <w:rPr>
          <w:rStyle w:val="CharSDivNo"/>
        </w:rPr>
        <w:t>Division 3</w:t>
      </w:r>
      <w:r>
        <w:rPr>
          <w:b w:val="0"/>
        </w:rPr>
        <w:t> — </w:t>
      </w:r>
      <w:r>
        <w:rPr>
          <w:rStyle w:val="CharSDivText"/>
        </w:rPr>
        <w:t>Criminal jurisdiction</w:t>
      </w:r>
      <w:bookmarkEnd w:id="25"/>
      <w:bookmarkEnd w:id="26"/>
    </w:p>
    <w:p>
      <w:pPr>
        <w:pStyle w:val="yFootnoteheading"/>
        <w:spacing w:after="120"/>
      </w:pPr>
      <w:r>
        <w:tab/>
        <w:t>[Heading inserted: SL 2020/124 r. 4.]</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jc w:val="center"/>
              <w:rPr>
                <w:b/>
              </w:rPr>
            </w:pPr>
            <w:r>
              <w:rPr>
                <w:b/>
              </w:rPr>
              <w:t>Column A</w:t>
            </w:r>
          </w:p>
          <w:p>
            <w:pPr>
              <w:pStyle w:val="yTableNAm"/>
              <w:jc w:val="center"/>
            </w:pPr>
            <w:r>
              <w:t>Fee for individual</w:t>
            </w:r>
            <w:r>
              <w:br/>
            </w:r>
            <w:r>
              <w:br/>
              <w:t>$</w:t>
            </w:r>
          </w:p>
        </w:tc>
        <w:tc>
          <w:tcPr>
            <w:tcW w:w="1559" w:type="dxa"/>
            <w:tcBorders>
              <w:top w:val="single" w:sz="4" w:space="0" w:color="auto"/>
              <w:bottom w:val="single" w:sz="4" w:space="0" w:color="auto"/>
            </w:tcBorders>
          </w:tcPr>
          <w:p>
            <w:pPr>
              <w:pStyle w:val="yTableNAm"/>
              <w:jc w:val="center"/>
              <w:rPr>
                <w:b/>
              </w:rPr>
            </w:pPr>
            <w:r>
              <w:rPr>
                <w:b/>
              </w:rPr>
              <w:t>Column B</w:t>
            </w:r>
          </w:p>
          <w:p>
            <w:pPr>
              <w:pStyle w:val="yTableNAm"/>
              <w:jc w:val="center"/>
            </w:pPr>
            <w:r>
              <w:t>Fee for eligible individual</w:t>
            </w:r>
            <w:r>
              <w:b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yTableNAm"/>
              <w:keepNext/>
              <w:jc w:val="center"/>
            </w:pPr>
          </w:p>
        </w:tc>
        <w:tc>
          <w:tcPr>
            <w:tcW w:w="1559" w:type="dxa"/>
          </w:tcPr>
          <w:p>
            <w:pPr>
              <w:pStyle w:val="yTableNAm"/>
            </w:pPr>
          </w:p>
        </w:tc>
      </w:tr>
      <w:tr>
        <w:trPr>
          <w:cantSplit/>
        </w:trPr>
        <w:tc>
          <w:tcPr>
            <w:tcW w:w="798" w:type="dxa"/>
          </w:tcPr>
          <w:p>
            <w:pPr>
              <w:pStyle w:val="yTableNAm"/>
            </w:pPr>
          </w:p>
        </w:tc>
        <w:tc>
          <w:tcPr>
            <w:tcW w:w="3455" w:type="dxa"/>
          </w:tcPr>
          <w:p>
            <w:pPr>
              <w:pStyle w:val="yTableNAm"/>
              <w:tabs>
                <w:tab w:val="clear" w:pos="567"/>
                <w:tab w:val="left" w:pos="470"/>
              </w:tabs>
              <w:ind w:left="470" w:hanging="470"/>
            </w:pPr>
            <w:r>
              <w:t>(a)</w:t>
            </w:r>
            <w:r>
              <w:tab/>
              <w:t xml:space="preserve">a prosecution notice </w:t>
            </w:r>
          </w:p>
        </w:tc>
        <w:tc>
          <w:tcPr>
            <w:tcW w:w="1276" w:type="dxa"/>
          </w:tcPr>
          <w:p>
            <w:pPr>
              <w:pStyle w:val="yTableNAm"/>
            </w:pPr>
            <w:r>
              <w:t>130.50</w:t>
            </w:r>
          </w:p>
        </w:tc>
        <w:tc>
          <w:tcPr>
            <w:tcW w:w="1559" w:type="dxa"/>
          </w:tcPr>
          <w:p>
            <w:pPr>
              <w:pStyle w:val="yTableNAm"/>
            </w:pPr>
            <w:r>
              <w:t>39.10</w:t>
            </w:r>
          </w:p>
        </w:tc>
      </w:tr>
      <w:tr>
        <w:trPr>
          <w:cantSplit/>
        </w:trPr>
        <w:tc>
          <w:tcPr>
            <w:tcW w:w="798" w:type="dxa"/>
          </w:tcPr>
          <w:p>
            <w:pPr>
              <w:pStyle w:val="yTableNAm"/>
            </w:pPr>
          </w:p>
        </w:tc>
        <w:tc>
          <w:tcPr>
            <w:tcW w:w="3455" w:type="dxa"/>
          </w:tcPr>
          <w:p>
            <w:pPr>
              <w:pStyle w:val="yTableNAm"/>
              <w:tabs>
                <w:tab w:val="clear" w:pos="567"/>
                <w:tab w:val="left" w:pos="470"/>
              </w:tabs>
              <w:ind w:left="470" w:hanging="470"/>
            </w:pPr>
            <w:r>
              <w:t>(b)</w:t>
            </w:r>
            <w:r>
              <w:tab/>
              <w:t xml:space="preserve">an application under the </w:t>
            </w:r>
            <w:r>
              <w:rPr>
                <w:i/>
              </w:rPr>
              <w:t>Criminal Procedure Act 2004</w:t>
            </w:r>
            <w:r>
              <w:t xml:space="preserve"> section 71 </w:t>
            </w:r>
          </w:p>
        </w:tc>
        <w:tc>
          <w:tcPr>
            <w:tcW w:w="1276" w:type="dxa"/>
            <w:vAlign w:val="bottom"/>
          </w:tcPr>
          <w:p>
            <w:pPr>
              <w:pStyle w:val="yTableNAm"/>
            </w:pPr>
            <w:r>
              <w:t>130.50</w:t>
            </w:r>
          </w:p>
        </w:tc>
        <w:tc>
          <w:tcPr>
            <w:tcW w:w="1559" w:type="dxa"/>
            <w:vAlign w:val="bottom"/>
          </w:tcPr>
          <w:p>
            <w:pPr>
              <w:pStyle w:val="yTableNAm"/>
            </w:pPr>
            <w:r>
              <w:t>39.10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vAlign w:val="bottom"/>
          </w:tcPr>
          <w:p>
            <w:pPr>
              <w:pStyle w:val="yTableNAm"/>
            </w:pPr>
            <w:r>
              <w:t>25.00</w:t>
            </w:r>
          </w:p>
        </w:tc>
        <w:tc>
          <w:tcPr>
            <w:tcW w:w="1559" w:type="dxa"/>
            <w:vAlign w:val="bottom"/>
          </w:tcPr>
          <w:p>
            <w:pPr>
              <w:pStyle w:val="yTableNAm"/>
            </w:pPr>
            <w:r>
              <w:t>7.50</w:t>
            </w:r>
          </w:p>
        </w:tc>
      </w:tr>
      <w:tr>
        <w:trPr>
          <w:cantSplit/>
        </w:trPr>
        <w:tc>
          <w:tcPr>
            <w:tcW w:w="798" w:type="dxa"/>
          </w:tcPr>
          <w:p>
            <w:pPr>
              <w:pStyle w:val="yTableNAm"/>
            </w:pPr>
            <w:r>
              <w:t>3.</w:t>
            </w:r>
          </w:p>
        </w:tc>
        <w:tc>
          <w:tcPr>
            <w:tcW w:w="3455" w:type="dxa"/>
          </w:tcPr>
          <w:p>
            <w:pPr>
              <w:pStyle w:val="yTableNAm"/>
            </w:pPr>
            <w:r>
              <w:t xml:space="preserve">For a warrant of any kind — </w:t>
            </w:r>
          </w:p>
        </w:tc>
        <w:tc>
          <w:tcPr>
            <w:tcW w:w="1276" w:type="dxa"/>
          </w:tcPr>
          <w:p>
            <w:pPr>
              <w:pStyle w:val="yTableNAm"/>
            </w:pPr>
          </w:p>
        </w:tc>
        <w:tc>
          <w:tcPr>
            <w:tcW w:w="1559" w:type="dxa"/>
          </w:tcPr>
          <w:p>
            <w:pPr>
              <w:pStyle w:val="yTableNAm"/>
            </w:pPr>
          </w:p>
        </w:tc>
      </w:tr>
      <w:tr>
        <w:trPr>
          <w:cantSplit/>
        </w:trPr>
        <w:tc>
          <w:tcPr>
            <w:tcW w:w="798" w:type="dxa"/>
          </w:tcPr>
          <w:p>
            <w:pPr>
              <w:pStyle w:val="yTableNAm"/>
            </w:pPr>
          </w:p>
        </w:tc>
        <w:tc>
          <w:tcPr>
            <w:tcW w:w="3455" w:type="dxa"/>
          </w:tcPr>
          <w:p>
            <w:pPr>
              <w:pStyle w:val="yTableNAm"/>
              <w:tabs>
                <w:tab w:val="clear" w:pos="567"/>
                <w:tab w:val="left" w:pos="470"/>
              </w:tabs>
              <w:ind w:left="470" w:hanging="470"/>
            </w:pPr>
            <w:r>
              <w:t>(a)</w:t>
            </w:r>
            <w:r>
              <w:tab/>
              <w:t xml:space="preserve">issue of it </w:t>
            </w:r>
          </w:p>
        </w:tc>
        <w:tc>
          <w:tcPr>
            <w:tcW w:w="1276" w:type="dxa"/>
          </w:tcPr>
          <w:p>
            <w:pPr>
              <w:pStyle w:val="yTableNAm"/>
            </w:pPr>
            <w:r>
              <w:t>130.50</w:t>
            </w:r>
          </w:p>
        </w:tc>
        <w:tc>
          <w:tcPr>
            <w:tcW w:w="1559" w:type="dxa"/>
          </w:tcPr>
          <w:p>
            <w:pPr>
              <w:pStyle w:val="yTableNAm"/>
            </w:pPr>
            <w:r>
              <w:t>39.10</w:t>
            </w:r>
          </w:p>
        </w:tc>
      </w:tr>
      <w:tr>
        <w:trPr>
          <w:cantSplit/>
        </w:trPr>
        <w:tc>
          <w:tcPr>
            <w:tcW w:w="798" w:type="dxa"/>
            <w:tcBorders>
              <w:bottom w:val="single" w:sz="4" w:space="0" w:color="auto"/>
            </w:tcBorders>
          </w:tcPr>
          <w:p>
            <w:pPr>
              <w:pStyle w:val="yTableNAm"/>
            </w:pPr>
          </w:p>
        </w:tc>
        <w:tc>
          <w:tcPr>
            <w:tcW w:w="3455" w:type="dxa"/>
            <w:tcBorders>
              <w:bottom w:val="single" w:sz="4" w:space="0" w:color="auto"/>
            </w:tcBorders>
          </w:tcPr>
          <w:p>
            <w:pPr>
              <w:pStyle w:val="yTableNAm"/>
              <w:tabs>
                <w:tab w:val="clear" w:pos="567"/>
                <w:tab w:val="left" w:pos="470"/>
              </w:tabs>
              <w:spacing w:after="40"/>
              <w:ind w:left="471" w:hanging="471"/>
            </w:pPr>
            <w:r>
              <w:t>(b)</w:t>
            </w:r>
            <w:r>
              <w:tab/>
              <w:t>execution of it</w:t>
            </w:r>
          </w:p>
        </w:tc>
        <w:tc>
          <w:tcPr>
            <w:tcW w:w="1276" w:type="dxa"/>
            <w:tcBorders>
              <w:bottom w:val="single" w:sz="4" w:space="0" w:color="auto"/>
            </w:tcBorders>
          </w:tcPr>
          <w:p>
            <w:pPr>
              <w:pStyle w:val="yTableNAm"/>
            </w:pPr>
            <w:r>
              <w:t>169.50</w:t>
            </w:r>
          </w:p>
        </w:tc>
        <w:tc>
          <w:tcPr>
            <w:tcW w:w="1559" w:type="dxa"/>
            <w:tcBorders>
              <w:bottom w:val="single" w:sz="4" w:space="0" w:color="auto"/>
            </w:tcBorders>
          </w:tcPr>
          <w:p>
            <w:pPr>
              <w:pStyle w:val="yTableNAm"/>
            </w:pPr>
            <w:r>
              <w:t>169.50</w:t>
            </w:r>
          </w:p>
        </w:tc>
      </w:tr>
    </w:tbl>
    <w:p>
      <w:pPr>
        <w:pStyle w:val="yFootnotesection"/>
      </w:pPr>
      <w:r>
        <w:tab/>
        <w:t>[Division 3 inserted: SL 2020/124 r. 4.]</w:t>
      </w:r>
    </w:p>
    <w:bookmarkEnd w:id="20"/>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47013756"/>
      <w:bookmarkStart w:id="29" w:name="_Toc47014275"/>
      <w:bookmarkStart w:id="30" w:name="_Toc47081414"/>
      <w:r>
        <w:t>Notes</w:t>
      </w:r>
      <w:bookmarkEnd w:id="28"/>
      <w:bookmarkEnd w:id="29"/>
      <w:bookmarkEnd w:id="30"/>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31" w:name="_Toc47081415"/>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bottom w:val="single" w:sz="4" w:space="0" w:color="auto"/>
            </w:tcBorders>
            <w:shd w:val="clear" w:color="auto" w:fill="auto"/>
          </w:tcPr>
          <w:p>
            <w:pPr>
              <w:pStyle w:val="nTable"/>
              <w:spacing w:after="40"/>
            </w:pPr>
            <w:r>
              <w:t>SL 2020/124 31 Jul 2020</w:t>
            </w:r>
          </w:p>
        </w:tc>
        <w:tc>
          <w:tcPr>
            <w:tcW w:w="2693" w:type="dxa"/>
            <w:tcBorders>
              <w:bottom w:val="single" w:sz="4" w:space="0" w:color="auto"/>
            </w:tcBorders>
            <w:shd w:val="clear" w:color="auto" w:fill="auto"/>
          </w:tcPr>
          <w:p>
            <w:pPr>
              <w:pStyle w:val="nTable"/>
              <w:spacing w:after="40"/>
              <w:rPr>
                <w:bCs/>
                <w:caps/>
                <w:snapToGrid w:val="0"/>
              </w:rPr>
            </w:pPr>
            <w:r>
              <w:rPr>
                <w:bCs/>
                <w:snapToGrid w:val="0"/>
              </w:rPr>
              <w:t>1 Aug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3" w:name="_Toc47013758"/>
      <w:bookmarkStart w:id="34" w:name="_Toc47014277"/>
      <w:bookmarkStart w:id="35" w:name="_Toc47081416"/>
      <w:r>
        <w:rPr>
          <w:sz w:val="28"/>
        </w:rPr>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45931"/>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3979</Words>
  <Characters>18583</Characters>
  <Application>Microsoft Office Word</Application>
  <DocSecurity>0</DocSecurity>
  <Lines>844</Lines>
  <Paragraphs>501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2005 - 03-f0-00</dc:title>
  <dc:subject/>
  <dc:creator/>
  <cp:keywords/>
  <dc:description/>
  <cp:lastModifiedBy>svcMRProcess</cp:lastModifiedBy>
  <cp:revision>4</cp:revision>
  <cp:lastPrinted>2018-09-04T01:15:00Z</cp:lastPrinted>
  <dcterms:created xsi:type="dcterms:W3CDTF">2020-07-31T06:39:00Z</dcterms:created>
  <dcterms:modified xsi:type="dcterms:W3CDTF">2020-07-31T06:39:00Z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01 Aug 2020</vt:lpwstr>
  </property>
  <property fmtid="{D5CDD505-2E9C-101B-9397-08002B2CF9AE}" pid="8" name="Suffix">
    <vt:lpwstr>03-f0-00</vt:lpwstr>
  </property>
  <property fmtid="{D5CDD505-2E9C-101B-9397-08002B2CF9AE}" pid="9" name="CommencementDate">
    <vt:lpwstr>20200801</vt:lpwstr>
  </property>
</Properties>
</file>