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_Toc48294293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_Toc48294294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_Toc48294295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_Toc48294297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_Toc48294298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_Toc48294299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_Toc48294300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_Toc48294302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_Toc48294303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_Toc48294304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_Toc48294305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_Toc48294306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_Toc48294307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_Toc48294308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_Toc48294309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_Toc48294310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_Toc48294311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_Toc48294312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_Toc48294313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_Toc48294314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_Toc48294316 \h </w:instrText>
      </w:r>
      <w:r>
        <w:fldChar w:fldCharType="separate"/>
      </w:r>
      <w:r>
        <w:t>19</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_Toc48294317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_Toc48294319 \h </w:instrText>
      </w:r>
      <w:r>
        <w:fldChar w:fldCharType="separate"/>
      </w:r>
      <w:r>
        <w:t>21</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_Toc48294320 \h </w:instrText>
      </w:r>
      <w:r>
        <w:fldChar w:fldCharType="separate"/>
      </w:r>
      <w:r>
        <w:t>21</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_Toc48294321 \h </w:instrText>
      </w:r>
      <w:r>
        <w:fldChar w:fldCharType="separate"/>
      </w:r>
      <w:r>
        <w:t>22</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_Toc48294322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_Toc48294331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_Toc48294332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8221830"/>
      <w:bookmarkStart w:id="4" w:name="_Toc48222043"/>
      <w:bookmarkStart w:id="5" w:name="_Toc4829429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8294293"/>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4829429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48294295"/>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0" w:name="_Toc48221834"/>
      <w:bookmarkStart w:id="11" w:name="_Toc48222047"/>
      <w:bookmarkStart w:id="12" w:name="_Toc48294296"/>
      <w:r>
        <w:rPr>
          <w:rStyle w:val="CharPartNo"/>
        </w:rPr>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48294297"/>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48294298"/>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48294299"/>
      <w:r>
        <w:rPr>
          <w:rStyle w:val="CharSectno"/>
        </w:rPr>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48294300"/>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48221839"/>
      <w:bookmarkStart w:id="18" w:name="_Toc48222052"/>
      <w:bookmarkStart w:id="19" w:name="_Toc48294301"/>
      <w:r>
        <w:rPr>
          <w:rStyle w:val="CharPartNo"/>
        </w:rPr>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48294302"/>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48294303"/>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48294304"/>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48294305"/>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48294306"/>
      <w:r>
        <w:rPr>
          <w:rStyle w:val="CharSectno"/>
        </w:rPr>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48294307"/>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48294308"/>
      <w:r>
        <w:rPr>
          <w:rStyle w:val="CharSectno"/>
        </w:rPr>
        <w:t>9F</w:t>
      </w:r>
      <w:r>
        <w:t>.</w:t>
      </w:r>
      <w:r>
        <w:tab/>
        <w:t>Waiving fee for copy of document or transcript</w:t>
      </w:r>
      <w:bookmarkEnd w:id="26"/>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7" w:name="_Toc48294309"/>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yTableNAm"/>
              <w:rPr>
                <w:szCs w:val="22"/>
              </w:rPr>
            </w:pPr>
            <w:r>
              <w:rPr>
                <w:szCs w:val="22"/>
              </w:rPr>
              <w:t>2 015.00</w:t>
            </w:r>
          </w:p>
        </w:tc>
        <w:tc>
          <w:tcPr>
            <w:tcW w:w="1307" w:type="dxa"/>
            <w:tcBorders>
              <w:bottom w:val="nil"/>
            </w:tcBorders>
            <w:vAlign w:val="bottom"/>
          </w:tcPr>
          <w:p>
            <w:pPr>
              <w:pStyle w:val="yTableNAm"/>
              <w:rPr>
                <w:szCs w:val="22"/>
              </w:rPr>
            </w:pPr>
            <w:r>
              <w:rPr>
                <w:szCs w:val="22"/>
              </w:rPr>
              <w:t>2 015.00</w:t>
            </w:r>
          </w:p>
        </w:tc>
        <w:tc>
          <w:tcPr>
            <w:tcW w:w="1308" w:type="dxa"/>
            <w:tcBorders>
              <w:bottom w:val="nil"/>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8" w:type="dxa"/>
            <w:tcBorders>
              <w:top w:val="single" w:sz="4" w:space="0" w:color="auto"/>
              <w:bottom w:val="single" w:sz="4" w:space="0" w:color="auto"/>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376.00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560.00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1 342.00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jc w:val="center"/>
              <w:rPr>
                <w:b/>
                <w:sz w:val="22"/>
                <w:szCs w:val="22"/>
              </w:rPr>
            </w:pPr>
            <w:r>
              <w:rPr>
                <w:b/>
                <w:sz w:val="22"/>
                <w:szCs w:val="22"/>
              </w:rPr>
              <w:t>Item</w:t>
            </w:r>
          </w:p>
        </w:tc>
        <w:tc>
          <w:tcPr>
            <w:tcW w:w="2268" w:type="dxa"/>
            <w:tcBorders>
              <w:bottom w:val="single" w:sz="4" w:space="0" w:color="auto"/>
            </w:tcBorders>
          </w:tcPr>
          <w:p>
            <w:pPr>
              <w:pStyle w:val="TableNAm"/>
              <w:keepNext/>
              <w:jc w:val="center"/>
              <w:rPr>
                <w:b/>
                <w:sz w:val="22"/>
                <w:szCs w:val="22"/>
              </w:rPr>
            </w:pPr>
            <w:r>
              <w:rPr>
                <w:b/>
                <w:sz w:val="22"/>
                <w:szCs w:val="22"/>
              </w:rPr>
              <w:t>Matter</w:t>
            </w:r>
          </w:p>
        </w:tc>
        <w:tc>
          <w:tcPr>
            <w:tcW w:w="1307" w:type="dxa"/>
            <w:tcBorders>
              <w:bottom w:val="single" w:sz="4" w:space="0" w:color="auto"/>
            </w:tcBorders>
          </w:tcPr>
          <w:p>
            <w:pPr>
              <w:pStyle w:val="TableNAm"/>
              <w:keepNext/>
              <w:jc w:val="center"/>
              <w:rPr>
                <w:b/>
                <w:sz w:val="22"/>
                <w:szCs w:val="22"/>
              </w:rPr>
            </w:pPr>
            <w:r>
              <w:rPr>
                <w:b/>
                <w:sz w:val="22"/>
                <w:szCs w:val="22"/>
              </w:rPr>
              <w:t>Column A</w:t>
            </w:r>
          </w:p>
          <w:p>
            <w:pPr>
              <w:pStyle w:val="TableNAm"/>
              <w:keepNext/>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keepNext/>
              <w:jc w:val="center"/>
              <w:rPr>
                <w:b/>
                <w:sz w:val="22"/>
                <w:szCs w:val="22"/>
              </w:rPr>
            </w:pPr>
            <w:r>
              <w:rPr>
                <w:b/>
                <w:sz w:val="22"/>
                <w:szCs w:val="22"/>
              </w:rPr>
              <w:t>Column B</w:t>
            </w:r>
          </w:p>
          <w:p>
            <w:pPr>
              <w:pStyle w:val="TableNAm"/>
              <w:keepNext/>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keepNext/>
              <w:jc w:val="center"/>
              <w:rPr>
                <w:b/>
                <w:sz w:val="22"/>
                <w:szCs w:val="22"/>
              </w:rPr>
            </w:pPr>
            <w:r>
              <w:rPr>
                <w:b/>
                <w:sz w:val="22"/>
                <w:szCs w:val="22"/>
              </w:rPr>
              <w:t>Column C</w:t>
            </w:r>
          </w:p>
          <w:p>
            <w:pPr>
              <w:pStyle w:val="TableNAm"/>
              <w:keepNext/>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135.00</w:t>
            </w:r>
          </w:p>
        </w:tc>
        <w:tc>
          <w:tcPr>
            <w:tcW w:w="1307" w:type="dxa"/>
            <w:tcBorders>
              <w:bottom w:val="nil"/>
            </w:tcBorders>
            <w:vAlign w:val="bottom"/>
          </w:tcPr>
          <w:p>
            <w:pPr>
              <w:pStyle w:val="TableNAm"/>
              <w:rPr>
                <w:sz w:val="22"/>
                <w:szCs w:val="22"/>
              </w:rPr>
            </w:pPr>
            <w:r>
              <w:rPr>
                <w:sz w:val="22"/>
                <w:szCs w:val="22"/>
              </w:rPr>
              <w:t>135.00</w:t>
            </w:r>
          </w:p>
        </w:tc>
        <w:tc>
          <w:tcPr>
            <w:tcW w:w="1308" w:type="dxa"/>
            <w:tcBorders>
              <w:bottom w:val="nil"/>
            </w:tcBorders>
            <w:vAlign w:val="bottom"/>
          </w:tcPr>
          <w:p>
            <w:pPr>
              <w:pStyle w:val="TableNAm"/>
              <w:rPr>
                <w:sz w:val="22"/>
                <w:szCs w:val="22"/>
              </w:rPr>
            </w:pPr>
            <w:r>
              <w:rPr>
                <w:sz w:val="22"/>
                <w:szCs w:val="22"/>
              </w:rPr>
              <w:t>40.50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80.00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130.50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193.50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39.10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w:t>
      </w:r>
    </w:p>
    <w:p>
      <w:pPr>
        <w:pStyle w:val="Heading5"/>
        <w:pageBreakBefore/>
        <w:spacing w:before="0"/>
      </w:pPr>
      <w:bookmarkStart w:id="28" w:name="_Toc48294310"/>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736.00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276"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1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30"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276" w:type="dxa"/>
            <w:tcBorders>
              <w:bottom w:val="nil"/>
            </w:tcBorders>
            <w:vAlign w:val="bottom"/>
          </w:tcPr>
          <w:p>
            <w:pPr>
              <w:pStyle w:val="TableNAm"/>
              <w:rPr>
                <w:sz w:val="22"/>
                <w:szCs w:val="22"/>
              </w:rPr>
            </w:pPr>
            <w:r>
              <w:rPr>
                <w:sz w:val="22"/>
                <w:szCs w:val="22"/>
              </w:rPr>
              <w:t>1 342.00</w:t>
            </w:r>
          </w:p>
        </w:tc>
        <w:tc>
          <w:tcPr>
            <w:tcW w:w="1316" w:type="dxa"/>
            <w:tcBorders>
              <w:bottom w:val="nil"/>
            </w:tcBorders>
            <w:vAlign w:val="bottom"/>
          </w:tcPr>
          <w:p>
            <w:pPr>
              <w:pStyle w:val="TableNAm"/>
              <w:rPr>
                <w:sz w:val="22"/>
                <w:szCs w:val="22"/>
              </w:rPr>
            </w:pPr>
            <w:r>
              <w:rPr>
                <w:sz w:val="22"/>
                <w:szCs w:val="22"/>
              </w:rPr>
              <w:t>1 342.00</w:t>
            </w:r>
          </w:p>
        </w:tc>
        <w:tc>
          <w:tcPr>
            <w:tcW w:w="1330"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1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30"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27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1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30" w:type="dxa"/>
            <w:tcBorders>
              <w:top w:val="single" w:sz="4" w:space="0" w:color="auto"/>
              <w:bottom w:val="single" w:sz="4" w:space="0" w:color="auto"/>
            </w:tcBorders>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w:t>
      </w:r>
    </w:p>
    <w:p>
      <w:pPr>
        <w:pStyle w:val="Heading5"/>
      </w:pPr>
      <w:bookmarkStart w:id="29" w:name="_Toc48294311"/>
      <w:r>
        <w:rPr>
          <w:rStyle w:val="CharSectno"/>
        </w:rPr>
        <w:t>11A</w:t>
      </w:r>
      <w:r>
        <w:t>.</w:t>
      </w:r>
      <w:r>
        <w:tab/>
        <w:t>No fee relating to application under provision in Sch. 7</w:t>
      </w:r>
      <w:bookmarkEnd w:id="29"/>
    </w:p>
    <w:p>
      <w:pPr>
        <w:pStyle w:val="Subsection"/>
        <w:keepNext/>
      </w:pPr>
      <w:r>
        <w:tab/>
      </w:r>
      <w:r>
        <w:tab/>
        <w:t>A fee is not to be charged in respect of an application made under a provision listed in Schedule 7 or proceedings in relation to such an application.</w:t>
      </w:r>
    </w:p>
    <w:p>
      <w:pPr>
        <w:pStyle w:val="Footnotesection"/>
        <w:keepNext/>
        <w:spacing w:before="100"/>
        <w:ind w:left="890" w:hanging="890"/>
      </w:pPr>
      <w:r>
        <w:tab/>
        <w:t>[Regulation 11A inserted: Gazette 6 Aug 2013 p. 3652; amended: Gazette 31 Dec 2019 p. 4657.]</w:t>
      </w:r>
    </w:p>
    <w:p>
      <w:pPr>
        <w:pStyle w:val="Heading5"/>
      </w:pPr>
      <w:bookmarkStart w:id="30" w:name="_Toc48294312"/>
      <w:r>
        <w:rPr>
          <w:rStyle w:val="CharSectno"/>
        </w:rPr>
        <w:t>11B</w:t>
      </w:r>
      <w:r>
        <w:t>.</w:t>
      </w:r>
      <w:r>
        <w:tab/>
        <w:t>Fees relating to application not covered by r. 9, 10 or 11A</w:t>
      </w:r>
      <w:bookmarkEnd w:id="30"/>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 provision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41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27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229"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417" w:type="dxa"/>
            <w:tcBorders>
              <w:bottom w:val="nil"/>
            </w:tcBorders>
            <w:vAlign w:val="bottom"/>
          </w:tcPr>
          <w:p>
            <w:pPr>
              <w:pStyle w:val="TableNAm"/>
              <w:rPr>
                <w:sz w:val="22"/>
                <w:szCs w:val="22"/>
              </w:rPr>
            </w:pPr>
            <w:r>
              <w:rPr>
                <w:sz w:val="22"/>
                <w:szCs w:val="22"/>
              </w:rPr>
              <w:t>605.00</w:t>
            </w:r>
          </w:p>
        </w:tc>
        <w:tc>
          <w:tcPr>
            <w:tcW w:w="1276" w:type="dxa"/>
            <w:tcBorders>
              <w:bottom w:val="nil"/>
            </w:tcBorders>
            <w:vAlign w:val="bottom"/>
          </w:tcPr>
          <w:p>
            <w:pPr>
              <w:pStyle w:val="TableNAm"/>
              <w:rPr>
                <w:sz w:val="22"/>
                <w:szCs w:val="22"/>
              </w:rPr>
            </w:pPr>
            <w:r>
              <w:rPr>
                <w:sz w:val="22"/>
                <w:szCs w:val="22"/>
              </w:rPr>
              <w:t>605.00</w:t>
            </w:r>
          </w:p>
        </w:tc>
        <w:tc>
          <w:tcPr>
            <w:tcW w:w="1229"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29"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417" w:type="dxa"/>
            <w:tcBorders>
              <w:top w:val="single" w:sz="4" w:space="0" w:color="auto"/>
              <w:bottom w:val="single" w:sz="4" w:space="0" w:color="auto"/>
            </w:tcBorders>
          </w:tcPr>
          <w:p>
            <w:pPr>
              <w:pStyle w:val="TableNAm"/>
              <w:rPr>
                <w:sz w:val="22"/>
                <w:szCs w:val="22"/>
              </w:rPr>
            </w:pPr>
            <w:r>
              <w:rPr>
                <w:sz w:val="22"/>
                <w:szCs w:val="22"/>
              </w:rPr>
              <w:t>210.00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317.00 plus assessment fee of 2.50% of the costs claimed in the application</w:t>
            </w:r>
          </w:p>
        </w:tc>
        <w:tc>
          <w:tcPr>
            <w:tcW w:w="1229" w:type="dxa"/>
            <w:tcBorders>
              <w:top w:val="single" w:sz="4" w:space="0" w:color="auto"/>
              <w:bottom w:val="single" w:sz="4" w:space="0" w:color="auto"/>
            </w:tcBorders>
          </w:tcPr>
          <w:p>
            <w:pPr>
              <w:pStyle w:val="TableNAm"/>
              <w:rPr>
                <w:sz w:val="22"/>
                <w:szCs w:val="22"/>
              </w:rPr>
            </w:pPr>
            <w:r>
              <w:rPr>
                <w:sz w:val="22"/>
                <w:szCs w:val="22"/>
              </w:rPr>
              <w:t>63.00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w:t>
      </w:r>
    </w:p>
    <w:p>
      <w:pPr>
        <w:pStyle w:val="Heading5"/>
        <w:spacing w:before="180"/>
      </w:pPr>
      <w:bookmarkStart w:id="31" w:name="_Toc48294313"/>
      <w:r>
        <w:rPr>
          <w:rStyle w:val="CharSectno"/>
        </w:rPr>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48294314"/>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48221853"/>
      <w:bookmarkStart w:id="34" w:name="_Toc48222066"/>
      <w:bookmarkStart w:id="35" w:name="_Toc4829431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48294316"/>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48294317"/>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48221856"/>
      <w:bookmarkStart w:id="39" w:name="_Toc48222069"/>
      <w:bookmarkStart w:id="40" w:name="_Toc4829431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48294319"/>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48294320"/>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48294321"/>
      <w:r>
        <w:rPr>
          <w:rStyle w:val="CharSectno"/>
        </w:rPr>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48294322"/>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48221861"/>
      <w:bookmarkStart w:id="46" w:name="_Toc48222074"/>
      <w:bookmarkStart w:id="47" w:name="_Toc4829432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48221862"/>
      <w:bookmarkStart w:id="50" w:name="_Toc48222075"/>
      <w:bookmarkStart w:id="51" w:name="_Toc48294324"/>
      <w:r>
        <w:rPr>
          <w:rStyle w:val="CharSchNo"/>
        </w:rPr>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2" w:name="_Toc48221863"/>
      <w:bookmarkStart w:id="53" w:name="_Toc48222076"/>
      <w:bookmarkStart w:id="54" w:name="_Toc48294325"/>
      <w:r>
        <w:rPr>
          <w:rStyle w:val="CharSchNo"/>
        </w:rPr>
        <w:t>Schedule 3</w:t>
      </w:r>
      <w:r>
        <w:t> — </w:t>
      </w:r>
      <w:r>
        <w:rPr>
          <w:rStyle w:val="CharSchText"/>
        </w:rPr>
        <w:t>Provision under which application made</w:t>
      </w:r>
      <w:bookmarkEnd w:id="52"/>
      <w:bookmarkEnd w:id="53"/>
      <w:bookmarkEnd w:id="5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55" w:name="_Toc48221864"/>
      <w:bookmarkStart w:id="56" w:name="_Toc48222077"/>
      <w:bookmarkStart w:id="57" w:name="_Toc48294326"/>
      <w:r>
        <w:rPr>
          <w:rStyle w:val="CharSchNo"/>
        </w:rPr>
        <w:t>Schedule 4</w:t>
      </w:r>
      <w:r>
        <w:t> — </w:t>
      </w:r>
      <w:r>
        <w:rPr>
          <w:rStyle w:val="CharSchText"/>
        </w:rPr>
        <w:t>Provision under which application made</w:t>
      </w:r>
      <w:bookmarkEnd w:id="55"/>
      <w:bookmarkEnd w:id="56"/>
      <w:bookmarkEnd w:id="5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58" w:name="_Toc48221865"/>
      <w:bookmarkStart w:id="59" w:name="_Toc48222078"/>
      <w:bookmarkStart w:id="60" w:name="_Toc48294327"/>
      <w:r>
        <w:rPr>
          <w:rStyle w:val="CharSchNo"/>
        </w:rPr>
        <w:t>Schedule 6</w:t>
      </w:r>
      <w:r>
        <w:t> — </w:t>
      </w:r>
      <w:r>
        <w:rPr>
          <w:rStyle w:val="CharSchText"/>
        </w:rPr>
        <w:t>Provision under which application made</w:t>
      </w:r>
      <w:bookmarkEnd w:id="58"/>
      <w:bookmarkEnd w:id="59"/>
      <w:bookmarkEnd w:id="6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2020</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w:t>
      </w:r>
    </w:p>
    <w:p>
      <w:pPr>
        <w:pStyle w:val="yScheduleHeading"/>
      </w:pPr>
      <w:bookmarkStart w:id="61" w:name="_Toc48221866"/>
      <w:bookmarkStart w:id="62" w:name="_Toc48222079"/>
      <w:bookmarkStart w:id="63" w:name="_Toc48294328"/>
      <w:r>
        <w:rPr>
          <w:rStyle w:val="CharSchNo"/>
        </w:rPr>
        <w:t>Schedule 7</w:t>
      </w:r>
      <w:r>
        <w:t> — </w:t>
      </w:r>
      <w:r>
        <w:rPr>
          <w:rStyle w:val="CharSchText"/>
        </w:rPr>
        <w:t>Provision under which application made</w:t>
      </w:r>
      <w:bookmarkEnd w:id="61"/>
      <w:bookmarkEnd w:id="62"/>
      <w:bookmarkEnd w:id="63"/>
    </w:p>
    <w:p>
      <w:pPr>
        <w:pStyle w:val="yShoulderClause"/>
      </w:pPr>
      <w:r>
        <w:t>[r. 11A]</w:t>
      </w:r>
    </w:p>
    <w:p>
      <w:pPr>
        <w:pStyle w:val="yFootnoteheading"/>
      </w:pPr>
      <w:r>
        <w:tab/>
        <w:t>[Heading inserted: Gazette 31 Dec 2019 p. 4659.]</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w:t>
      </w:r>
    </w:p>
    <w:p>
      <w:pPr>
        <w:pStyle w:val="yEdnoteschedule"/>
      </w:pPr>
      <w:r>
        <w:t>[Schedules 8</w:t>
      </w:r>
      <w:r>
        <w:noBreakHyphen/>
        <w:t>19 deleted: Gazette 26 Jun 2007 p. 2987.]</w:t>
      </w:r>
    </w:p>
    <w:p>
      <w:pPr>
        <w:pStyle w:val="yScheduleHeading"/>
      </w:pPr>
      <w:bookmarkStart w:id="64" w:name="_Toc48221867"/>
      <w:bookmarkStart w:id="65" w:name="_Toc48222080"/>
      <w:bookmarkStart w:id="66" w:name="_Toc48294329"/>
      <w:r>
        <w:rPr>
          <w:rStyle w:val="CharSchNo"/>
        </w:rPr>
        <w:t>Schedule 20</w:t>
      </w:r>
      <w:r>
        <w:t> — </w:t>
      </w:r>
      <w:r>
        <w:rPr>
          <w:rStyle w:val="CharSchText"/>
        </w:rPr>
        <w:t>Other fees</w:t>
      </w:r>
      <w:bookmarkEnd w:id="64"/>
      <w:bookmarkEnd w:id="65"/>
      <w:bookmarkEnd w:id="66"/>
    </w:p>
    <w:p>
      <w:pPr>
        <w:pStyle w:val="yShoulderClause"/>
      </w:pPr>
      <w:r>
        <w:t>[r. 27]</w:t>
      </w:r>
    </w:p>
    <w:p>
      <w:pPr>
        <w:pStyle w:val="yFootnoteheading"/>
        <w:spacing w:after="120"/>
      </w:pPr>
      <w:r>
        <w:tab/>
        <w:t>[Heading inserted: SL 2020/124 r. 21.]</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vAlign w:val="bottom"/>
          </w:tcPr>
          <w:p>
            <w:pPr>
              <w:pStyle w:val="yTableNAm"/>
              <w:rPr>
                <w:szCs w:val="22"/>
              </w:rPr>
            </w:pPr>
            <w:r>
              <w:rPr>
                <w:szCs w:val="22"/>
              </w:rPr>
              <w:t>122.50</w:t>
            </w:r>
          </w:p>
        </w:tc>
        <w:tc>
          <w:tcPr>
            <w:tcW w:w="1259" w:type="dxa"/>
            <w:tcBorders>
              <w:left w:val="nil"/>
              <w:bottom w:val="nil"/>
              <w:right w:val="nil"/>
            </w:tcBorders>
            <w:vAlign w:val="bottom"/>
          </w:tcPr>
          <w:p>
            <w:pPr>
              <w:pStyle w:val="yTableNAm"/>
              <w:rPr>
                <w:szCs w:val="22"/>
              </w:rPr>
            </w:pPr>
            <w:r>
              <w:rPr>
                <w:szCs w:val="22"/>
              </w:rPr>
              <w:t>246.00</w:t>
            </w:r>
          </w:p>
        </w:tc>
        <w:tc>
          <w:tcPr>
            <w:tcW w:w="1223" w:type="dxa"/>
            <w:tcBorders>
              <w:left w:val="nil"/>
              <w:bottom w:val="nil"/>
              <w:right w:val="nil"/>
            </w:tcBorders>
            <w:vAlign w:val="bottom"/>
          </w:tcPr>
          <w:p>
            <w:pPr>
              <w:pStyle w:val="yTableNAm"/>
              <w:rPr>
                <w:szCs w:val="22"/>
              </w:rPr>
            </w:pPr>
            <w:r>
              <w:rPr>
                <w:szCs w:val="22"/>
              </w:rPr>
              <w:t>36.80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vAlign w:val="bottom"/>
          </w:tcPr>
          <w:p>
            <w:pPr>
              <w:pStyle w:val="yTableNAm"/>
            </w:pPr>
            <w:r>
              <w:t>1.75</w:t>
            </w:r>
          </w:p>
        </w:tc>
        <w:tc>
          <w:tcPr>
            <w:tcW w:w="1259" w:type="dxa"/>
            <w:tcBorders>
              <w:top w:val="nil"/>
              <w:left w:val="nil"/>
              <w:bottom w:val="nil"/>
              <w:right w:val="nil"/>
            </w:tcBorders>
            <w:vAlign w:val="bottom"/>
          </w:tcPr>
          <w:p>
            <w:pPr>
              <w:pStyle w:val="yTableNAm"/>
            </w:pPr>
            <w:r>
              <w:t>1.75</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vAlign w:val="bottom"/>
          </w:tcPr>
          <w:p>
            <w:pPr>
              <w:pStyle w:val="yTableNAm"/>
              <w:spacing w:before="60"/>
              <w:ind w:right="34"/>
              <w:rPr>
                <w:szCs w:val="22"/>
              </w:rPr>
            </w:pPr>
          </w:p>
        </w:tc>
        <w:tc>
          <w:tcPr>
            <w:tcW w:w="1259" w:type="dxa"/>
            <w:tcBorders>
              <w:top w:val="nil"/>
              <w:left w:val="nil"/>
              <w:bottom w:val="nil"/>
              <w:right w:val="nil"/>
            </w:tcBorders>
            <w:vAlign w:val="bottom"/>
          </w:tcPr>
          <w:p>
            <w:pPr>
              <w:pStyle w:val="yTableNAm"/>
              <w:spacing w:before="60"/>
              <w:ind w:right="34"/>
              <w:rPr>
                <w:szCs w:val="22"/>
              </w:rPr>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23.90</w:t>
            </w:r>
          </w:p>
        </w:tc>
        <w:tc>
          <w:tcPr>
            <w:tcW w:w="1259" w:type="dxa"/>
            <w:tcBorders>
              <w:top w:val="nil"/>
              <w:left w:val="nil"/>
              <w:bottom w:val="nil"/>
              <w:right w:val="nil"/>
            </w:tcBorders>
            <w:vAlign w:val="bottom"/>
          </w:tcPr>
          <w:p>
            <w:pPr>
              <w:pStyle w:val="yTableNAm"/>
            </w:pPr>
            <w:r>
              <w:t>23.90</w:t>
            </w:r>
          </w:p>
        </w:tc>
        <w:tc>
          <w:tcPr>
            <w:tcW w:w="1223" w:type="dxa"/>
            <w:tcBorders>
              <w:top w:val="nil"/>
              <w:left w:val="nil"/>
              <w:bottom w:val="nil"/>
              <w:right w:val="nil"/>
            </w:tcBorders>
            <w:vAlign w:val="bottom"/>
          </w:tcPr>
          <w:p>
            <w:pPr>
              <w:pStyle w:val="yTableNAm"/>
            </w:pPr>
            <w:r>
              <w:t>7.15</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5" w:hanging="885"/>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10.25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20.45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3.05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9.40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18.75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2.80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8.85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17.90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2.65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r>
            <w:r>
              <w:t xml:space="preserve">8.55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17.00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2.55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7.25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14.50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10.90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t>21.80 per page</w:t>
            </w:r>
          </w:p>
        </w:tc>
        <w:tc>
          <w:tcPr>
            <w:tcW w:w="1223" w:type="dxa"/>
            <w:tcBorders>
              <w:top w:val="nil"/>
              <w:left w:val="nil"/>
              <w:bottom w:val="nil"/>
              <w:right w:val="nil"/>
            </w:tcBorders>
          </w:tcPr>
          <w:p>
            <w:pPr>
              <w:pStyle w:val="yTableNAm"/>
              <w:rPr>
                <w:szCs w:val="22"/>
              </w:rPr>
            </w:pPr>
            <w:r>
              <w:t>7.45</w:t>
            </w:r>
            <w:r>
              <w:rPr>
                <w:szCs w:val="22"/>
              </w:rPr>
              <w:t xml:space="preserve"> plus </w:t>
            </w:r>
            <w:r>
              <w:rPr>
                <w:szCs w:val="22"/>
              </w:rPr>
              <w:br/>
            </w:r>
            <w:r>
              <w:t xml:space="preserve">3.25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t xml:space="preserve">25.90 </w:t>
            </w:r>
            <w:r>
              <w:rPr>
                <w:szCs w:val="22"/>
              </w:rPr>
              <w:t>per copy</w:t>
            </w:r>
          </w:p>
        </w:tc>
        <w:tc>
          <w:tcPr>
            <w:tcW w:w="1259" w:type="dxa"/>
            <w:tcBorders>
              <w:top w:val="nil"/>
              <w:left w:val="nil"/>
              <w:bottom w:val="nil"/>
              <w:right w:val="nil"/>
            </w:tcBorders>
          </w:tcPr>
          <w:p>
            <w:pPr>
              <w:pStyle w:val="yTableNAm"/>
              <w:rPr>
                <w:szCs w:val="22"/>
              </w:rPr>
            </w:pPr>
            <w:r>
              <w:t xml:space="preserve">25.90 </w:t>
            </w:r>
            <w:r>
              <w:rPr>
                <w:szCs w:val="22"/>
              </w:rPr>
              <w:t>per copy</w:t>
            </w:r>
          </w:p>
        </w:tc>
        <w:tc>
          <w:tcPr>
            <w:tcW w:w="1223" w:type="dxa"/>
            <w:tcBorders>
              <w:top w:val="nil"/>
              <w:left w:val="nil"/>
              <w:bottom w:val="nil"/>
              <w:right w:val="nil"/>
            </w:tcBorders>
          </w:tcPr>
          <w:p>
            <w:pPr>
              <w:pStyle w:val="yTableNAm"/>
              <w:rPr>
                <w:szCs w:val="22"/>
              </w:rPr>
            </w:pPr>
            <w:r>
              <w:t xml:space="preserve">7.75 </w:t>
            </w:r>
            <w:r>
              <w:rPr>
                <w:szCs w:val="22"/>
              </w:rPr>
              <w:t>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t xml:space="preserve">2.55 </w:t>
            </w:r>
            <w:r>
              <w:rPr>
                <w:szCs w:val="22"/>
              </w:rPr>
              <w:t>per page</w:t>
            </w:r>
          </w:p>
        </w:tc>
        <w:tc>
          <w:tcPr>
            <w:tcW w:w="1259" w:type="dxa"/>
            <w:tcBorders>
              <w:top w:val="nil"/>
              <w:left w:val="nil"/>
              <w:bottom w:val="nil"/>
              <w:right w:val="nil"/>
            </w:tcBorders>
          </w:tcPr>
          <w:p>
            <w:pPr>
              <w:pStyle w:val="yTableNAm"/>
              <w:rPr>
                <w:szCs w:val="22"/>
              </w:rPr>
            </w:pPr>
            <w:r>
              <w:t xml:space="preserve">2.55 </w:t>
            </w:r>
            <w:r>
              <w:rPr>
                <w:szCs w:val="22"/>
              </w:rPr>
              <w:t>per page</w:t>
            </w:r>
          </w:p>
        </w:tc>
        <w:tc>
          <w:tcPr>
            <w:tcW w:w="1223" w:type="dxa"/>
            <w:tcBorders>
              <w:top w:val="nil"/>
              <w:left w:val="nil"/>
              <w:bottom w:val="nil"/>
              <w:right w:val="nil"/>
            </w:tcBorders>
          </w:tcPr>
          <w:p>
            <w:pPr>
              <w:pStyle w:val="yTableNAm"/>
              <w:rPr>
                <w:szCs w:val="22"/>
              </w:rPr>
            </w:pPr>
            <w:r>
              <w:rPr>
                <w:szCs w:val="22"/>
              </w:rPr>
              <w:t>0.75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27.00</w:t>
            </w:r>
          </w:p>
        </w:tc>
        <w:tc>
          <w:tcPr>
            <w:tcW w:w="1259" w:type="dxa"/>
            <w:tcBorders>
              <w:top w:val="nil"/>
              <w:left w:val="nil"/>
              <w:bottom w:val="nil"/>
              <w:right w:val="nil"/>
            </w:tcBorders>
            <w:vAlign w:val="bottom"/>
          </w:tcPr>
          <w:p>
            <w:pPr>
              <w:pStyle w:val="yTableNAm"/>
            </w:pPr>
            <w:r>
              <w:t>27.00</w:t>
            </w:r>
          </w:p>
        </w:tc>
        <w:tc>
          <w:tcPr>
            <w:tcW w:w="1223" w:type="dxa"/>
            <w:tcBorders>
              <w:top w:val="nil"/>
              <w:left w:val="nil"/>
              <w:bottom w:val="nil"/>
              <w:right w:val="nil"/>
            </w:tcBorders>
            <w:vAlign w:val="bottom"/>
          </w:tcPr>
          <w:p>
            <w:pPr>
              <w:pStyle w:val="yTableNAm"/>
            </w:pPr>
            <w:r>
              <w:t>8.10</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60.00</w:t>
            </w:r>
          </w:p>
        </w:tc>
        <w:tc>
          <w:tcPr>
            <w:tcW w:w="1259" w:type="dxa"/>
            <w:tcBorders>
              <w:top w:val="nil"/>
              <w:left w:val="nil"/>
              <w:bottom w:val="nil"/>
              <w:right w:val="nil"/>
            </w:tcBorders>
            <w:vAlign w:val="bottom"/>
          </w:tcPr>
          <w:p>
            <w:pPr>
              <w:pStyle w:val="yTableNAm"/>
            </w:pPr>
            <w:r>
              <w:t>60.00</w:t>
            </w:r>
          </w:p>
        </w:tc>
        <w:tc>
          <w:tcPr>
            <w:tcW w:w="1223" w:type="dxa"/>
            <w:tcBorders>
              <w:top w:val="nil"/>
              <w:left w:val="nil"/>
              <w:bottom w:val="nil"/>
              <w:right w:val="nil"/>
            </w:tcBorders>
            <w:vAlign w:val="bottom"/>
          </w:tcPr>
          <w:p>
            <w:pPr>
              <w:pStyle w:val="yTableNAm"/>
            </w:pPr>
            <w:r>
              <w:t>18.00</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vAlign w:val="bottom"/>
          </w:tcPr>
          <w:p>
            <w:pPr>
              <w:pStyle w:val="yTableNAm"/>
            </w:pPr>
            <w:r>
              <w:t>49.50</w:t>
            </w:r>
          </w:p>
        </w:tc>
        <w:tc>
          <w:tcPr>
            <w:tcW w:w="1259" w:type="dxa"/>
            <w:tcBorders>
              <w:top w:val="nil"/>
              <w:left w:val="nil"/>
              <w:bottom w:val="single" w:sz="4" w:space="0" w:color="auto"/>
              <w:right w:val="nil"/>
            </w:tcBorders>
            <w:vAlign w:val="bottom"/>
          </w:tcPr>
          <w:p>
            <w:pPr>
              <w:pStyle w:val="yTableNAm"/>
            </w:pPr>
            <w:r>
              <w:t>49.50</w:t>
            </w:r>
          </w:p>
        </w:tc>
        <w:tc>
          <w:tcPr>
            <w:tcW w:w="1223" w:type="dxa"/>
            <w:tcBorders>
              <w:top w:val="nil"/>
              <w:left w:val="nil"/>
              <w:bottom w:val="single" w:sz="4" w:space="0" w:color="auto"/>
              <w:right w:val="nil"/>
            </w:tcBorders>
            <w:vAlign w:val="bottom"/>
          </w:tcPr>
          <w:p>
            <w:pPr>
              <w:pStyle w:val="yTableNAm"/>
            </w:pPr>
            <w:r>
              <w:t>14.85</w:t>
            </w:r>
          </w:p>
        </w:tc>
      </w:tr>
    </w:tbl>
    <w:p>
      <w:pPr>
        <w:pStyle w:val="yFootnotesection"/>
      </w:pPr>
      <w:r>
        <w:tab/>
        <w:t>[Schedule 20 inserted: SL 2020/124 r. 21.]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67" w:name="_Toc48221868"/>
      <w:bookmarkStart w:id="68" w:name="_Toc48222081"/>
      <w:bookmarkStart w:id="69" w:name="_Toc48294330"/>
      <w:r>
        <w:t>Notes</w:t>
      </w:r>
      <w:bookmarkEnd w:id="67"/>
      <w:bookmarkEnd w:id="68"/>
      <w:bookmarkEnd w:id="6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70" w:name="_Toc48294331"/>
      <w:r>
        <w:t>Compilation table</w:t>
      </w:r>
      <w:bookmarkEnd w:id="70"/>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21"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21" w:type="dxa"/>
          </w:tcPr>
          <w:p>
            <w:pPr>
              <w:pStyle w:val="nTable"/>
              <w:spacing w:after="40"/>
            </w:pPr>
            <w:r>
              <w:t>9 Aug 2005</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21"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21"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21"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21"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21"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pPr>
            <w:r>
              <w:rPr>
                <w:i/>
                <w:iCs/>
              </w:rPr>
              <w:t>Statutes (Repeals and Minor Amendments) Act 2009</w:t>
            </w:r>
            <w:r>
              <w:t xml:space="preserve"> s. 10 assented to 3 Dec 2009</w:t>
            </w:r>
          </w:p>
        </w:tc>
        <w:tc>
          <w:tcPr>
            <w:tcW w:w="2721"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2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21"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2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2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21"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21"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21"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21"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21"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21"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21"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21"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21"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21"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21"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21"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21"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21"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21"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2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keepNext/>
              <w:spacing w:after="40"/>
            </w:pPr>
            <w:r>
              <w:rPr>
                <w:i/>
              </w:rPr>
              <w:t>State Administrative Tribunal Amendment Regulations 2018</w:t>
            </w:r>
          </w:p>
        </w:tc>
        <w:tc>
          <w:tcPr>
            <w:tcW w:w="1276" w:type="dxa"/>
            <w:gridSpan w:val="2"/>
            <w:shd w:val="clear" w:color="auto" w:fill="auto"/>
          </w:tcPr>
          <w:p>
            <w:pPr>
              <w:pStyle w:val="nTable"/>
              <w:keepNext/>
              <w:spacing w:after="40"/>
            </w:pPr>
            <w:r>
              <w:t>26 Jun 2018 p. 2382</w:t>
            </w:r>
            <w:r>
              <w:noBreakHyphen/>
              <w:t>3</w:t>
            </w:r>
          </w:p>
        </w:tc>
        <w:tc>
          <w:tcPr>
            <w:tcW w:w="2721"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pPr>
            <w:r>
              <w:rPr>
                <w:i/>
              </w:rPr>
              <w:t>Justice Regulations Amendment (Fee Relief) Regulations 2018</w:t>
            </w:r>
            <w:r>
              <w:t xml:space="preserve"> Pt. 7</w:t>
            </w:r>
          </w:p>
        </w:tc>
        <w:tc>
          <w:tcPr>
            <w:tcW w:w="1276" w:type="dxa"/>
            <w:gridSpan w:val="2"/>
            <w:shd w:val="clear" w:color="auto" w:fill="auto"/>
          </w:tcPr>
          <w:p>
            <w:pPr>
              <w:pStyle w:val="nTable"/>
              <w:keepNext/>
              <w:spacing w:after="40"/>
            </w:pPr>
            <w:r>
              <w:t>20 Jul 2018 p. 2621</w:t>
            </w:r>
            <w:r>
              <w:noBreakHyphen/>
              <w:t>30</w:t>
            </w:r>
          </w:p>
        </w:tc>
        <w:tc>
          <w:tcPr>
            <w:tcW w:w="2731"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State Administrative Tribunal Amendment Regulations (No. 2) 2018</w:t>
            </w:r>
          </w:p>
        </w:tc>
        <w:tc>
          <w:tcPr>
            <w:tcW w:w="1276" w:type="dxa"/>
            <w:gridSpan w:val="2"/>
            <w:shd w:val="clear" w:color="auto" w:fill="auto"/>
          </w:tcPr>
          <w:p>
            <w:pPr>
              <w:pStyle w:val="nTable"/>
              <w:keepNext/>
              <w:spacing w:after="40"/>
            </w:pPr>
            <w:r>
              <w:t>28 Sep 2018 p. 3579</w:t>
            </w:r>
          </w:p>
        </w:tc>
        <w:tc>
          <w:tcPr>
            <w:tcW w:w="2731"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keepNext/>
              <w:spacing w:after="40"/>
            </w:pPr>
            <w:r>
              <w:t>7 Dec 2018 p. 4667-74</w:t>
            </w:r>
          </w:p>
        </w:tc>
        <w:tc>
          <w:tcPr>
            <w:tcW w:w="2731"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keepNext/>
              <w:spacing w:after="40"/>
            </w:pPr>
            <w:r>
              <w:t>12 Mar 2019 p. 666</w:t>
            </w:r>
            <w:r>
              <w:noBreakHyphen/>
              <w:t>9</w:t>
            </w:r>
          </w:p>
        </w:tc>
        <w:tc>
          <w:tcPr>
            <w:tcW w:w="2731"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keepNext/>
              <w:spacing w:after="40"/>
            </w:pPr>
            <w:r>
              <w:t>22 Mar 2019 p. 937</w:t>
            </w:r>
          </w:p>
        </w:tc>
        <w:tc>
          <w:tcPr>
            <w:tcW w:w="2731"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31"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31" w:type="dxa"/>
            <w:gridSpan w:val="2"/>
            <w:shd w:val="clear" w:color="auto" w:fill="auto"/>
          </w:tcPr>
          <w:p>
            <w:pPr>
              <w:pStyle w:val="nTable"/>
              <w:keepNext/>
              <w:spacing w:after="40"/>
            </w:pPr>
            <w:r>
              <w:t>r. 1 and 2: 27 Sep 2019 (see r. 2(a));</w:t>
            </w:r>
            <w:r>
              <w:br/>
              <w:t>Regulations other than r. 1 and 2: 1 Oct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31"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pPr>
              <w:pStyle w:val="nTable"/>
              <w:keepNext/>
              <w:spacing w:after="40"/>
            </w:pPr>
            <w:r>
              <w:t>SL 2020/23 27 Mar 2020</w:t>
            </w:r>
          </w:p>
        </w:tc>
        <w:tc>
          <w:tcPr>
            <w:tcW w:w="2731" w:type="dxa"/>
            <w:gridSpan w:val="2"/>
            <w:tcBorders>
              <w:top w:val="nil"/>
              <w:bottom w:val="nil"/>
            </w:tcBorders>
            <w:shd w:val="clear" w:color="auto" w:fill="auto"/>
          </w:tcPr>
          <w:p>
            <w:pPr>
              <w:pStyle w:val="nTable"/>
              <w:keepNext/>
              <w:spacing w:after="40"/>
            </w:pPr>
            <w:r>
              <w:t>r. 1 and 2: 27 Mar 2020 (see r. 2(a));</w:t>
            </w:r>
            <w:r>
              <w:br/>
              <w:t>Regulations other than r. 1 and 2: 1 Apr 2020 (see r. 2(b))</w:t>
            </w:r>
          </w:p>
        </w:tc>
      </w:tr>
      <w:tr>
        <w:trPr>
          <w:gridBefore w:val="1"/>
          <w:wBefore w:w="28" w:type="dxa"/>
        </w:trPr>
        <w:tc>
          <w:tcPr>
            <w:tcW w:w="3118" w:type="dxa"/>
            <w:gridSpan w:val="2"/>
            <w:tcBorders>
              <w:bottom w:val="nil"/>
            </w:tcBorders>
            <w:shd w:val="clear" w:color="auto" w:fill="auto"/>
          </w:tcPr>
          <w:p>
            <w:pPr>
              <w:pStyle w:val="nTable"/>
              <w:keepNext/>
              <w:spacing w:after="40"/>
              <w:rPr>
                <w:i/>
              </w:rPr>
            </w:pPr>
            <w:r>
              <w:rPr>
                <w:i/>
              </w:rPr>
              <w:t>State Administrative Tribunal Amendment Regulations (No. 4) 2019</w:t>
            </w:r>
          </w:p>
        </w:tc>
        <w:tc>
          <w:tcPr>
            <w:tcW w:w="1276" w:type="dxa"/>
            <w:gridSpan w:val="2"/>
            <w:tcBorders>
              <w:bottom w:val="nil"/>
            </w:tcBorders>
            <w:shd w:val="clear" w:color="auto" w:fill="auto"/>
          </w:tcPr>
          <w:p>
            <w:pPr>
              <w:pStyle w:val="nTable"/>
              <w:keepNext/>
              <w:spacing w:after="40"/>
            </w:pPr>
            <w:r>
              <w:t>31 Dec 2019 p. 4657-60</w:t>
            </w:r>
          </w:p>
        </w:tc>
        <w:tc>
          <w:tcPr>
            <w:tcW w:w="2731" w:type="dxa"/>
            <w:gridSpan w:val="2"/>
            <w:tcBorders>
              <w:bottom w:val="nil"/>
            </w:tcBorders>
            <w:shd w:val="clear" w:color="auto" w:fill="auto"/>
          </w:tcPr>
          <w:p>
            <w:pPr>
              <w:pStyle w:val="nTable"/>
              <w:keepNext/>
              <w:spacing w:after="40"/>
            </w:pPr>
            <w:r>
              <w:t>r. 1 and 2: 31 Dec 2019 (see r. 2(a));</w:t>
            </w:r>
            <w:r>
              <w:br/>
              <w:t>Regulations other than r. 1 and 2: 1 May 2020 (see r. 2(b) and SL 2020/39 cl. 2)</w:t>
            </w:r>
          </w:p>
        </w:tc>
      </w:tr>
      <w:tr>
        <w:trPr>
          <w:gridBefore w:val="1"/>
          <w:wBefore w:w="28" w:type="dxa"/>
        </w:trPr>
        <w:tc>
          <w:tcPr>
            <w:tcW w:w="3118" w:type="dxa"/>
            <w:gridSpan w:val="2"/>
            <w:tcBorders>
              <w:top w:val="nil"/>
              <w:bottom w:val="nil"/>
            </w:tcBorders>
            <w:shd w:val="clear" w:color="auto" w:fill="auto"/>
          </w:tcPr>
          <w:p>
            <w:pPr>
              <w:pStyle w:val="nTable"/>
              <w:keepNext/>
              <w:spacing w:after="40"/>
            </w:pPr>
            <w:r>
              <w:rPr>
                <w:i/>
              </w:rPr>
              <w:t>Attorney General Regulations Amendment (Fees and Charges) Regulations 2020</w:t>
            </w:r>
            <w:r>
              <w:t xml:space="preserve"> Pt. 9</w:t>
            </w:r>
          </w:p>
        </w:tc>
        <w:tc>
          <w:tcPr>
            <w:tcW w:w="1276" w:type="dxa"/>
            <w:gridSpan w:val="2"/>
            <w:tcBorders>
              <w:top w:val="nil"/>
              <w:bottom w:val="nil"/>
            </w:tcBorders>
            <w:shd w:val="clear" w:color="auto" w:fill="auto"/>
          </w:tcPr>
          <w:p>
            <w:pPr>
              <w:pStyle w:val="nTable"/>
              <w:keepNext/>
              <w:spacing w:after="40"/>
            </w:pPr>
            <w:r>
              <w:t>SL 2020/124 31 Jul 2020</w:t>
            </w:r>
          </w:p>
        </w:tc>
        <w:tc>
          <w:tcPr>
            <w:tcW w:w="2731" w:type="dxa"/>
            <w:gridSpan w:val="2"/>
            <w:tcBorders>
              <w:top w:val="nil"/>
              <w:bottom w:val="nil"/>
            </w:tcBorders>
            <w:shd w:val="clear" w:color="auto" w:fill="auto"/>
          </w:tcPr>
          <w:p>
            <w:pPr>
              <w:pStyle w:val="nTable"/>
              <w:keepNext/>
              <w:spacing w:after="40"/>
            </w:pPr>
            <w:r>
              <w:t>1 Aug 2020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keepNext/>
              <w:spacing w:after="40"/>
              <w:rPr>
                <w:i/>
              </w:rPr>
            </w:pPr>
            <w:r>
              <w:rPr>
                <w:i/>
              </w:rPr>
              <w:t>State Administrative Tribunal Amendment Regulations (No. 2) 2020</w:t>
            </w:r>
          </w:p>
        </w:tc>
        <w:tc>
          <w:tcPr>
            <w:tcW w:w="1276" w:type="dxa"/>
            <w:gridSpan w:val="2"/>
            <w:tcBorders>
              <w:bottom w:val="single" w:sz="4" w:space="0" w:color="auto"/>
            </w:tcBorders>
            <w:shd w:val="clear" w:color="auto" w:fill="auto"/>
          </w:tcPr>
          <w:p>
            <w:pPr>
              <w:pStyle w:val="nTable"/>
              <w:keepNext/>
              <w:spacing w:after="40"/>
            </w:pPr>
            <w:r>
              <w:t>SL 2020/136 14 Aug 2020</w:t>
            </w:r>
          </w:p>
        </w:tc>
        <w:tc>
          <w:tcPr>
            <w:tcW w:w="2731" w:type="dxa"/>
            <w:gridSpan w:val="2"/>
            <w:tcBorders>
              <w:bottom w:val="single" w:sz="4" w:space="0" w:color="auto"/>
            </w:tcBorders>
            <w:shd w:val="clear" w:color="auto" w:fill="auto"/>
          </w:tcPr>
          <w:p>
            <w:pPr>
              <w:pStyle w:val="nTable"/>
              <w:keepNext/>
              <w:spacing w:after="40"/>
            </w:pPr>
            <w:r>
              <w:t>r. 1 and 2: 14 Aug 2020 (see r. 2(a));</w:t>
            </w:r>
            <w:r>
              <w:br/>
              <w:t>Regulations other than r. 1 and 2: 15 Aug 2020 (see r. 2(b))</w:t>
            </w:r>
          </w:p>
        </w:tc>
      </w:tr>
    </w:tbl>
    <w:p>
      <w:pPr>
        <w:pStyle w:val="nHeading3"/>
      </w:pPr>
      <w:bookmarkStart w:id="71" w:name="_Toc48294332"/>
      <w:r>
        <w:t>Other notes</w:t>
      </w:r>
      <w:bookmarkEnd w:id="71"/>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73" w:name="_Toc48221871"/>
      <w:bookmarkStart w:id="74" w:name="_Toc48222084"/>
      <w:bookmarkStart w:id="75" w:name="_Toc48294333"/>
      <w:r>
        <w:rPr>
          <w:sz w:val="28"/>
        </w:rPr>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58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3143448"/>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ACAAC-A97F-41E0-896D-0F7242A7E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8583</Words>
  <Characters>40688</Characters>
  <Application>Microsoft Office Word</Application>
  <DocSecurity>0</DocSecurity>
  <Lines>1769</Lines>
  <Paragraphs>985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48286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2004 - 05-s0-00</dc:title>
  <dc:subject/>
  <dc:creator/>
  <cp:keywords/>
  <dc:description/>
  <cp:lastModifiedBy>svcMRProcess</cp:lastModifiedBy>
  <cp:revision>4</cp:revision>
  <cp:lastPrinted>2018-09-28T01:40:00Z</cp:lastPrinted>
  <dcterms:created xsi:type="dcterms:W3CDTF">2020-08-14T06:20:00Z</dcterms:created>
  <dcterms:modified xsi:type="dcterms:W3CDTF">2020-08-14T06:20:00Z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15 Aug 2020</vt:lpwstr>
  </property>
  <property fmtid="{D5CDD505-2E9C-101B-9397-08002B2CF9AE}" pid="8" name="Suffix">
    <vt:lpwstr>05-s0-00</vt:lpwstr>
  </property>
  <property fmtid="{D5CDD505-2E9C-101B-9397-08002B2CF9AE}" pid="9" name="CommencementDate">
    <vt:lpwstr>20200815</vt:lpwstr>
  </property>
</Properties>
</file>