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_Toc48291185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_Toc48291186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_Toc48291187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_Toc48291188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_Toc48291197 \h </w:instrText>
      </w:r>
      <w:r>
        <w:fldChar w:fldCharType="separate"/>
      </w:r>
      <w:r>
        <w:t>18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_Toc48291198 \h </w:instrText>
      </w:r>
      <w:r>
        <w:fldChar w:fldCharType="separate"/>
      </w:r>
      <w:r>
        <w:t>18</w:t>
      </w:r>
      <w:r>
        <w:fldChar w:fldCharType="end"/>
      </w:r>
    </w:p>
    <w:p>
      <w:pPr>
        <w:pStyle w:val="NoteHeading"/>
      </w:pPr>
      <w:r>
        <w:lastRenderedPageBreak/>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48291185"/>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4" w:name="_Toc48291186"/>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5" w:name="_Toc48291187"/>
      <w:r>
        <w:rPr>
          <w:rStyle w:val="CharSectno"/>
        </w:rPr>
        <w:t>3</w:t>
      </w:r>
      <w:r>
        <w:t>.</w:t>
      </w:r>
      <w:r>
        <w:tab/>
        <w:t>Infringement notices</w:t>
      </w:r>
      <w:bookmarkEnd w:id="5"/>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6" w:name="_Toc48291188"/>
      <w:r>
        <w:rPr>
          <w:rStyle w:val="CharSectno"/>
        </w:rPr>
        <w:t>4</w:t>
      </w:r>
      <w:r>
        <w:t>.</w:t>
      </w:r>
      <w:r>
        <w:tab/>
        <w:t>Forms</w:t>
      </w:r>
      <w:bookmarkEnd w:id="6"/>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7" w:name="_Toc48226597"/>
      <w:bookmarkStart w:id="8" w:name="_Toc48226750"/>
      <w:bookmarkStart w:id="9" w:name="_Toc48291189"/>
      <w:r>
        <w:rPr>
          <w:rStyle w:val="CharSchNo"/>
        </w:rPr>
        <w:t>Schedule 1</w:t>
      </w:r>
      <w:r>
        <w:t> — </w:t>
      </w:r>
      <w:r>
        <w:rPr>
          <w:rStyle w:val="CharSchText"/>
        </w:rPr>
        <w:t>Prescribed offences and modified penalties</w:t>
      </w:r>
      <w:bookmarkEnd w:id="7"/>
      <w:bookmarkEnd w:id="8"/>
      <w:bookmarkEnd w:id="9"/>
    </w:p>
    <w:p>
      <w:pPr>
        <w:pStyle w:val="yShoulderClause"/>
      </w:pPr>
      <w:r>
        <w:t>[r. 3]</w:t>
      </w:r>
    </w:p>
    <w:p>
      <w:pPr>
        <w:pStyle w:val="yHeading3"/>
        <w:spacing w:after="120"/>
      </w:pPr>
      <w:bookmarkStart w:id="10" w:name="_Toc48226598"/>
      <w:bookmarkStart w:id="11" w:name="_Toc48226751"/>
      <w:bookmarkStart w:id="12" w:name="_Toc48291190"/>
      <w:r>
        <w:rPr>
          <w:rStyle w:val="CharSDivNo"/>
        </w:rPr>
        <w:t>Division 1</w:t>
      </w:r>
      <w:r>
        <w:t> — </w:t>
      </w:r>
      <w:r>
        <w:rPr>
          <w:rStyle w:val="CharSDivText"/>
          <w:i/>
        </w:rPr>
        <w:t>Biosecurity and Agriculture Management Act 2007</w:t>
      </w:r>
      <w:bookmarkEnd w:id="10"/>
      <w:bookmarkEnd w:id="11"/>
      <w:bookmarkEnd w:id="1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13" w:name="_Toc48226599"/>
      <w:bookmarkStart w:id="14" w:name="_Toc48226752"/>
      <w:bookmarkStart w:id="15" w:name="_Toc48291191"/>
      <w:r>
        <w:rPr>
          <w:rStyle w:val="CharSDivNo"/>
        </w:rPr>
        <w:t>Division 2</w:t>
      </w:r>
      <w:r>
        <w:t> — </w:t>
      </w:r>
      <w:r>
        <w:rPr>
          <w:rStyle w:val="CharSDivText"/>
          <w:i/>
        </w:rPr>
        <w:t>Biosecurity and Agriculture Management Regulations 2013</w:t>
      </w:r>
      <w:bookmarkEnd w:id="13"/>
      <w:bookmarkEnd w:id="14"/>
      <w:bookmarkEnd w:id="15"/>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79(6)</w:t>
            </w:r>
          </w:p>
        </w:tc>
        <w:tc>
          <w:tcPr>
            <w:tcW w:w="4928" w:type="dxa"/>
          </w:tcPr>
          <w:p>
            <w:pPr>
              <w:pStyle w:val="yTableNAm"/>
              <w:tabs>
                <w:tab w:val="clear" w:pos="567"/>
                <w:tab w:val="right" w:leader="dot" w:pos="4762"/>
              </w:tabs>
              <w:spacing w:before="60"/>
            </w:pPr>
            <w:r>
              <w:t>Failing to comply with requirements relating to presentation of organism or carrier for inspection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86(7)</w:t>
            </w:r>
          </w:p>
        </w:tc>
        <w:tc>
          <w:tcPr>
            <w:tcW w:w="4928" w:type="dxa"/>
          </w:tcPr>
          <w:p>
            <w:pPr>
              <w:pStyle w:val="yTableNAm"/>
              <w:tabs>
                <w:tab w:val="clear" w:pos="567"/>
                <w:tab w:val="right" w:leader="dot" w:pos="4762"/>
              </w:tabs>
              <w:spacing w:before="60"/>
            </w:pPr>
            <w:r>
              <w:t>Failing to comply with direction about untended plants, bees or apiaries</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86A(1)</w:t>
            </w:r>
          </w:p>
        </w:tc>
        <w:tc>
          <w:tcPr>
            <w:tcW w:w="4928" w:type="dxa"/>
          </w:tcPr>
          <w:p>
            <w:pPr>
              <w:pStyle w:val="yTableNAm"/>
              <w:tabs>
                <w:tab w:val="clear" w:pos="567"/>
                <w:tab w:val="right" w:leader="dot" w:pos="4762"/>
              </w:tabs>
              <w:spacing w:before="60"/>
            </w:pPr>
            <w:r>
              <w:t>Failing to keep bees in hive of approved design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Footnotesection"/>
      </w:pPr>
      <w:r>
        <w:tab/>
        <w:t>[Division 2 amended: Gazette 6 Sep 2019 p. 3195.]</w:t>
      </w:r>
    </w:p>
    <w:p>
      <w:pPr>
        <w:pStyle w:val="yHeading3"/>
      </w:pPr>
      <w:bookmarkStart w:id="16" w:name="_Toc48226600"/>
      <w:bookmarkStart w:id="17" w:name="_Toc48226753"/>
      <w:bookmarkStart w:id="18" w:name="_Toc48291192"/>
      <w:r>
        <w:rPr>
          <w:rStyle w:val="CharSDivNo"/>
        </w:rPr>
        <w:t>Division 3</w:t>
      </w:r>
      <w:r>
        <w:t> — </w:t>
      </w:r>
      <w:r>
        <w:rPr>
          <w:rStyle w:val="CharSDivText"/>
          <w:i/>
        </w:rPr>
        <w:t>Biosecurity and Agriculture Management (Agriculture Standards) Regulations 2013</w:t>
      </w:r>
      <w:bookmarkEnd w:id="16"/>
      <w:bookmarkEnd w:id="17"/>
      <w:bookmarkEnd w:id="1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20B</w:t>
            </w:r>
          </w:p>
        </w:tc>
        <w:tc>
          <w:tcPr>
            <w:tcW w:w="4928" w:type="dxa"/>
          </w:tcPr>
          <w:p>
            <w:pPr>
              <w:pStyle w:val="yTableNAm"/>
              <w:tabs>
                <w:tab w:val="clear" w:pos="567"/>
                <w:tab w:val="right" w:leader="dot" w:pos="4762"/>
              </w:tabs>
              <w:spacing w:before="60"/>
            </w:pPr>
            <w:r>
              <w:t>Failing to ensure that cattle treated with HGP is marked as required</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20C(3)</w:t>
            </w:r>
          </w:p>
        </w:tc>
        <w:tc>
          <w:tcPr>
            <w:tcW w:w="4928" w:type="dxa"/>
          </w:tcPr>
          <w:p>
            <w:pPr>
              <w:pStyle w:val="yTableNAm"/>
              <w:tabs>
                <w:tab w:val="clear" w:pos="567"/>
                <w:tab w:val="right" w:leader="dot" w:pos="4762"/>
              </w:tabs>
              <w:spacing w:before="60"/>
            </w:pPr>
            <w:r>
              <w:t>Failing to ensure that ear punch mark on animal treated with HGP remains permanently identifiable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20D(4)</w:t>
            </w:r>
          </w:p>
        </w:tc>
        <w:tc>
          <w:tcPr>
            <w:tcW w:w="4928" w:type="dxa"/>
          </w:tcPr>
          <w:p>
            <w:pPr>
              <w:pStyle w:val="yTableNAm"/>
              <w:tabs>
                <w:tab w:val="clear" w:pos="567"/>
                <w:tab w:val="right" w:leader="dot" w:pos="4762"/>
              </w:tabs>
              <w:spacing w:before="60"/>
            </w:pPr>
            <w:r>
              <w:t>Declaring animal is HGP free if person has treated animal with HGP or not obtained a declaration that animal is HGP free from previous owner</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20D(5)</w:t>
            </w:r>
          </w:p>
        </w:tc>
        <w:tc>
          <w:tcPr>
            <w:tcW w:w="4928" w:type="dxa"/>
          </w:tcPr>
          <w:p>
            <w:pPr>
              <w:pStyle w:val="yTableNAm"/>
              <w:tabs>
                <w:tab w:val="clear" w:pos="567"/>
                <w:tab w:val="right" w:leader="dot" w:pos="4762"/>
              </w:tabs>
              <w:spacing w:before="60"/>
            </w:pPr>
            <w:r>
              <w:t>Making false claim in relation to declaration that animal is HGP free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Footnotesection"/>
      </w:pPr>
      <w:r>
        <w:tab/>
        <w:t>[Division 3 amended: Gazette 16 Jun 2015 p. 2072.]</w:t>
      </w:r>
    </w:p>
    <w:p>
      <w:pPr>
        <w:pStyle w:val="yHeading3"/>
        <w:spacing w:after="120"/>
      </w:pPr>
      <w:bookmarkStart w:id="19" w:name="_Toc48226601"/>
      <w:bookmarkStart w:id="20" w:name="_Toc48226754"/>
      <w:bookmarkStart w:id="21" w:name="_Toc48291193"/>
      <w:r>
        <w:rPr>
          <w:rStyle w:val="CharSDivNo"/>
        </w:rPr>
        <w:t>Division 4</w:t>
      </w:r>
      <w:r>
        <w:t> — </w:t>
      </w:r>
      <w:r>
        <w:rPr>
          <w:rStyle w:val="CharSDivText"/>
          <w:i/>
        </w:rPr>
        <w:t>Biosecurity and Agriculture Management (Identification and Movement of Stock and Apiaries) Regulations 2013</w:t>
      </w:r>
      <w:bookmarkEnd w:id="19"/>
      <w:bookmarkEnd w:id="20"/>
      <w:bookmarkEnd w:id="21"/>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vAlign w:val="bottom"/>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129A(1)</w:t>
            </w:r>
          </w:p>
        </w:tc>
        <w:tc>
          <w:tcPr>
            <w:tcW w:w="4928" w:type="dxa"/>
          </w:tcPr>
          <w:p>
            <w:pPr>
              <w:pStyle w:val="yTableNAm"/>
              <w:tabs>
                <w:tab w:val="clear" w:pos="567"/>
                <w:tab w:val="right" w:leader="dot" w:pos="4762"/>
              </w:tabs>
              <w:spacing w:before="60"/>
            </w:pPr>
            <w:r>
              <w:t>Moving pig less than 25 kg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129A(2)</w:t>
            </w:r>
          </w:p>
        </w:tc>
        <w:tc>
          <w:tcPr>
            <w:tcW w:w="4928" w:type="dxa"/>
          </w:tcPr>
          <w:p>
            <w:pPr>
              <w:pStyle w:val="yTableNAm"/>
              <w:tabs>
                <w:tab w:val="clear" w:pos="567"/>
                <w:tab w:val="right" w:leader="dot" w:pos="4762"/>
              </w:tabs>
              <w:spacing w:before="60"/>
            </w:pPr>
            <w:r>
              <w:t>Moving pig 25 kg or more from farming property contrary to regulations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animals to or from saleyard </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or donkey kept on property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170(2)</w:t>
            </w:r>
          </w:p>
        </w:tc>
        <w:tc>
          <w:tcPr>
            <w:tcW w:w="4928" w:type="dxa"/>
          </w:tcPr>
          <w:p>
            <w:pPr>
              <w:pStyle w:val="yTableNAm"/>
              <w:tabs>
                <w:tab w:val="clear" w:pos="567"/>
                <w:tab w:val="right" w:leader="dot" w:pos="4762"/>
              </w:tabs>
              <w:spacing w:before="60"/>
            </w:pPr>
            <w:r>
              <w:t>Owner of horse or donkey kept on property not in south</w:t>
            </w:r>
            <w:r>
              <w:noBreakHyphen/>
              <w:t>west of State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or donkey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or donkey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vAlign w:val="bottom"/>
          </w:tcPr>
          <w:p>
            <w:pPr>
              <w:pStyle w:val="yTableNAm"/>
              <w:tabs>
                <w:tab w:val="clear" w:pos="567"/>
              </w:tabs>
              <w:spacing w:before="60"/>
              <w:ind w:right="283"/>
              <w:jc w:val="right"/>
            </w:pPr>
            <w: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vAlign w:val="bottom"/>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vAlign w:val="bottom"/>
          </w:tcPr>
          <w:p>
            <w:pPr>
              <w:pStyle w:val="yTableNAm"/>
              <w:tabs>
                <w:tab w:val="clear" w:pos="567"/>
              </w:tabs>
              <w:spacing w:before="60"/>
              <w:ind w:right="283"/>
              <w:jc w:val="right"/>
            </w:pPr>
            <w: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vAlign w:val="bottom"/>
          </w:tcPr>
          <w:p>
            <w:pPr>
              <w:pStyle w:val="yTableNAm"/>
              <w:tabs>
                <w:tab w:val="clear" w:pos="567"/>
              </w:tabs>
              <w:spacing w:before="60"/>
              <w:ind w:right="283"/>
              <w:jc w:val="right"/>
            </w:pPr>
            <w:r>
              <w:t>200</w:t>
            </w:r>
          </w:p>
        </w:tc>
      </w:tr>
    </w:tbl>
    <w:p>
      <w:pPr>
        <w:pStyle w:val="yFootnotesection"/>
      </w:pPr>
      <w:r>
        <w:tab/>
        <w:t>[Division 4 amended: Gazette 27 Jun 2019 p. 2452.]</w:t>
      </w:r>
    </w:p>
    <w:p>
      <w:pPr>
        <w:pStyle w:val="yHeading3"/>
        <w:spacing w:after="120"/>
      </w:pPr>
      <w:bookmarkStart w:id="22" w:name="_Toc48226602"/>
      <w:bookmarkStart w:id="23" w:name="_Toc48226755"/>
      <w:bookmarkStart w:id="24" w:name="_Toc48291194"/>
      <w:r>
        <w:rPr>
          <w:rStyle w:val="CharSDivNo"/>
        </w:rPr>
        <w:t>Division 5</w:t>
      </w:r>
      <w:r>
        <w:t> — </w:t>
      </w:r>
      <w:r>
        <w:rPr>
          <w:rStyle w:val="CharSDivText"/>
          <w:i/>
        </w:rPr>
        <w:t>Biosecurity and Agriculture Management (Quality Assurance and Accreditation) Regulations 2013</w:t>
      </w:r>
      <w:bookmarkEnd w:id="22"/>
      <w:bookmarkEnd w:id="23"/>
      <w:bookmarkEnd w:id="24"/>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25" w:name="_Toc48226603"/>
      <w:bookmarkStart w:id="26" w:name="_Toc48226756"/>
      <w:bookmarkStart w:id="27" w:name="_Toc48291195"/>
      <w:r>
        <w:rPr>
          <w:rStyle w:val="CharSchNo"/>
        </w:rPr>
        <w:t>Schedule 2</w:t>
      </w:r>
      <w:r>
        <w:rPr>
          <w:rStyle w:val="CharSDivNo"/>
        </w:rPr>
        <w:t> </w:t>
      </w:r>
      <w:r>
        <w:t>—</w:t>
      </w:r>
      <w:r>
        <w:rPr>
          <w:rStyle w:val="CharSDivText"/>
        </w:rPr>
        <w:t> </w:t>
      </w:r>
      <w:r>
        <w:rPr>
          <w:rStyle w:val="CharSchText"/>
        </w:rPr>
        <w:t>Forms</w:t>
      </w:r>
      <w:bookmarkEnd w:id="25"/>
      <w:bookmarkEnd w:id="26"/>
      <w:bookmarkEnd w:id="27"/>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ind w:left="357"/>
            </w:pPr>
            <w:r>
              <w:rPr>
                <w:i/>
                <w:sz w:val="20"/>
              </w:rPr>
              <w:t>*</w:t>
            </w:r>
            <w:r>
              <w:t>Your refund is enclosed</w:t>
            </w:r>
          </w:p>
          <w:p>
            <w:pPr>
              <w:pStyle w:val="yTableNAm"/>
              <w:rPr>
                <w:i/>
              </w:rPr>
            </w:pPr>
            <w:r>
              <w:rPr>
                <w:i/>
              </w:rPr>
              <w:t>or</w:t>
            </w:r>
          </w:p>
          <w:p>
            <w:pPr>
              <w:pStyle w:val="yTableNAm"/>
              <w:spacing w:after="120"/>
              <w:ind w:left="357"/>
              <w:rPr>
                <w:i/>
              </w:rPr>
            </w:pPr>
            <w:r>
              <w:rPr>
                <w:i/>
                <w:sz w:val="20"/>
              </w:rPr>
              <w:t>*</w:t>
            </w: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nHeading2"/>
      </w:pPr>
      <w:bookmarkStart w:id="29" w:name="_Toc48226604"/>
      <w:bookmarkStart w:id="30" w:name="_Toc48226757"/>
      <w:bookmarkStart w:id="31" w:name="_Toc48291196"/>
      <w:r>
        <w:t>Notes</w:t>
      </w:r>
      <w:bookmarkEnd w:id="29"/>
      <w:bookmarkEnd w:id="30"/>
      <w:bookmarkEnd w:id="31"/>
    </w:p>
    <w:p>
      <w:pPr>
        <w:pStyle w:val="nStatement"/>
      </w:pPr>
      <w:r>
        <w:t xml:space="preserve">This is a compilation of the </w:t>
      </w:r>
      <w:r>
        <w:rPr>
          <w:i/>
          <w:noProof/>
        </w:rPr>
        <w:t>Biosecurity and Agriculture Management (Infringement Notices) Regulations 2013</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2" w:name="_Toc48291197"/>
      <w:r>
        <w:t>Compilation table</w:t>
      </w:r>
      <w:bookmarkEnd w:id="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Biosecurity and Agriculture Management (Infringement Notices) Regulations 2013</w:t>
            </w:r>
          </w:p>
        </w:tc>
        <w:tc>
          <w:tcPr>
            <w:tcW w:w="1276" w:type="dxa"/>
            <w:tcBorders>
              <w:bottom w:val="nil"/>
            </w:tcBorders>
          </w:tcPr>
          <w:p>
            <w:pPr>
              <w:pStyle w:val="nTable"/>
              <w:spacing w:after="40"/>
            </w:pPr>
            <w:r>
              <w:t>24 Sep 2013 p. 4417-35</w:t>
            </w:r>
          </w:p>
        </w:tc>
        <w:tc>
          <w:tcPr>
            <w:tcW w:w="2693" w:type="dxa"/>
            <w:tcBorders>
              <w:bottom w:val="nil"/>
            </w:tcBorders>
          </w:tcPr>
          <w:p>
            <w:pPr>
              <w:pStyle w:val="nTable"/>
              <w:spacing w:after="40"/>
            </w:pPr>
            <w:r>
              <w:t>r. 1 and 2: 24 Sep 2013 (see r. 2(a));</w:t>
            </w:r>
            <w:r>
              <w:br/>
              <w:t>Regulations other than r. 1 and 2: 25 Sep 2013 (see r. 2(b))</w:t>
            </w:r>
          </w:p>
        </w:tc>
      </w:tr>
      <w:tr>
        <w:tc>
          <w:tcPr>
            <w:tcW w:w="3118" w:type="dxa"/>
            <w:tcBorders>
              <w:top w:val="nil"/>
              <w:bottom w:val="nil"/>
            </w:tcBorders>
          </w:tcPr>
          <w:p>
            <w:pPr>
              <w:pStyle w:val="nTable"/>
              <w:spacing w:after="40"/>
              <w:rPr>
                <w:i/>
              </w:rPr>
            </w:pPr>
            <w:r>
              <w:rPr>
                <w:i/>
              </w:rPr>
              <w:t>Biosecurity and Agriculture Management (Infringement Notices) Amendment Regulations 2015</w:t>
            </w:r>
          </w:p>
        </w:tc>
        <w:tc>
          <w:tcPr>
            <w:tcW w:w="1276" w:type="dxa"/>
            <w:tcBorders>
              <w:top w:val="nil"/>
              <w:bottom w:val="nil"/>
            </w:tcBorders>
          </w:tcPr>
          <w:p>
            <w:pPr>
              <w:pStyle w:val="nTable"/>
              <w:spacing w:after="40"/>
            </w:pPr>
            <w:r>
              <w:t>16 Jun 2015 p. 2072</w:t>
            </w:r>
          </w:p>
        </w:tc>
        <w:tc>
          <w:tcPr>
            <w:tcW w:w="2693" w:type="dxa"/>
            <w:tcBorders>
              <w:top w:val="nil"/>
              <w:bottom w:val="nil"/>
            </w:tcBorders>
          </w:tcPr>
          <w:p>
            <w:pPr>
              <w:pStyle w:val="nTable"/>
              <w:spacing w:after="40"/>
            </w:pPr>
            <w:r>
              <w:t>r. 1 and 2: 16 Jun 2015 (see r. 2(a));</w:t>
            </w:r>
            <w:r>
              <w:br/>
              <w:t>Regulations other than r. 1 and 2: 17 Jun 2015 (see r. 2(b))</w:t>
            </w:r>
          </w:p>
        </w:tc>
      </w:tr>
      <w:tr>
        <w:tc>
          <w:tcPr>
            <w:tcW w:w="3118" w:type="dxa"/>
            <w:tcBorders>
              <w:top w:val="nil"/>
              <w:bottom w:val="nil"/>
            </w:tcBorders>
          </w:tcPr>
          <w:p>
            <w:pPr>
              <w:pStyle w:val="nTable"/>
              <w:spacing w:after="40"/>
            </w:pPr>
            <w:r>
              <w:rPr>
                <w:i/>
              </w:rPr>
              <w:t>Biosecurity and Agriculture Management Regulations Amendment Regulations (No. 2) 2019</w:t>
            </w:r>
            <w:r>
              <w:t xml:space="preserve"> Pt. 3</w:t>
            </w:r>
          </w:p>
        </w:tc>
        <w:tc>
          <w:tcPr>
            <w:tcW w:w="1276" w:type="dxa"/>
            <w:tcBorders>
              <w:top w:val="nil"/>
              <w:bottom w:val="nil"/>
            </w:tcBorders>
          </w:tcPr>
          <w:p>
            <w:pPr>
              <w:pStyle w:val="nTable"/>
              <w:spacing w:after="40"/>
            </w:pPr>
            <w:r>
              <w:t>27 Jun 2019 p. 2407</w:t>
            </w:r>
            <w:r>
              <w:noBreakHyphen/>
              <w:t>54</w:t>
            </w:r>
          </w:p>
        </w:tc>
        <w:tc>
          <w:tcPr>
            <w:tcW w:w="2693" w:type="dxa"/>
            <w:tcBorders>
              <w:top w:val="nil"/>
              <w:bottom w:val="nil"/>
            </w:tcBorders>
          </w:tcPr>
          <w:p>
            <w:pPr>
              <w:pStyle w:val="nTable"/>
              <w:spacing w:after="40"/>
              <w:rPr>
                <w:snapToGrid w:val="0"/>
                <w:spacing w:val="-2"/>
              </w:rPr>
            </w:pPr>
            <w:r>
              <w:rPr>
                <w:snapToGrid w:val="0"/>
                <w:spacing w:val="-2"/>
              </w:rPr>
              <w:t>28 Jun 2019 (see r. 2(b))</w:t>
            </w:r>
          </w:p>
        </w:tc>
      </w:tr>
      <w:tr>
        <w:tc>
          <w:tcPr>
            <w:tcW w:w="3118" w:type="dxa"/>
            <w:tcBorders>
              <w:top w:val="nil"/>
              <w:bottom w:val="single" w:sz="4" w:space="0" w:color="auto"/>
            </w:tcBorders>
          </w:tcPr>
          <w:p>
            <w:pPr>
              <w:pStyle w:val="nTable"/>
              <w:spacing w:after="40"/>
              <w:rPr>
                <w:i/>
              </w:rPr>
            </w:pPr>
            <w:r>
              <w:rPr>
                <w:i/>
              </w:rPr>
              <w:t>Biosecurity and Agriculture Management Regulations Amendment Regulations  2019</w:t>
            </w:r>
            <w:r>
              <w:t xml:space="preserve"> Pt. 3</w:t>
            </w:r>
          </w:p>
        </w:tc>
        <w:tc>
          <w:tcPr>
            <w:tcW w:w="1276" w:type="dxa"/>
            <w:tcBorders>
              <w:top w:val="nil"/>
              <w:bottom w:val="single" w:sz="4" w:space="0" w:color="auto"/>
            </w:tcBorders>
          </w:tcPr>
          <w:p>
            <w:pPr>
              <w:pStyle w:val="nTable"/>
              <w:spacing w:after="40"/>
            </w:pPr>
            <w:r>
              <w:t>6 Sep 2019 p. 3195</w:t>
            </w:r>
          </w:p>
        </w:tc>
        <w:tc>
          <w:tcPr>
            <w:tcW w:w="2693" w:type="dxa"/>
            <w:tcBorders>
              <w:top w:val="nil"/>
              <w:bottom w:val="single" w:sz="4" w:space="0" w:color="auto"/>
            </w:tcBorders>
          </w:tcPr>
          <w:p>
            <w:pPr>
              <w:pStyle w:val="nTable"/>
              <w:spacing w:after="40"/>
              <w:rPr>
                <w:snapToGrid w:val="0"/>
                <w:spacing w:val="-2"/>
              </w:rPr>
            </w:pPr>
            <w:r>
              <w:t>7 Sep 2019</w:t>
            </w:r>
            <w:r>
              <w:rPr>
                <w:snapToGrid w:val="0"/>
                <w:spacing w:val="-2"/>
              </w:rPr>
              <w:t xml:space="preserve"> (see r. 2(b))</w:t>
            </w:r>
          </w:p>
        </w:tc>
      </w:tr>
    </w:tbl>
    <w:p>
      <w:pPr>
        <w:pStyle w:val="nHeading3"/>
      </w:pPr>
      <w:bookmarkStart w:id="33" w:name="_Toc48291198"/>
      <w:r>
        <w:t>Uncommenced provisions table</w:t>
      </w:r>
      <w:bookmarkEnd w:id="3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Biosecurity and Agriculture Management (Agricultural Chemical Record Keeping) Regulations 2020</w:t>
            </w:r>
            <w:r>
              <w:t xml:space="preserve"> Pt. 3</w:t>
            </w:r>
          </w:p>
        </w:tc>
        <w:tc>
          <w:tcPr>
            <w:tcW w:w="1276" w:type="dxa"/>
          </w:tcPr>
          <w:p>
            <w:pPr>
              <w:pStyle w:val="nTable"/>
              <w:spacing w:after="40"/>
            </w:pPr>
            <w:r>
              <w:t>SL 2020/130 14 Aug 2020</w:t>
            </w:r>
          </w:p>
        </w:tc>
        <w:tc>
          <w:tcPr>
            <w:tcW w:w="2693" w:type="dxa"/>
          </w:tcPr>
          <w:p>
            <w:pPr>
              <w:pStyle w:val="nTable"/>
              <w:spacing w:after="40"/>
            </w:pPr>
            <w:r>
              <w:t>11 Sep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 w:name="Coversheet"/>
    <w:bookmarkEnd w:id="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3155415"/>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 w:name="WAFER_20151102135723" w:val="UpdateStyles,UsedStyles"/>
    <w:docVar w:name="WAFER_20151102135723_GUID" w:val="ed2e2327-03a7-4cab-8621-596853d5720c"/>
    <w:docVar w:name="WAFER_20151109150817" w:val="UsedStyles"/>
    <w:docVar w:name="WAFER_20151109150817_GUID" w:val="5b8bf99f-0859-4dd2-bada-7aedc965405a"/>
    <w:docVar w:name="WAFER_20190905151918" w:val="RemoveTocBookmarks,RemoveUnusedBookmarks,RemoveLanguageTags,ResetPageSize,RunningHeaders,UpdateStyles,UsedStyles"/>
    <w:docVar w:name="WAFER_20190905151918_GUID" w:val="14813b44-ddeb-4261-98fd-20dd26de4ba9"/>
    <w:docVar w:name="WAFER_202008131552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0813155207_GUID" w:val="a94f32cc-1021-4b3a-8110-dcab655f36ad"/>
    <w:docVar w:name="WAFER_20200813155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55415_GUID" w:val="7f7a80ae-88c8-4cd5-9084-65407ebbcc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BC45B-29FC-4F91-9BA2-8866E49B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3855</Words>
  <Characters>20475</Characters>
  <Application>Microsoft Office Word</Application>
  <DocSecurity>0</DocSecurity>
  <Lines>1204</Lines>
  <Paragraphs>810</Paragraphs>
  <ScaleCrop>false</ScaleCrop>
  <HeadingPairs>
    <vt:vector size="2" baseType="variant">
      <vt:variant>
        <vt:lpstr>Title</vt:lpstr>
      </vt:variant>
      <vt:variant>
        <vt:i4>1</vt:i4>
      </vt:variant>
    </vt:vector>
  </HeadingPairs>
  <TitlesOfParts>
    <vt:vector size="1" baseType="lpstr">
      <vt:lpstr>Biosecurity and Agriculture Management (Infringement Notices) Regulations 2013 - 00-d0-01</vt:lpstr>
    </vt:vector>
  </TitlesOfParts>
  <Manager/>
  <Company/>
  <LinksUpToDate>false</LinksUpToDate>
  <CharactersWithSpaces>23520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2013 - 00-e0-00</dc:title>
  <dc:subject/>
  <dc:creator/>
  <cp:keywords/>
  <dc:description/>
  <cp:lastModifiedBy>svcMRProcess</cp:lastModifiedBy>
  <cp:revision>4</cp:revision>
  <cp:lastPrinted>2013-08-27T02:56:00Z</cp:lastPrinted>
  <dcterms:created xsi:type="dcterms:W3CDTF">2020-08-14T06:31:00Z</dcterms:created>
  <dcterms:modified xsi:type="dcterms:W3CDTF">2020-08-14T06:31:00Z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AsAtDate">
    <vt:lpwstr>14 Aug 2020</vt:lpwstr>
  </property>
  <property fmtid="{D5CDD505-2E9C-101B-9397-08002B2CF9AE}" pid="4" name="Suffix">
    <vt:lpwstr>00-e0-00</vt:lpwstr>
  </property>
  <property fmtid="{D5CDD505-2E9C-101B-9397-08002B2CF9AE}" pid="5" name="DocumentType">
    <vt:lpwstr>Reg</vt:lpwstr>
  </property>
  <property fmtid="{D5CDD505-2E9C-101B-9397-08002B2CF9AE}" pid="6" name="CommencementDate">
    <vt:lpwstr>20200814</vt:lpwstr>
  </property>
</Properties>
</file>