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Dangerous Sexual Offenders Act 2006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Dangerous Sexual Offenders Regulations 2018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as a result of the repeal of the </w:t>
      </w:r>
      <w:r>
        <w:rPr>
          <w:i/>
        </w:rPr>
        <w:t>Dangerous Sexual Offenders Act 2006</w:t>
      </w:r>
      <w:r>
        <w:t xml:space="preserve"> by the </w:t>
      </w:r>
      <w:r>
        <w:rPr>
          <w:i/>
        </w:rPr>
        <w:t>High Risk Serious Offenders Act 2020</w:t>
      </w:r>
      <w:r>
        <w:t xml:space="preserve"> s. 123 (No. 29 of 2020) as at 26 Aug 2020 (see s. 2(1)(c) and SL 2020/131 cl. 2).</w:t>
      </w:r>
    </w:p>
    <w:p/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Dangerous Sexual Offenders Regulations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_Toc49333276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_Toc49333277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Matters prescribed for terms used in Act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Qualified psychologists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Qualified psychologists (Act s. 3(1))</w:t>
      </w:r>
      <w:r>
        <w:tab/>
      </w:r>
      <w:r>
        <w:fldChar w:fldCharType="begin"/>
      </w:r>
      <w:r>
        <w:instrText xml:space="preserve"> PAGEREF _Toc49333280 \h </w:instrText>
      </w:r>
      <w:r>
        <w:fldChar w:fldCharType="separate"/>
      </w:r>
      <w:r>
        <w:t>2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 Serious sexual offences</w:t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 1 — </w:t>
      </w:r>
      <w:r>
        <w:rPr>
          <w:snapToGrid w:val="0"/>
        </w:rPr>
        <w:t>Serious sexual offences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Serious sexual offences (Act s. 3(1))</w:t>
      </w:r>
      <w:r>
        <w:tab/>
      </w:r>
      <w:r>
        <w:fldChar w:fldCharType="begin"/>
      </w:r>
      <w:r>
        <w:instrText xml:space="preserve"> PAGEREF _Toc49333283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 2 — Australian Capital Territory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Australian Capital Territory</w:t>
      </w:r>
      <w:r>
        <w:tab/>
      </w:r>
      <w:r>
        <w:fldChar w:fldCharType="begin"/>
      </w:r>
      <w:r>
        <w:instrText xml:space="preserve"> PAGEREF _Toc49333285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 3 — Commonwealth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Commonwealth</w:t>
      </w:r>
      <w:r>
        <w:tab/>
      </w:r>
      <w:r>
        <w:fldChar w:fldCharType="begin"/>
      </w:r>
      <w:r>
        <w:instrText xml:space="preserve"> PAGEREF _Toc49333287 \h </w:instrText>
      </w:r>
      <w:r>
        <w:fldChar w:fldCharType="separate"/>
      </w:r>
      <w:r>
        <w:t>5</w:t>
      </w:r>
      <w:r>
        <w:fldChar w:fldCharType="end"/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 4 — New South Wales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New South Wales</w:t>
      </w:r>
      <w:r>
        <w:tab/>
      </w:r>
      <w:r>
        <w:fldChar w:fldCharType="begin"/>
      </w:r>
      <w:r>
        <w:instrText xml:space="preserve"> PAGEREF _Toc49333289 \h </w:instrText>
      </w:r>
      <w:r>
        <w:fldChar w:fldCharType="separate"/>
      </w:r>
      <w:r>
        <w:t>8</w:t>
      </w:r>
      <w:r>
        <w:fldChar w:fldCharType="end"/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 5 — Northern Territory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Northern Territory</w:t>
      </w:r>
      <w:r>
        <w:tab/>
      </w:r>
      <w:r>
        <w:fldChar w:fldCharType="begin"/>
      </w:r>
      <w:r>
        <w:instrText xml:space="preserve"> PAGEREF _Toc49333291 \h </w:instrText>
      </w:r>
      <w:r>
        <w:fldChar w:fldCharType="separate"/>
      </w:r>
      <w:r>
        <w:t>12</w:t>
      </w:r>
      <w:r>
        <w:fldChar w:fldCharType="end"/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 6 — Queensland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Queensland</w:t>
      </w:r>
      <w:r>
        <w:tab/>
      </w:r>
      <w:r>
        <w:fldChar w:fldCharType="begin"/>
      </w:r>
      <w:r>
        <w:instrText xml:space="preserve"> PAGEREF _Toc49333293 \h </w:instrText>
      </w:r>
      <w:r>
        <w:fldChar w:fldCharType="separate"/>
      </w:r>
      <w:r>
        <w:t>16</w:t>
      </w:r>
      <w:r>
        <w:fldChar w:fldCharType="end"/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 7 — South Australia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South Australia</w:t>
      </w:r>
      <w:r>
        <w:tab/>
      </w:r>
      <w:r>
        <w:fldChar w:fldCharType="begin"/>
      </w:r>
      <w:r>
        <w:instrText xml:space="preserve"> PAGEREF _Toc49333295 \h </w:instrText>
      </w:r>
      <w:r>
        <w:fldChar w:fldCharType="separate"/>
      </w:r>
      <w:r>
        <w:t>21</w:t>
      </w:r>
      <w:r>
        <w:fldChar w:fldCharType="end"/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 8 — Tasmania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Tasmania</w:t>
      </w:r>
      <w:r>
        <w:tab/>
      </w:r>
      <w:r>
        <w:fldChar w:fldCharType="begin"/>
      </w:r>
      <w:r>
        <w:instrText xml:space="preserve"> PAGEREF _Toc49333297 \h </w:instrText>
      </w:r>
      <w:r>
        <w:fldChar w:fldCharType="separate"/>
      </w:r>
      <w:r>
        <w:t>23</w:t>
      </w:r>
      <w:r>
        <w:fldChar w:fldCharType="end"/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Subdivision 9 — Victoria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Victoria</w:t>
      </w:r>
      <w:r>
        <w:tab/>
      </w:r>
      <w:r>
        <w:fldChar w:fldCharType="begin"/>
      </w:r>
      <w:r>
        <w:instrText xml:space="preserve"> PAGEREF _Toc49333299 \h </w:instrText>
      </w:r>
      <w:r>
        <w:fldChar w:fldCharType="separate"/>
      </w:r>
      <w:r>
        <w:t>26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_Toc49333301 \h </w:instrText>
      </w:r>
      <w:r>
        <w:fldChar w:fldCharType="separate"/>
      </w:r>
      <w:r>
        <w:t>31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  <w:r>
        <w:fldChar w:fldCharType="end"/>
      </w:r>
    </w:p>
    <w:p>
      <w:pPr>
        <w:pStyle w:val="PrincipalActReg"/>
      </w:pPr>
      <w:r>
        <w:t>Dangerous Sexual Offenders Act 2006</w:t>
      </w:r>
    </w:p>
    <w:p>
      <w:pPr>
        <w:pStyle w:val="NameofActReg"/>
      </w:pPr>
      <w:r>
        <w:t>Dangerous Sexual Offenders Regulations 2018</w:t>
      </w:r>
    </w:p>
    <w:p>
      <w:pPr>
        <w:pStyle w:val="Heading2"/>
        <w:pageBreakBefore w:val="0"/>
      </w:pPr>
      <w:bookmarkStart w:id="3" w:name="_Toc49333275"/>
      <w:r>
        <w:rPr>
          <w:rStyle w:val="CharPartNo"/>
        </w:rP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3"/>
    </w:p>
    <w:p>
      <w:pPr>
        <w:pStyle w:val="Footnoteheading"/>
      </w:pPr>
      <w:r>
        <w:tab/>
        <w:t>[Heading inserted: Gazette 15 Feb 2019 p. 283.]</w:t>
      </w:r>
    </w:p>
    <w:p>
      <w:pPr>
        <w:pStyle w:val="Heading5"/>
      </w:pPr>
      <w:bookmarkStart w:id="4" w:name="_Toc49333276"/>
      <w:r>
        <w:rPr>
          <w:rStyle w:val="CharSectno"/>
        </w:rPr>
        <w:t>1</w:t>
      </w:r>
      <w:r>
        <w:t>.</w:t>
      </w:r>
      <w:r>
        <w:tab/>
        <w:t>Citation</w:t>
      </w:r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Dangerous Sexual Offenders Regulations 2018</w:t>
      </w:r>
      <w:r>
        <w:t>.</w:t>
      </w:r>
    </w:p>
    <w:p>
      <w:pPr>
        <w:pStyle w:val="Heading5"/>
        <w:rPr>
          <w:spacing w:val="-2"/>
        </w:rPr>
      </w:pPr>
      <w:bookmarkStart w:id="6" w:name="_Toc493332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7" w:name="_Toc49333278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Matters prescribed for terms used in Act</w:t>
      </w:r>
      <w:bookmarkEnd w:id="7"/>
    </w:p>
    <w:p>
      <w:pPr>
        <w:pStyle w:val="Footnoteheading"/>
      </w:pPr>
      <w:r>
        <w:tab/>
        <w:t>[Heading inserted: Gazette 15 Feb 2019 p. 283.]</w:t>
      </w:r>
    </w:p>
    <w:p>
      <w:pPr>
        <w:pStyle w:val="Heading3"/>
      </w:pPr>
      <w:bookmarkStart w:id="8" w:name="_Toc49333279"/>
      <w:r>
        <w:rPr>
          <w:rStyle w:val="CharDivNo"/>
        </w:rPr>
        <w:t>Division 1</w:t>
      </w:r>
      <w:r>
        <w:t> — </w:t>
      </w:r>
      <w:r>
        <w:rPr>
          <w:rStyle w:val="CharDivText"/>
        </w:rPr>
        <w:t>Qualified psychologists</w:t>
      </w:r>
      <w:bookmarkEnd w:id="8"/>
    </w:p>
    <w:p>
      <w:pPr>
        <w:pStyle w:val="Footnoteheading"/>
      </w:pPr>
      <w:r>
        <w:tab/>
        <w:t>[Heading inserted: Gazette 15 Feb 2019 p. 284.]</w:t>
      </w:r>
    </w:p>
    <w:p>
      <w:pPr>
        <w:pStyle w:val="Heading5"/>
      </w:pPr>
      <w:bookmarkStart w:id="9" w:name="_Toc49333280"/>
      <w:r>
        <w:rPr>
          <w:rStyle w:val="CharSectno"/>
        </w:rPr>
        <w:t>3</w:t>
      </w:r>
      <w:r>
        <w:t>.</w:t>
      </w:r>
      <w:r>
        <w:tab/>
        <w:t>Qualified psychologists (Act s. 3(1))</w:t>
      </w:r>
      <w:bookmarkEnd w:id="9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qualified psychologist</w:t>
      </w:r>
      <w:r>
        <w:t xml:space="preserve"> in section 3(1) of the Act, the qualification of a master’s degree or higher in psychology is prescribed.</w:t>
      </w:r>
    </w:p>
    <w:p>
      <w:pPr>
        <w:pStyle w:val="Heading3"/>
        <w:rPr>
          <w:snapToGrid w:val="0"/>
        </w:rPr>
      </w:pPr>
      <w:bookmarkStart w:id="10" w:name="_Toc49333281"/>
      <w:r>
        <w:rPr>
          <w:rStyle w:val="CharDivNo"/>
        </w:rPr>
        <w:t>Division 2</w:t>
      </w:r>
      <w:r>
        <w:t> — </w:t>
      </w:r>
      <w:r>
        <w:rPr>
          <w:rStyle w:val="CharDivText"/>
        </w:rPr>
        <w:t>Serious sexual offences</w:t>
      </w:r>
      <w:bookmarkEnd w:id="10"/>
    </w:p>
    <w:p>
      <w:pPr>
        <w:pStyle w:val="Footnoteheading"/>
      </w:pPr>
      <w:r>
        <w:tab/>
        <w:t>[Heading inserted: Gazette 15 Feb 2019 p. 284.]</w:t>
      </w:r>
    </w:p>
    <w:p>
      <w:pPr>
        <w:pStyle w:val="Heading4"/>
        <w:rPr>
          <w:snapToGrid w:val="0"/>
        </w:rPr>
      </w:pPr>
      <w:bookmarkStart w:id="11" w:name="_Toc49333282"/>
      <w:r>
        <w:t>Subdivision 1 — </w:t>
      </w:r>
      <w:r>
        <w:rPr>
          <w:snapToGrid w:val="0"/>
        </w:rPr>
        <w:t>Serious sexual offences</w:t>
      </w:r>
      <w:bookmarkEnd w:id="11"/>
    </w:p>
    <w:p>
      <w:pPr>
        <w:pStyle w:val="Footnoteheading"/>
      </w:pPr>
      <w:r>
        <w:tab/>
        <w:t>[Heading inserted: Gazette 15 Feb 2019 p. 284.]</w:t>
      </w:r>
    </w:p>
    <w:p>
      <w:pPr>
        <w:pStyle w:val="Heading5"/>
      </w:pPr>
      <w:bookmarkStart w:id="12" w:name="_Toc49333283"/>
      <w:r>
        <w:rPr>
          <w:rStyle w:val="CharSectno"/>
        </w:rPr>
        <w:t>4</w:t>
      </w:r>
      <w:r>
        <w:t>.</w:t>
      </w:r>
      <w:r>
        <w:tab/>
        <w:t>Serious sexual offences (Act s. 3(1))</w:t>
      </w:r>
      <w:bookmarkEnd w:id="12"/>
    </w:p>
    <w:p>
      <w:pPr>
        <w:pStyle w:val="Subsection"/>
      </w:pPr>
      <w:r>
        <w:tab/>
      </w:r>
      <w:r>
        <w:tab/>
        <w:t xml:space="preserve">This Division has effect for the purposes of paragraph (c) of the definition of </w:t>
      </w:r>
      <w:r>
        <w:rPr>
          <w:b/>
          <w:i/>
        </w:rPr>
        <w:t xml:space="preserve">serious sexual offence </w:t>
      </w:r>
      <w:r>
        <w:t>in section 3(1) of the Act.</w:t>
      </w:r>
    </w:p>
    <w:p>
      <w:pPr>
        <w:pStyle w:val="Footnotesection"/>
      </w:pPr>
      <w:r>
        <w:tab/>
        <w:t>[Regulation 4 inserted: Gazette 15 Feb 2019 p. 284.]</w:t>
      </w:r>
    </w:p>
    <w:p>
      <w:pPr>
        <w:pStyle w:val="Heading4"/>
      </w:pPr>
      <w:bookmarkStart w:id="13" w:name="_Toc49333284"/>
      <w:r>
        <w:t>Subdivision 2 — Australian Capital Territory</w:t>
      </w:r>
      <w:bookmarkEnd w:id="13"/>
    </w:p>
    <w:p>
      <w:pPr>
        <w:pStyle w:val="Footnoteheading"/>
      </w:pPr>
      <w:r>
        <w:tab/>
        <w:t>[Heading inserted: Gazette 15 Feb 2019 p. 284.]</w:t>
      </w:r>
    </w:p>
    <w:p>
      <w:pPr>
        <w:pStyle w:val="Heading5"/>
      </w:pPr>
      <w:bookmarkStart w:id="14" w:name="_Toc49333285"/>
      <w:r>
        <w:rPr>
          <w:rStyle w:val="CharSectno"/>
        </w:rPr>
        <w:t>5</w:t>
      </w:r>
      <w:r>
        <w:t>.</w:t>
      </w:r>
      <w:r>
        <w:tab/>
        <w:t>Australian Capital Territory</w:t>
      </w:r>
      <w:bookmarkEnd w:id="1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relevant ACT provision</w:t>
      </w:r>
      <w:r>
        <w:t xml:space="preserve"> means a provision of the </w:t>
      </w:r>
      <w:r>
        <w:rPr>
          <w:i/>
        </w:rPr>
        <w:t>Crimes Act 1900</w:t>
      </w:r>
      <w:r>
        <w:t xml:space="preserve"> (Australian Capital Territory) specified in column 1 of the Table to subregulation (2);</w:t>
      </w:r>
    </w:p>
    <w:p>
      <w:pPr>
        <w:pStyle w:val="Defstart"/>
      </w:pPr>
      <w:r>
        <w:tab/>
      </w:r>
      <w:r>
        <w:rPr>
          <w:rStyle w:val="CharDefText"/>
        </w:rPr>
        <w:t>relevant WA provision</w:t>
      </w:r>
      <w:r>
        <w:t xml:space="preserve"> means a provision of </w:t>
      </w:r>
      <w:r>
        <w:rPr>
          <w:i/>
        </w:rPr>
        <w:t>The Criminal Code</w:t>
      </w:r>
      <w:r>
        <w:t xml:space="preserve"> specified in column 2 of the Table to subregulation (2).</w:t>
      </w:r>
    </w:p>
    <w:p>
      <w:pPr>
        <w:pStyle w:val="Subsection"/>
      </w:pPr>
      <w:r>
        <w:tab/>
        <w:t>(2)</w:t>
      </w:r>
      <w:r>
        <w:tab/>
        <w:t xml:space="preserve">An offence against a provision of the </w:t>
      </w:r>
      <w:r>
        <w:rPr>
          <w:i/>
        </w:rPr>
        <w:t>Crimes Act 1900</w:t>
      </w:r>
      <w:r>
        <w:t xml:space="preserve"> (Australian Capital Territory) specified in column 1 of an item in the Table is prescribed to correspond to an offence against a provision of </w:t>
      </w:r>
      <w:r>
        <w:rPr>
          <w:i/>
        </w:rPr>
        <w:t>The Criminal Code</w:t>
      </w:r>
      <w:r>
        <w:t xml:space="preserve"> specified in column 2 of the item.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3260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  <w:i/>
              </w:rPr>
              <w:t>Crimes Act 1900</w:t>
            </w:r>
            <w:r>
              <w:rPr>
                <w:b/>
              </w:rPr>
              <w:t xml:space="preserve"> (ACT)</w:t>
            </w:r>
          </w:p>
        </w:tc>
        <w:tc>
          <w:tcPr>
            <w:tcW w:w="3260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54(1)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54(2)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326(1)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  <w:rPr>
                <w:i/>
              </w:rPr>
            </w:pPr>
            <w:r>
              <w:t>s. 55(1)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320(2)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4.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  <w:rPr>
                <w:i/>
              </w:rPr>
            </w:pPr>
            <w:r>
              <w:t>s. 55(2)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320(2)</w:t>
            </w:r>
          </w:p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5.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  <w:rPr>
                <w:i/>
              </w:rPr>
            </w:pPr>
            <w:r>
              <w:t>s. 55A(1)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322(2)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6.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  <w:rPr>
                <w:i/>
              </w:rPr>
            </w:pPr>
            <w:r>
              <w:t>s. 56(2)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321A(4)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61(1)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320(4)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61(2)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9.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  <w:rPr>
                <w:i/>
              </w:rPr>
            </w:pPr>
            <w:r>
              <w:t>s. 62(1)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329(2)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10.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  <w:rPr>
                <w:i/>
              </w:rPr>
            </w:pPr>
            <w:r>
              <w:t>s. 62(2)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329(2)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11.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  <w:rPr>
                <w:i/>
              </w:rPr>
            </w:pPr>
            <w:r>
              <w:t>s. 63A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181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12.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  <w:rPr>
                <w:rStyle w:val="DraftersNotes"/>
                <w:b w:val="0"/>
                <w:i w:val="0"/>
                <w:sz w:val="24"/>
                <w:szCs w:val="24"/>
              </w:rPr>
            </w:pPr>
            <w:r>
              <w:t>s. 79(1)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331B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13.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  <w:rPr>
                <w:i/>
              </w:rPr>
            </w:pPr>
            <w:r>
              <w:t>s. 79(2)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331C(2)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14.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  <w:rPr>
                <w:i/>
              </w:rPr>
            </w:pPr>
            <w:r>
              <w:t>s. 80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331D(1)</w:t>
            </w:r>
          </w:p>
          <w:p>
            <w:pPr>
              <w:pStyle w:val="TableNAm"/>
            </w:pPr>
            <w:r>
              <w:t>s. 331D(2)</w:t>
            </w:r>
          </w:p>
        </w:tc>
      </w:tr>
    </w:tbl>
    <w:p>
      <w:pPr>
        <w:pStyle w:val="Subsection"/>
      </w:pPr>
      <w:r>
        <w:tab/>
        <w:t>(3)</w:t>
      </w:r>
      <w:r>
        <w:tab/>
        <w:t xml:space="preserve">An offence against a provision of the </w:t>
      </w:r>
      <w:r>
        <w:rPr>
          <w:i/>
        </w:rPr>
        <w:t>Criminal Code 2002</w:t>
      </w:r>
      <w:r>
        <w:t xml:space="preserve"> (Australian Capital Territory) specified in column 1 of an item in the Table, committed in respect of a relevant ACT provision, is prescribed to correspond to an offence against a provision of </w:t>
      </w:r>
      <w:r>
        <w:rPr>
          <w:i/>
        </w:rPr>
        <w:t>The Criminal Code</w:t>
      </w:r>
      <w:r>
        <w:t xml:space="preserve"> specified in column 2 of the item committed in respect of a relevant WA provision.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2551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  <w:i/>
              </w:rPr>
              <w:t>Criminal Code 2002</w:t>
            </w:r>
            <w:r>
              <w:rPr>
                <w:b/>
              </w:rPr>
              <w:t xml:space="preserve"> (ACT)</w:t>
            </w:r>
          </w:p>
        </w:tc>
        <w:tc>
          <w:tcPr>
            <w:tcW w:w="2551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44(1)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552(1)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47(1)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553(1)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48(1)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558(1)</w:t>
            </w:r>
          </w:p>
        </w:tc>
      </w:tr>
    </w:tbl>
    <w:p>
      <w:pPr>
        <w:pStyle w:val="Footnotesection"/>
      </w:pPr>
      <w:r>
        <w:tab/>
        <w:t>[Regulation 5 inserted: Gazette 15 Feb 2019 p. 284</w:t>
      </w:r>
      <w:r>
        <w:noBreakHyphen/>
        <w:t>5.]</w:t>
      </w:r>
    </w:p>
    <w:p>
      <w:pPr>
        <w:pStyle w:val="Heading4"/>
      </w:pPr>
      <w:bookmarkStart w:id="15" w:name="_Toc49333286"/>
      <w:r>
        <w:t>Subdivision 3 — Commonwealth</w:t>
      </w:r>
      <w:bookmarkEnd w:id="15"/>
    </w:p>
    <w:p>
      <w:pPr>
        <w:pStyle w:val="Footnoteheading"/>
        <w:keepNext/>
      </w:pPr>
      <w:r>
        <w:tab/>
        <w:t>[Heading inserted: Gazette 15 Feb 2019 p. 285.]</w:t>
      </w:r>
    </w:p>
    <w:p>
      <w:pPr>
        <w:pStyle w:val="Heading5"/>
      </w:pPr>
      <w:bookmarkStart w:id="16" w:name="_Toc49333287"/>
      <w:r>
        <w:rPr>
          <w:rStyle w:val="CharSectno"/>
        </w:rPr>
        <w:t>6</w:t>
      </w:r>
      <w:r>
        <w:t>.</w:t>
      </w:r>
      <w:r>
        <w:tab/>
        <w:t>Commonwealth</w:t>
      </w:r>
      <w:bookmarkEnd w:id="16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  <w:keepNext/>
        <w:rPr>
          <w:snapToGrid/>
        </w:rPr>
      </w:pPr>
      <w:r>
        <w:tab/>
      </w:r>
      <w:r>
        <w:rPr>
          <w:rStyle w:val="CharDefText"/>
        </w:rPr>
        <w:t>Commonwealth Criminal Code</w:t>
      </w:r>
      <w:r>
        <w:t xml:space="preserve"> </w:t>
      </w:r>
      <w:r>
        <w:rPr>
          <w:snapToGrid/>
        </w:rPr>
        <w:t xml:space="preserve">means the Criminal Code set out in the Schedule to the </w:t>
      </w:r>
      <w:r>
        <w:rPr>
          <w:i/>
          <w:snapToGrid/>
        </w:rPr>
        <w:t>Criminal Code Act 1995</w:t>
      </w:r>
      <w:r>
        <w:rPr>
          <w:snapToGrid/>
        </w:rPr>
        <w:t xml:space="preserve"> (Commonwealth);</w:t>
      </w:r>
    </w:p>
    <w:p>
      <w:pPr>
        <w:pStyle w:val="Defstart"/>
      </w:pPr>
      <w:r>
        <w:tab/>
      </w:r>
      <w:r>
        <w:rPr>
          <w:rStyle w:val="CharDefText"/>
        </w:rPr>
        <w:t>relevant Commonwealth provision</w:t>
      </w:r>
      <w:r>
        <w:t xml:space="preserve"> means a provision of the Commonwealth Criminal Code specified in column 1 of the Table to subregulation (2);</w:t>
      </w:r>
    </w:p>
    <w:p>
      <w:pPr>
        <w:pStyle w:val="Defstart"/>
      </w:pPr>
      <w:r>
        <w:tab/>
      </w:r>
      <w:r>
        <w:rPr>
          <w:rStyle w:val="CharDefText"/>
        </w:rPr>
        <w:t>relevant WA provision</w:t>
      </w:r>
      <w:r>
        <w:t xml:space="preserve"> means a provision of </w:t>
      </w:r>
      <w:r>
        <w:rPr>
          <w:i/>
        </w:rPr>
        <w:t>The Criminal Code</w:t>
      </w:r>
      <w:r>
        <w:t xml:space="preserve"> specified in column 2 of the Table to subregulation (2).</w:t>
      </w:r>
    </w:p>
    <w:p>
      <w:pPr>
        <w:pStyle w:val="Subsection"/>
      </w:pPr>
      <w:r>
        <w:tab/>
        <w:t>(2)</w:t>
      </w:r>
      <w:r>
        <w:tab/>
        <w:t xml:space="preserve">An offence against a provision of the Commonwealth Criminal Code specified in column 1 of an item in the Table is prescribed to correspond to an offence against a provision of </w:t>
      </w:r>
      <w:r>
        <w:rPr>
          <w:i/>
        </w:rPr>
        <w:t>The Criminal Code</w:t>
      </w:r>
      <w:r>
        <w:t xml:space="preserve"> specified in column 2 of the item.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410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Commonwealth Criminal Code</w:t>
            </w:r>
          </w:p>
        </w:tc>
        <w:tc>
          <w:tcPr>
            <w:tcW w:w="2410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71.8(1)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272.8(1)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320(2)</w:t>
            </w:r>
          </w:p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272.8(2)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320(3)</w:t>
            </w:r>
          </w:p>
          <w:p>
            <w:pPr>
              <w:pStyle w:val="TableNAm"/>
            </w:pPr>
            <w:r>
              <w:t>s. 321(3)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4.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272.9(1)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5.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272.9(2)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320(5)</w:t>
            </w:r>
          </w:p>
          <w:p>
            <w:pPr>
              <w:pStyle w:val="TableNAm"/>
            </w:pPr>
            <w:r>
              <w:t>s. 321(4)</w:t>
            </w:r>
          </w:p>
          <w:p>
            <w:pPr>
              <w:pStyle w:val="TableNAm"/>
            </w:pPr>
            <w:r>
              <w:t>s. 321(5)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6.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272.10(1)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320(2)</w:t>
            </w:r>
          </w:p>
          <w:p>
            <w:pPr>
              <w:pStyle w:val="TableNAm"/>
            </w:pPr>
            <w:r>
              <w:t>s. 320(3)</w:t>
            </w:r>
          </w:p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320(5)</w:t>
            </w:r>
          </w:p>
          <w:p>
            <w:pPr>
              <w:pStyle w:val="TableNAm"/>
            </w:pPr>
            <w:r>
              <w:t>s. 321(2)</w:t>
            </w:r>
          </w:p>
          <w:p>
            <w:pPr>
              <w:pStyle w:val="TableNAm"/>
            </w:pPr>
            <w:r>
              <w:t>s. 321(3)</w:t>
            </w:r>
          </w:p>
          <w:p>
            <w:pPr>
              <w:pStyle w:val="TableNAm"/>
            </w:pPr>
            <w:r>
              <w:t>s. 321(4)</w:t>
            </w:r>
          </w:p>
          <w:p>
            <w:pPr>
              <w:pStyle w:val="TableNAm"/>
            </w:pPr>
            <w:r>
              <w:t>s. 321(5)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7.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272.11(1)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321A(4)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8.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272.12(1)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322(2)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9.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272.12(2)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322(3)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268.14(1)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11.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268.14(2)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325(1)</w:t>
            </w:r>
          </w:p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12.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268.15(1)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331B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13.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268.59(1)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14.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268.59(2)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325(1)</w:t>
            </w:r>
          </w:p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15.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268.60(1)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331B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268.82(1)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268.82(2)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325(1)</w:t>
            </w:r>
          </w:p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18.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268.83(1)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331B</w:t>
            </w:r>
          </w:p>
        </w:tc>
      </w:tr>
    </w:tbl>
    <w:p>
      <w:pPr>
        <w:pStyle w:val="Subsection"/>
      </w:pPr>
      <w:r>
        <w:tab/>
        <w:t>(3)</w:t>
      </w:r>
      <w:r>
        <w:tab/>
        <w:t xml:space="preserve">An offence against the Commonwealth Criminal Code section 71.8(1), that is an aggravated offence under section 71.13 of that Code, is prescribed to correspond to an offence against </w:t>
      </w:r>
      <w:r>
        <w:rPr>
          <w:i/>
        </w:rPr>
        <w:t>The Criminal Code</w:t>
      </w:r>
      <w:r>
        <w:t xml:space="preserve"> section 326(1).</w:t>
      </w:r>
    </w:p>
    <w:p>
      <w:pPr>
        <w:pStyle w:val="Subsection"/>
      </w:pPr>
      <w:r>
        <w:tab/>
        <w:t>(4)</w:t>
      </w:r>
      <w:r>
        <w:tab/>
        <w:t xml:space="preserve">An offence against a provision of the Commonwealth Criminal Code specified in column 1 of an item in the Table, committed in respect of a relevant Commonwealth provision, is prescribed to correspond to an offence against a provision of </w:t>
      </w:r>
      <w:r>
        <w:rPr>
          <w:i/>
        </w:rPr>
        <w:t>The Criminal Code</w:t>
      </w:r>
      <w:r>
        <w:t xml:space="preserve"> specified in column 2 of the item committed in respect of a relevant WA provision.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410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Commonwealth Criminal Code</w:t>
            </w:r>
          </w:p>
        </w:tc>
        <w:tc>
          <w:tcPr>
            <w:tcW w:w="2410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11.1(1)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552(1)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11.4(1)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553(1)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11.5(1)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558(1)</w:t>
            </w:r>
          </w:p>
        </w:tc>
      </w:tr>
    </w:tbl>
    <w:p>
      <w:pPr>
        <w:pStyle w:val="Footnotesection"/>
      </w:pPr>
      <w:r>
        <w:tab/>
        <w:t>[Regulation 6 inserted: Gazette 15 Feb 2019 p. 285</w:t>
      </w:r>
      <w:r>
        <w:noBreakHyphen/>
        <w:t>7.]</w:t>
      </w:r>
    </w:p>
    <w:p>
      <w:pPr>
        <w:pStyle w:val="Heading4"/>
      </w:pPr>
      <w:bookmarkStart w:id="17" w:name="_Toc49333288"/>
      <w:r>
        <w:t>Subdivision 4 — New South Wales</w:t>
      </w:r>
      <w:bookmarkEnd w:id="17"/>
    </w:p>
    <w:p>
      <w:pPr>
        <w:pStyle w:val="Footnoteheading"/>
      </w:pPr>
      <w:r>
        <w:tab/>
        <w:t>[Heading inserted: Gazette 15 Feb 2019 p. 288.]</w:t>
      </w:r>
    </w:p>
    <w:p>
      <w:pPr>
        <w:pStyle w:val="Heading5"/>
      </w:pPr>
      <w:bookmarkStart w:id="18" w:name="_Toc49333289"/>
      <w:r>
        <w:rPr>
          <w:rStyle w:val="CharSectno"/>
        </w:rPr>
        <w:t>7</w:t>
      </w:r>
      <w:r>
        <w:t>.</w:t>
      </w:r>
      <w:r>
        <w:tab/>
        <w:t>New South Wales</w:t>
      </w:r>
      <w:bookmarkEnd w:id="18"/>
    </w:p>
    <w:p>
      <w:pPr>
        <w:pStyle w:val="Subsection"/>
      </w:pPr>
      <w:r>
        <w:tab/>
        <w:t>(1)</w:t>
      </w:r>
      <w:r>
        <w:tab/>
        <w:t xml:space="preserve">An offence against a provision of the </w:t>
      </w:r>
      <w:r>
        <w:rPr>
          <w:i/>
        </w:rPr>
        <w:t>Crimes Act 1900</w:t>
      </w:r>
      <w:r>
        <w:t xml:space="preserve"> (New South Wales) specified in column 1 of an item in the Table is prescribed to correspond to an offence against a provision of </w:t>
      </w:r>
      <w:r>
        <w:rPr>
          <w:i/>
        </w:rPr>
        <w:t>The Criminal Code</w:t>
      </w:r>
      <w:r>
        <w:t xml:space="preserve"> specified in column 2 of the item.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2551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  <w:i/>
              </w:rPr>
              <w:t>Crimes Act 1900</w:t>
            </w:r>
            <w:r>
              <w:rPr>
                <w:b/>
              </w:rPr>
              <w:t xml:space="preserve"> (NSW)</w:t>
            </w:r>
          </w:p>
        </w:tc>
        <w:tc>
          <w:tcPr>
            <w:tcW w:w="2551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61I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61J(1)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325(1)</w:t>
            </w:r>
          </w:p>
          <w:p>
            <w:pPr>
              <w:pStyle w:val="TableNAm"/>
            </w:pPr>
            <w:r>
              <w:t>s. 326(1)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61JA(1)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326(1)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4.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61KD(1)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324(1)</w:t>
            </w:r>
          </w:p>
        </w:tc>
      </w:tr>
      <w:t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Ednoteitem"/>
            </w:pPr>
            <w:r>
              <w:t>[5</w:t>
            </w:r>
            <w:r>
              <w:noBreakHyphen/>
              <w:t>7. deleted]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8.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66A(1)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320(2)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9.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66C(1)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320(2)</w:t>
            </w:r>
          </w:p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66C(2)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320(2)</w:t>
            </w:r>
          </w:p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11.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66C(3)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66C(4)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12A.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66DA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320(5)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12B.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66DB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321(4)</w:t>
            </w:r>
          </w:p>
          <w:p>
            <w:pPr>
              <w:pStyle w:val="TableNAm"/>
            </w:pPr>
            <w:r>
              <w:t>s. 321(5)</w:t>
            </w:r>
          </w:p>
          <w:p>
            <w:pPr>
              <w:pStyle w:val="TableNAm"/>
            </w:pPr>
            <w:r>
              <w:t>s. 324(1)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12C.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66DC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320(5)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12D.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66DF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320(5)</w:t>
            </w:r>
          </w:p>
          <w:p>
            <w:pPr>
              <w:pStyle w:val="TableNAm"/>
            </w:pPr>
            <w:r>
              <w:t>s. 321(4)</w:t>
            </w:r>
          </w:p>
          <w:p>
            <w:pPr>
              <w:pStyle w:val="TableNAm"/>
            </w:pPr>
            <w:r>
              <w:t>s. 321(5)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66EA(1)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321A(4)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66F(2)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330(2)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66F(3)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330(2)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73(1)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322(2)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17.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79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181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18.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80A(2)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19.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80A(2A)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  <w:rPr>
                <w:rStyle w:val="DraftersNotes"/>
                <w:b w:val="0"/>
                <w:i w:val="0"/>
                <w:sz w:val="24"/>
                <w:szCs w:val="24"/>
              </w:rPr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20.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80D(1)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331B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21.</w:t>
            </w:r>
          </w:p>
        </w:tc>
        <w:tc>
          <w:tcPr>
            <w:tcW w:w="3544" w:type="dxa"/>
            <w:vAlign w:val="center"/>
          </w:tcPr>
          <w:p>
            <w:pPr>
              <w:pStyle w:val="TableNAm"/>
            </w:pPr>
            <w:r>
              <w:t>s. 80E(1)</w:t>
            </w:r>
          </w:p>
        </w:tc>
        <w:tc>
          <w:tcPr>
            <w:tcW w:w="2551" w:type="dxa"/>
            <w:vAlign w:val="center"/>
          </w:tcPr>
          <w:p>
            <w:pPr>
              <w:pStyle w:val="TableNAm"/>
            </w:pPr>
            <w:r>
              <w:t>s. 331C(2)</w:t>
            </w:r>
          </w:p>
        </w:tc>
      </w:tr>
    </w:tbl>
    <w:p>
      <w:pPr>
        <w:pStyle w:val="Subsection"/>
      </w:pPr>
      <w:r>
        <w:tab/>
        <w:t>(2)</w:t>
      </w:r>
      <w:r>
        <w:tab/>
        <w:t xml:space="preserve">An offence against the </w:t>
      </w:r>
      <w:r>
        <w:rPr>
          <w:i/>
        </w:rPr>
        <w:t>Crimes Act 1900</w:t>
      </w:r>
      <w:r>
        <w:t xml:space="preserve"> (New South Wales) </w:t>
      </w:r>
      <w:r>
        <w:rPr>
          <w:bCs/>
        </w:rPr>
        <w:t xml:space="preserve">section 78A(1), committed in circumstances where </w:t>
      </w:r>
      <w:r>
        <w:t xml:space="preserve">the victim was under 18 years of age, is prescribed to correspond to an offence against </w:t>
      </w:r>
      <w:r>
        <w:rPr>
          <w:i/>
        </w:rPr>
        <w:t>The Criminal Code</w:t>
      </w:r>
      <w:r>
        <w:t xml:space="preserve"> section 329(2).</w:t>
      </w:r>
    </w:p>
    <w:p>
      <w:pPr>
        <w:pStyle w:val="Subsection"/>
      </w:pPr>
      <w:r>
        <w:tab/>
        <w:t>(3)</w:t>
      </w:r>
      <w:r>
        <w:tab/>
        <w:t xml:space="preserve">An offence against a provision of the </w:t>
      </w:r>
      <w:r>
        <w:rPr>
          <w:i/>
        </w:rPr>
        <w:t>Crimes Act 1900</w:t>
      </w:r>
      <w:r>
        <w:t xml:space="preserve"> (New South Wales) specified in column 1 of an item in the Table is prescribed to correspond to an offence against a provision of </w:t>
      </w:r>
      <w:r>
        <w:rPr>
          <w:i/>
        </w:rPr>
        <w:t>The Criminal Code</w:t>
      </w:r>
      <w:r>
        <w:t xml:space="preserve"> specified in column 2 of the item committed in respect of a provision of that Code specified in column 3 of the item.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2126"/>
        <w:gridCol w:w="2126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843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  <w:i/>
              </w:rPr>
              <w:t>Crimes Act 1900</w:t>
            </w:r>
            <w:r>
              <w:rPr>
                <w:b/>
              </w:rPr>
              <w:t xml:space="preserve"> (NSW)</w:t>
            </w:r>
          </w:p>
        </w:tc>
        <w:tc>
          <w:tcPr>
            <w:tcW w:w="2126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  <w:tc>
          <w:tcPr>
            <w:tcW w:w="2126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3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66B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552(1)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s. 320(2)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66D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552(1)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s. 320(2)</w:t>
            </w:r>
          </w:p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Ednoteitem"/>
            </w:pPr>
            <w:r>
              <w:t>[3. deleted]</w:t>
            </w:r>
          </w:p>
        </w:tc>
      </w:tr>
    </w:tbl>
    <w:p>
      <w:pPr>
        <w:pStyle w:val="Subsection"/>
      </w:pPr>
      <w:r>
        <w:tab/>
        <w:t>(4)</w:t>
      </w:r>
      <w:r>
        <w:tab/>
        <w:t xml:space="preserve">An offence against a provision of the </w:t>
      </w:r>
      <w:r>
        <w:rPr>
          <w:i/>
        </w:rPr>
        <w:t>Crimes Act 1900</w:t>
      </w:r>
      <w:r>
        <w:t xml:space="preserve"> (New South Wales) specified in column 1 of an item in the Table, committed in respect of a provision of that Act specified in column 2 of the item, is prescribed to correspond to an offence against a provision of </w:t>
      </w:r>
      <w:r>
        <w:rPr>
          <w:i/>
        </w:rPr>
        <w:t>The Criminal Code</w:t>
      </w:r>
      <w:r>
        <w:t xml:space="preserve"> specified in column 3 of the item committed in respect of a provision of that Code specified in column 4 of the item.</w:t>
      </w:r>
    </w:p>
    <w:p>
      <w:pPr>
        <w:pStyle w:val="THeadingNAm"/>
      </w:pPr>
      <w:r>
        <w:t>Table</w:t>
      </w:r>
    </w:p>
    <w:tbl>
      <w:tblPr>
        <w:tblW w:w="694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12"/>
        <w:gridCol w:w="1274"/>
        <w:gridCol w:w="1848"/>
        <w:gridCol w:w="1218"/>
        <w:gridCol w:w="1889"/>
      </w:tblGrid>
      <w:tr>
        <w:trPr>
          <w:tblHeader/>
        </w:trPr>
        <w:tc>
          <w:tcPr>
            <w:tcW w:w="712" w:type="dxa"/>
          </w:tcPr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1274" w:type="dxa"/>
          </w:tcPr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Column 1</w:t>
            </w:r>
          </w:p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Crimes Act 1900</w:t>
            </w:r>
            <w:r>
              <w:rPr>
                <w:b/>
                <w:sz w:val="20"/>
              </w:rPr>
              <w:t xml:space="preserve"> (NSW)</w:t>
            </w:r>
          </w:p>
        </w:tc>
        <w:tc>
          <w:tcPr>
            <w:tcW w:w="1848" w:type="dxa"/>
          </w:tcPr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Column 2</w:t>
            </w:r>
          </w:p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Crimes Act 1900</w:t>
            </w:r>
            <w:r>
              <w:rPr>
                <w:b/>
                <w:sz w:val="20"/>
              </w:rPr>
              <w:t xml:space="preserve"> (NSW)</w:t>
            </w:r>
          </w:p>
        </w:tc>
        <w:tc>
          <w:tcPr>
            <w:tcW w:w="1218" w:type="dxa"/>
          </w:tcPr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Column 3</w:t>
            </w:r>
          </w:p>
          <w:p>
            <w:pPr>
              <w:pStyle w:val="TableNAm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The Criminal Code</w:t>
            </w:r>
          </w:p>
        </w:tc>
        <w:tc>
          <w:tcPr>
            <w:tcW w:w="1889" w:type="dxa"/>
          </w:tcPr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Column 4</w:t>
            </w:r>
          </w:p>
          <w:p>
            <w:pPr>
              <w:pStyle w:val="TableNAm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The Criminal Code</w:t>
            </w:r>
          </w:p>
        </w:tc>
      </w:tr>
      <w:tr>
        <w:tc>
          <w:tcPr>
            <w:tcW w:w="6941" w:type="dxa"/>
            <w:gridSpan w:val="5"/>
            <w:vAlign w:val="center"/>
          </w:tcPr>
          <w:p>
            <w:pPr>
              <w:pStyle w:val="Ednoteitem"/>
              <w:rPr>
                <w:snapToGrid w:val="0"/>
              </w:rPr>
            </w:pPr>
            <w:r>
              <w:t>[1, 2. deleted]</w:t>
            </w:r>
          </w:p>
        </w:tc>
      </w:tr>
      <w:tr>
        <w:tc>
          <w:tcPr>
            <w:tcW w:w="712" w:type="dxa"/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74" w:type="dxa"/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80G(1)</w:t>
            </w:r>
          </w:p>
        </w:tc>
        <w:tc>
          <w:tcPr>
            <w:tcW w:w="1848" w:type="dxa"/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A provision specified in column 1 of the Table to subregulation (1)</w:t>
            </w:r>
          </w:p>
        </w:tc>
        <w:tc>
          <w:tcPr>
            <w:tcW w:w="1218" w:type="dxa"/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553(1)</w:t>
            </w:r>
          </w:p>
        </w:tc>
        <w:tc>
          <w:tcPr>
            <w:tcW w:w="1889" w:type="dxa"/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A provision specified in column 2 of the Table to subregulation (1)</w:t>
            </w:r>
          </w:p>
        </w:tc>
      </w:tr>
      <w:t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keepNext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keepNext/>
              <w:rPr>
                <w:sz w:val="20"/>
              </w:rPr>
            </w:pPr>
            <w:r>
              <w:rPr>
                <w:sz w:val="20"/>
              </w:rPr>
              <w:t>s. 344A(1)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keepNext/>
              <w:rPr>
                <w:sz w:val="20"/>
              </w:rPr>
            </w:pPr>
            <w:r>
              <w:rPr>
                <w:sz w:val="20"/>
              </w:rPr>
              <w:t>A provision specified in column 1 of the Table to subregulation (1)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keepNext/>
              <w:rPr>
                <w:sz w:val="20"/>
              </w:rPr>
            </w:pPr>
            <w:r>
              <w:rPr>
                <w:sz w:val="20"/>
              </w:rPr>
              <w:t>s. 552(1)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keepNext/>
              <w:rPr>
                <w:sz w:val="20"/>
              </w:rPr>
            </w:pPr>
            <w:r>
              <w:rPr>
                <w:sz w:val="20"/>
              </w:rPr>
              <w:t>A provision specified in column 2 of the Table to subregulation (1)</w:t>
            </w:r>
          </w:p>
        </w:tc>
      </w:tr>
    </w:tbl>
    <w:p>
      <w:pPr>
        <w:pStyle w:val="Footnotesection"/>
      </w:pPr>
      <w:r>
        <w:tab/>
        <w:t>[Regulation 7 inserted: Gazette 15 Feb 2019 p. 288</w:t>
      </w:r>
      <w:r>
        <w:noBreakHyphen/>
        <w:t>90; amended: Gazette 5 Nov 2019 p. 3899.]</w:t>
      </w:r>
    </w:p>
    <w:p>
      <w:pPr>
        <w:pStyle w:val="Heading4"/>
      </w:pPr>
      <w:bookmarkStart w:id="19" w:name="_Toc49333290"/>
      <w:r>
        <w:t>Subdivision 5 — Northern Territory</w:t>
      </w:r>
      <w:bookmarkEnd w:id="19"/>
    </w:p>
    <w:p>
      <w:pPr>
        <w:pStyle w:val="Footnoteheading"/>
      </w:pPr>
      <w:r>
        <w:tab/>
        <w:t>[Heading inserted: Gazette 15 Feb 2019 p. 290.]</w:t>
      </w:r>
    </w:p>
    <w:p>
      <w:pPr>
        <w:pStyle w:val="Heading5"/>
      </w:pPr>
      <w:bookmarkStart w:id="20" w:name="_Toc49333291"/>
      <w:r>
        <w:rPr>
          <w:rStyle w:val="CharSectno"/>
        </w:rPr>
        <w:t>8</w:t>
      </w:r>
      <w:r>
        <w:t>.</w:t>
      </w:r>
      <w:r>
        <w:tab/>
        <w:t>Northern Territory</w:t>
      </w:r>
      <w:bookmarkEnd w:id="2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  <w:rPr>
          <w:snapToGrid/>
        </w:rPr>
      </w:pPr>
      <w:r>
        <w:tab/>
      </w:r>
      <w:r>
        <w:rPr>
          <w:rStyle w:val="CharDefText"/>
        </w:rPr>
        <w:t>NT Criminal Code</w:t>
      </w:r>
      <w:r>
        <w:t xml:space="preserve"> </w:t>
      </w:r>
      <w:r>
        <w:rPr>
          <w:snapToGrid/>
        </w:rPr>
        <w:t xml:space="preserve">means the Criminal Code set out in Schedule 1 to the </w:t>
      </w:r>
      <w:r>
        <w:rPr>
          <w:i/>
        </w:rPr>
        <w:t>Criminal Code Act</w:t>
      </w:r>
      <w:r>
        <w:t xml:space="preserve"> </w:t>
      </w:r>
      <w:r>
        <w:rPr>
          <w:i/>
        </w:rPr>
        <w:t>1983</w:t>
      </w:r>
      <w:r>
        <w:t xml:space="preserve"> (Northern Territory)</w:t>
      </w:r>
      <w:r>
        <w:rPr>
          <w:snapToGrid/>
        </w:rPr>
        <w:t>;</w:t>
      </w:r>
    </w:p>
    <w:p>
      <w:pPr>
        <w:pStyle w:val="Defstart"/>
      </w:pPr>
      <w:r>
        <w:tab/>
      </w:r>
      <w:r>
        <w:rPr>
          <w:rStyle w:val="CharDefText"/>
        </w:rPr>
        <w:t>relevant NT provision</w:t>
      </w:r>
      <w:r>
        <w:t xml:space="preserve"> means a provision of the NT Criminal Code specified in column 1 of the Table to subregulation (2);</w:t>
      </w:r>
    </w:p>
    <w:p>
      <w:pPr>
        <w:pStyle w:val="Defstart"/>
      </w:pPr>
      <w:r>
        <w:tab/>
      </w:r>
      <w:r>
        <w:rPr>
          <w:rStyle w:val="CharDefText"/>
        </w:rPr>
        <w:t>relevant WA provision</w:t>
      </w:r>
      <w:r>
        <w:rPr>
          <w:b/>
          <w:i/>
        </w:rPr>
        <w:t xml:space="preserve"> </w:t>
      </w:r>
      <w:r>
        <w:t xml:space="preserve">means a provision of </w:t>
      </w:r>
      <w:r>
        <w:rPr>
          <w:i/>
        </w:rPr>
        <w:t>The Criminal Code</w:t>
      </w:r>
      <w:r>
        <w:t xml:space="preserve"> specified in column 2 of the Table to subregulation (2).</w:t>
      </w:r>
    </w:p>
    <w:p>
      <w:pPr>
        <w:pStyle w:val="Subsection"/>
      </w:pPr>
      <w:r>
        <w:tab/>
        <w:t>(2)</w:t>
      </w:r>
      <w:r>
        <w:tab/>
        <w:t xml:space="preserve">An offence against a provision of the NT Criminal Code specified in column 1 of an item in the Table is prescribed to correspond to an offence against a provision of </w:t>
      </w:r>
      <w:r>
        <w:rPr>
          <w:i/>
        </w:rPr>
        <w:t>The Criminal Code</w:t>
      </w:r>
      <w:r>
        <w:t xml:space="preserve"> specified in column 2 of the item.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10"/>
        <w:gridCol w:w="3584"/>
        <w:gridCol w:w="2410"/>
      </w:tblGrid>
      <w:tr>
        <w:trPr>
          <w:tblHeader/>
        </w:trPr>
        <w:tc>
          <w:tcPr>
            <w:tcW w:w="810" w:type="dxa"/>
          </w:tcPr>
          <w:p>
            <w:pPr>
              <w:pStyle w:val="TableNAm"/>
              <w:keepNext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84" w:type="dxa"/>
          </w:tcPr>
          <w:p>
            <w:pPr>
              <w:pStyle w:val="TableNAm"/>
              <w:keepNext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TableNAm"/>
              <w:keepNext/>
              <w:jc w:val="center"/>
              <w:rPr>
                <w:b/>
              </w:rPr>
            </w:pPr>
            <w:r>
              <w:rPr>
                <w:b/>
              </w:rPr>
              <w:t>NT Criminal Code</w:t>
            </w:r>
          </w:p>
        </w:tc>
        <w:tc>
          <w:tcPr>
            <w:tcW w:w="2410" w:type="dxa"/>
          </w:tcPr>
          <w:p>
            <w:pPr>
              <w:pStyle w:val="TableNAm"/>
              <w:keepNext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TableNAm"/>
              <w:keepNext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127(1)(a)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320(2)</w:t>
            </w:r>
          </w:p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127(1)(b)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130(2)(a)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330(2)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4.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130(2)(b)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330(4)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5.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130(3A)(a)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320(2)</w:t>
            </w:r>
          </w:p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6.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130(3A)(b)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7.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131A(2)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321A(4)</w:t>
            </w:r>
          </w:p>
        </w:tc>
      </w:tr>
      <w:t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8.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132(2)(a)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81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9.</w:t>
            </w:r>
          </w:p>
        </w:tc>
        <w:tc>
          <w:tcPr>
            <w:tcW w:w="3584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132(2)(b)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10.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132(2)(c)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11.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132(2)(d)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320(5)</w:t>
            </w:r>
          </w:p>
          <w:p>
            <w:pPr>
              <w:pStyle w:val="TableNAm"/>
            </w:pPr>
            <w:r>
              <w:t>s. 321(5)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12.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132(2)(f)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320(6)</w:t>
            </w:r>
          </w:p>
          <w:p>
            <w:pPr>
              <w:pStyle w:val="TableNAm"/>
            </w:pPr>
            <w:r>
              <w:t>s. 321(6)</w:t>
            </w:r>
          </w:p>
        </w:tc>
      </w:tr>
      <w:tr>
        <w:tc>
          <w:tcPr>
            <w:tcW w:w="6804" w:type="dxa"/>
            <w:gridSpan w:val="3"/>
            <w:vAlign w:val="center"/>
          </w:tcPr>
          <w:p>
            <w:pPr>
              <w:pStyle w:val="Ednoteitem"/>
            </w:pPr>
            <w:r>
              <w:t>[13. deleted]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14.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192(3)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15.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192(4)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324(1)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16.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192B(2)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17.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202B(1)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331B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18.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202B(2)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331B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19.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202B(3)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331B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20.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202C(1)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331C(2)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21.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202C(2)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331C(2)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22.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202C(3)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331C(2)</w:t>
            </w:r>
          </w:p>
        </w:tc>
      </w:tr>
      <w:tr>
        <w:tc>
          <w:tcPr>
            <w:tcW w:w="810" w:type="dxa"/>
            <w:vAlign w:val="center"/>
          </w:tcPr>
          <w:p>
            <w:pPr>
              <w:pStyle w:val="TableNAm"/>
            </w:pPr>
            <w:r>
              <w:t>23.</w:t>
            </w:r>
          </w:p>
        </w:tc>
        <w:tc>
          <w:tcPr>
            <w:tcW w:w="3584" w:type="dxa"/>
            <w:vAlign w:val="center"/>
          </w:tcPr>
          <w:p>
            <w:pPr>
              <w:pStyle w:val="TableNAm"/>
            </w:pPr>
            <w:r>
              <w:t>s. 202D(1)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331D(1)</w:t>
            </w:r>
          </w:p>
          <w:p>
            <w:pPr>
              <w:pStyle w:val="TableNAm"/>
            </w:pPr>
            <w:r>
              <w:t>s. 331D(2)</w:t>
            </w:r>
          </w:p>
        </w:tc>
      </w:tr>
    </w:tbl>
    <w:p>
      <w:pPr>
        <w:pStyle w:val="Subsection"/>
      </w:pPr>
      <w:r>
        <w:tab/>
        <w:t>(3)</w:t>
      </w:r>
      <w:r>
        <w:tab/>
        <w:t xml:space="preserve">An offence against the NT Criminal Code </w:t>
      </w:r>
      <w:r>
        <w:rPr>
          <w:bCs/>
        </w:rPr>
        <w:t xml:space="preserve">section 128(1)(a), committed </w:t>
      </w:r>
      <w:r>
        <w:t>in</w:t>
      </w:r>
      <w:r>
        <w:rPr>
          <w:bCs/>
        </w:rPr>
        <w:t xml:space="preserve"> circumstances where </w:t>
      </w:r>
      <w:r>
        <w:t xml:space="preserve">the offender is liable to the penalty mentioned in section 128(2) of that Code, is prescribed to correspond to an offence against </w:t>
      </w:r>
      <w:r>
        <w:rPr>
          <w:i/>
        </w:rPr>
        <w:t>The Criminal Code</w:t>
      </w:r>
      <w:r>
        <w:t xml:space="preserve"> section 322(2).</w:t>
      </w:r>
    </w:p>
    <w:p>
      <w:pPr>
        <w:pStyle w:val="Subsection"/>
      </w:pPr>
      <w:r>
        <w:tab/>
        <w:t>(3A)</w:t>
      </w:r>
      <w:r>
        <w:tab/>
        <w:t xml:space="preserve">An offence against the NT Criminal Code </w:t>
      </w:r>
      <w:r>
        <w:rPr>
          <w:bCs/>
        </w:rPr>
        <w:t xml:space="preserve">section 134(1), committed in circumstances where </w:t>
      </w:r>
      <w:r>
        <w:t xml:space="preserve">the victim was under 18 years of age, is prescribed to correspond to an offence against </w:t>
      </w:r>
      <w:r>
        <w:rPr>
          <w:i/>
        </w:rPr>
        <w:t>The Criminal Code</w:t>
      </w:r>
      <w:r>
        <w:t xml:space="preserve"> section 329(2).</w:t>
      </w:r>
    </w:p>
    <w:p>
      <w:pPr>
        <w:pStyle w:val="Subsection"/>
      </w:pPr>
      <w:r>
        <w:tab/>
        <w:t>(4)</w:t>
      </w:r>
      <w:r>
        <w:tab/>
        <w:t xml:space="preserve">An offence against a provision of the NT Criminal Code specified in column 1 of an item in the Table, committed in respect of a provision of that Code specified in column 2 of the item, is prescribed to correspond to an offence against a provision of </w:t>
      </w:r>
      <w:r>
        <w:rPr>
          <w:i/>
        </w:rPr>
        <w:t>The Criminal Code</w:t>
      </w:r>
      <w:r>
        <w:t xml:space="preserve"> specified in column 3 of the item committed in respect of a provision of that Code specified in column 4 of the item.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1984"/>
        <w:gridCol w:w="1134"/>
        <w:gridCol w:w="1701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1276" w:type="dxa"/>
          </w:tcPr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Column 1</w:t>
            </w:r>
          </w:p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NT Criminal Code</w:t>
            </w:r>
          </w:p>
        </w:tc>
        <w:tc>
          <w:tcPr>
            <w:tcW w:w="1984" w:type="dxa"/>
          </w:tcPr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Column 2</w:t>
            </w:r>
          </w:p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NT Criminal Code</w:t>
            </w:r>
          </w:p>
        </w:tc>
        <w:tc>
          <w:tcPr>
            <w:tcW w:w="1134" w:type="dxa"/>
          </w:tcPr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Column 3</w:t>
            </w:r>
          </w:p>
          <w:p>
            <w:pPr>
              <w:pStyle w:val="TableNAm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The Criminal Code</w:t>
            </w:r>
          </w:p>
        </w:tc>
        <w:tc>
          <w:tcPr>
            <w:tcW w:w="1701" w:type="dxa"/>
          </w:tcPr>
          <w:p>
            <w:pPr>
              <w:pStyle w:val="TableNAm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Column 4</w:t>
            </w:r>
          </w:p>
          <w:p>
            <w:pPr>
              <w:pStyle w:val="TableNAm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The Criminal Code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43BF(1)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192(3)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552(1)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325(1)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b/>
                <w:sz w:val="20"/>
              </w:rPr>
            </w:pPr>
            <w:r>
              <w:rPr>
                <w:sz w:val="20"/>
              </w:rPr>
              <w:t>s. 43BF(1)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192(4)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552(1)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324(1)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76" w:type="dxa"/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277(1)</w:t>
            </w:r>
          </w:p>
        </w:tc>
        <w:tc>
          <w:tcPr>
            <w:tcW w:w="1984" w:type="dxa"/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A provision specified in column 1 of the Table to subregulation (2) other than items 14 and 15</w:t>
            </w:r>
          </w:p>
        </w:tc>
        <w:tc>
          <w:tcPr>
            <w:tcW w:w="1134" w:type="dxa"/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552(1)</w:t>
            </w:r>
          </w:p>
        </w:tc>
        <w:tc>
          <w:tcPr>
            <w:tcW w:w="1701" w:type="dxa"/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A provision specified in column 2 of the Table to subregulation (2) other than items 14 and 15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43BI(1)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192(3)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553(1)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325(1)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rStyle w:val="DraftersNotes"/>
                <w:b w:val="0"/>
                <w:i w:val="0"/>
              </w:rPr>
            </w:pPr>
            <w:r>
              <w:rPr>
                <w:sz w:val="20"/>
              </w:rPr>
              <w:t>s. 43BI(1)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rStyle w:val="DraftersNotes"/>
                <w:b w:val="0"/>
                <w:bCs/>
                <w:i w:val="0"/>
              </w:rPr>
            </w:pPr>
            <w:r>
              <w:rPr>
                <w:sz w:val="20"/>
              </w:rPr>
              <w:t>s. 192(4)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553(1)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324(1)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43BJ(1)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192(3)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558(1)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325(1)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rStyle w:val="DraftersNotes"/>
                <w:b w:val="0"/>
                <w:i w:val="0"/>
              </w:rPr>
            </w:pPr>
            <w:r>
              <w:rPr>
                <w:sz w:val="20"/>
              </w:rPr>
              <w:t>s. 43BJ(1)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rStyle w:val="DraftersNotes"/>
                <w:b w:val="0"/>
                <w:bCs/>
                <w:i w:val="0"/>
              </w:rPr>
            </w:pPr>
            <w:r>
              <w:rPr>
                <w:sz w:val="20"/>
              </w:rPr>
              <w:t>s. 192(4)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558(1)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0"/>
              </w:rPr>
            </w:pPr>
            <w:r>
              <w:rPr>
                <w:sz w:val="20"/>
              </w:rPr>
              <w:t>s. 324(1)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  <w:keepNext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276" w:type="dxa"/>
            <w:vAlign w:val="center"/>
          </w:tcPr>
          <w:p>
            <w:pPr>
              <w:pStyle w:val="TableNAm"/>
              <w:keepNext/>
              <w:rPr>
                <w:sz w:val="20"/>
              </w:rPr>
            </w:pPr>
            <w:r>
              <w:rPr>
                <w:sz w:val="20"/>
              </w:rPr>
              <w:t>s. 282</w:t>
            </w:r>
          </w:p>
        </w:tc>
        <w:tc>
          <w:tcPr>
            <w:tcW w:w="1984" w:type="dxa"/>
            <w:vAlign w:val="center"/>
          </w:tcPr>
          <w:p>
            <w:pPr>
              <w:pStyle w:val="TableNAm"/>
              <w:keepNext/>
              <w:rPr>
                <w:sz w:val="20"/>
              </w:rPr>
            </w:pPr>
            <w:r>
              <w:rPr>
                <w:sz w:val="20"/>
              </w:rPr>
              <w:t>A provision specified in column 1 of the Table to subregulation (2) other than items 14 and 15</w:t>
            </w:r>
          </w:p>
        </w:tc>
        <w:tc>
          <w:tcPr>
            <w:tcW w:w="1134" w:type="dxa"/>
            <w:vAlign w:val="center"/>
          </w:tcPr>
          <w:p>
            <w:pPr>
              <w:pStyle w:val="TableNAm"/>
              <w:keepNext/>
              <w:rPr>
                <w:sz w:val="20"/>
              </w:rPr>
            </w:pPr>
            <w:r>
              <w:rPr>
                <w:sz w:val="20"/>
              </w:rPr>
              <w:t>s. 558(1)</w:t>
            </w:r>
          </w:p>
        </w:tc>
        <w:tc>
          <w:tcPr>
            <w:tcW w:w="1701" w:type="dxa"/>
            <w:vAlign w:val="center"/>
          </w:tcPr>
          <w:p>
            <w:pPr>
              <w:pStyle w:val="TableNAm"/>
              <w:keepNext/>
              <w:rPr>
                <w:sz w:val="20"/>
              </w:rPr>
            </w:pPr>
            <w:r>
              <w:rPr>
                <w:sz w:val="20"/>
              </w:rPr>
              <w:t>A provision specified in column 2 of the Table to subregulation (2) other than items 14 and 15</w:t>
            </w:r>
          </w:p>
        </w:tc>
      </w:tr>
    </w:tbl>
    <w:p>
      <w:pPr>
        <w:pStyle w:val="Footnotesection"/>
      </w:pPr>
      <w:r>
        <w:tab/>
        <w:t>[Regulation 8 inserted: Gazette 15 Feb 2019 p. 290</w:t>
      </w:r>
      <w:r>
        <w:noBreakHyphen/>
        <w:t>3; amended: Gazette 5 Nov 2019 p. 3899.]</w:t>
      </w:r>
    </w:p>
    <w:p>
      <w:pPr>
        <w:pStyle w:val="Heading4"/>
      </w:pPr>
      <w:bookmarkStart w:id="21" w:name="_Toc49333292"/>
      <w:r>
        <w:t>Subdivision 6 — Queensland</w:t>
      </w:r>
      <w:bookmarkEnd w:id="21"/>
    </w:p>
    <w:p>
      <w:pPr>
        <w:pStyle w:val="Footnoteheading"/>
      </w:pPr>
      <w:r>
        <w:tab/>
        <w:t>[Heading inserted: Gazette 15 Feb 2019 p. 293.]</w:t>
      </w:r>
    </w:p>
    <w:p>
      <w:pPr>
        <w:pStyle w:val="Heading5"/>
      </w:pPr>
      <w:bookmarkStart w:id="22" w:name="_Toc49333293"/>
      <w:r>
        <w:rPr>
          <w:rStyle w:val="CharSectno"/>
        </w:rPr>
        <w:t>9</w:t>
      </w:r>
      <w:r>
        <w:t>.</w:t>
      </w:r>
      <w:r>
        <w:tab/>
        <w:t>Queensland</w:t>
      </w:r>
      <w:bookmarkEnd w:id="22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  <w:rPr>
          <w:snapToGrid/>
        </w:rPr>
      </w:pPr>
      <w:r>
        <w:tab/>
      </w:r>
      <w:r>
        <w:rPr>
          <w:rStyle w:val="CharDefText"/>
        </w:rPr>
        <w:t>Queensland Criminal Code</w:t>
      </w:r>
      <w:r>
        <w:t xml:space="preserve"> </w:t>
      </w:r>
      <w:r>
        <w:rPr>
          <w:snapToGrid/>
        </w:rPr>
        <w:t xml:space="preserve">means the Criminal Code set out in Schedule 1 to the </w:t>
      </w:r>
      <w:r>
        <w:rPr>
          <w:i/>
        </w:rPr>
        <w:t>Criminal Code Act 1899</w:t>
      </w:r>
      <w:r>
        <w:t xml:space="preserve"> (Queensland)</w:t>
      </w:r>
      <w:r>
        <w:rPr>
          <w:snapToGrid/>
        </w:rPr>
        <w:t>;</w:t>
      </w:r>
    </w:p>
    <w:p>
      <w:pPr>
        <w:pStyle w:val="Defstart"/>
      </w:pPr>
      <w:r>
        <w:tab/>
      </w:r>
      <w:r>
        <w:rPr>
          <w:rStyle w:val="CharDefText"/>
        </w:rPr>
        <w:t>relevant Queensland provision</w:t>
      </w:r>
      <w:r>
        <w:t xml:space="preserve"> means a provision of the Queensland Criminal Code specified in column 1 of the Table to subregulation (2);</w:t>
      </w:r>
    </w:p>
    <w:p>
      <w:pPr>
        <w:pStyle w:val="Defstart"/>
      </w:pPr>
      <w:r>
        <w:tab/>
      </w:r>
      <w:r>
        <w:rPr>
          <w:rStyle w:val="CharDefText"/>
        </w:rPr>
        <w:t>relevant WA provision</w:t>
      </w:r>
      <w:r>
        <w:t xml:space="preserve"> means a provision of </w:t>
      </w:r>
      <w:r>
        <w:rPr>
          <w:i/>
        </w:rPr>
        <w:t>The Criminal Code</w:t>
      </w:r>
      <w:r>
        <w:t xml:space="preserve"> specified in column 2 of the Table to subregulation (2).</w:t>
      </w:r>
    </w:p>
    <w:p>
      <w:pPr>
        <w:pStyle w:val="Subsection"/>
      </w:pPr>
      <w:r>
        <w:tab/>
        <w:t>(2)</w:t>
      </w:r>
      <w:r>
        <w:tab/>
        <w:t xml:space="preserve">An offence against a provision of the Queensland Criminal Code specified in column 1 of an item in the Table is prescribed to correspond to an offence against a provision of </w:t>
      </w:r>
      <w:r>
        <w:rPr>
          <w:i/>
        </w:rPr>
        <w:t>The Criminal Code</w:t>
      </w:r>
      <w:r>
        <w:t xml:space="preserve"> specified in column 2 of the item.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2835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260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Queensland Criminal Code</w:t>
            </w:r>
          </w:p>
        </w:tc>
        <w:tc>
          <w:tcPr>
            <w:tcW w:w="2835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210(1)(a)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210(1)(b)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320(5)</w:t>
            </w:r>
          </w:p>
          <w:p>
            <w:pPr>
              <w:pStyle w:val="TableNAm"/>
            </w:pPr>
            <w:r>
              <w:t>s. 321(5)</w:t>
            </w:r>
          </w:p>
        </w:tc>
      </w:tr>
      <w:t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210(1)(c)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709" w:type="dxa"/>
            <w:shd w:val="clear" w:color="auto" w:fill="auto"/>
            <w:vAlign w:val="center"/>
          </w:tcPr>
          <w:p>
            <w:pPr>
              <w:pStyle w:val="TableNAm"/>
            </w:pPr>
            <w:r>
              <w:t>4.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pStyle w:val="TableNAm"/>
            </w:pPr>
            <w:r>
              <w:t>s. 210(1)(d)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5.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210(1)(f)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320(6)</w:t>
            </w:r>
          </w:p>
          <w:p>
            <w:pPr>
              <w:pStyle w:val="TableNAm"/>
            </w:pPr>
            <w:r>
              <w:t>s. 321(6)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6.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211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181</w:t>
            </w:r>
          </w:p>
        </w:tc>
      </w:tr>
      <w:tr>
        <w:tc>
          <w:tcPr>
            <w:tcW w:w="6804" w:type="dxa"/>
            <w:gridSpan w:val="3"/>
            <w:vAlign w:val="center"/>
          </w:tcPr>
          <w:p>
            <w:pPr>
              <w:pStyle w:val="Ednoteitem"/>
            </w:pPr>
            <w:r>
              <w:t>[7. deleted]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8.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216(2)(a)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330(4)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9.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216(2)(b)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330(5)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10.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216(2)(c)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330(4)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11.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216(2)(d)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330(4)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12.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216(2)(f)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330(6)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  <w:keepNext/>
            </w:pPr>
            <w:r>
              <w:t>13.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  <w:keepNext/>
            </w:pPr>
            <w:r>
              <w:t>s. 217(1)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  <w:keepNext/>
            </w:pPr>
            <w:r>
              <w:t>s. 320(3)</w:t>
            </w:r>
          </w:p>
          <w:p>
            <w:pPr>
              <w:pStyle w:val="TableNAm"/>
              <w:keepNext/>
            </w:pPr>
            <w:r>
              <w:t>s. 321(3)</w:t>
            </w:r>
          </w:p>
          <w:p>
            <w:pPr>
              <w:pStyle w:val="TableNAm"/>
              <w:keepNext/>
            </w:pPr>
            <w:r>
              <w:t>s. 322(3)</w:t>
            </w:r>
          </w:p>
          <w:p>
            <w:pPr>
              <w:pStyle w:val="TableNAm"/>
              <w:keepNext/>
            </w:pPr>
            <w:r>
              <w:t>s. 330(3)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14.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218(1)(a)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</w:pPr>
            <w:r>
              <w:t>15.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218(1)(b)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16.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222(1)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329(2)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17.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229B(1)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321A(2)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18.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349(1)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19.</w:t>
            </w:r>
          </w:p>
        </w:tc>
        <w:tc>
          <w:tcPr>
            <w:tcW w:w="3260" w:type="dxa"/>
            <w:vAlign w:val="center"/>
          </w:tcPr>
          <w:p>
            <w:pPr>
              <w:pStyle w:val="TableNAm"/>
            </w:pPr>
            <w:r>
              <w:t>s. 352</w:t>
            </w:r>
          </w:p>
        </w:tc>
        <w:tc>
          <w:tcPr>
            <w:tcW w:w="2835" w:type="dxa"/>
            <w:vAlign w:val="center"/>
          </w:tcPr>
          <w:p>
            <w:pPr>
              <w:pStyle w:val="TableNAm"/>
            </w:pPr>
            <w:r>
              <w:t>s. 324(1)</w:t>
            </w:r>
          </w:p>
        </w:tc>
      </w:tr>
    </w:tbl>
    <w:p>
      <w:pPr>
        <w:pStyle w:val="Subsection"/>
      </w:pPr>
      <w:r>
        <w:tab/>
        <w:t>(2A)</w:t>
      </w:r>
      <w:r>
        <w:tab/>
        <w:t xml:space="preserve">An offence against the Queensland Criminal Code </w:t>
      </w:r>
      <w:r>
        <w:rPr>
          <w:bCs/>
        </w:rPr>
        <w:t xml:space="preserve">section 213(1), committed in circumstances where </w:t>
      </w:r>
      <w:r>
        <w:t xml:space="preserve">the victim was under 13 years of age, is prescribed to correspond to an offence against </w:t>
      </w:r>
      <w:r>
        <w:rPr>
          <w:i/>
        </w:rPr>
        <w:t>The Criminal Code</w:t>
      </w:r>
      <w:r>
        <w:t xml:space="preserve"> section 186(1)(b).</w:t>
      </w:r>
    </w:p>
    <w:p>
      <w:pPr>
        <w:pStyle w:val="Subsection"/>
      </w:pPr>
      <w:r>
        <w:tab/>
        <w:t>(3)</w:t>
      </w:r>
      <w:r>
        <w:tab/>
        <w:t xml:space="preserve">An offence against the Queensland Criminal Code </w:t>
      </w:r>
      <w:r>
        <w:rPr>
          <w:bCs/>
        </w:rPr>
        <w:t xml:space="preserve">section 215(1) — </w:t>
      </w:r>
    </w:p>
    <w:p>
      <w:pPr>
        <w:pStyle w:val="Indenta"/>
      </w:pPr>
      <w:r>
        <w:tab/>
        <w:t>(a)</w:t>
      </w:r>
      <w:r>
        <w:tab/>
        <w:t xml:space="preserve">committed in circumstances where the offender had unlawful carnal knowledge with or of the victim, is prescribed to correspond to an offence against </w:t>
      </w:r>
      <w:r>
        <w:rPr>
          <w:i/>
        </w:rPr>
        <w:t>The Criminal Code</w:t>
      </w:r>
      <w:r>
        <w:t xml:space="preserve"> section 320(2) and 321(2); and</w:t>
      </w:r>
    </w:p>
    <w:p>
      <w:pPr>
        <w:pStyle w:val="Indenta"/>
        <w:keepNext/>
      </w:pPr>
      <w:r>
        <w:tab/>
        <w:t>(b)</w:t>
      </w:r>
      <w:r>
        <w:tab/>
        <w:t xml:space="preserve">committed in circumstances where the offender attempted to have unlawful carnal knowledge with or of the victim, is prescribed to correspond to an offence against </w:t>
      </w:r>
      <w:r>
        <w:rPr>
          <w:i/>
        </w:rPr>
        <w:t>The Criminal Code</w:t>
      </w:r>
      <w:r>
        <w:t xml:space="preserve"> section 552(1) committed in respect of</w:t>
      </w:r>
      <w:r>
        <w:rPr>
          <w:i/>
        </w:rPr>
        <w:t xml:space="preserve"> The Criminal Code</w:t>
      </w:r>
      <w:r>
        <w:t xml:space="preserve"> section 320(2) and 321(2).</w:t>
      </w:r>
    </w:p>
    <w:p>
      <w:pPr>
        <w:pStyle w:val="Subsection"/>
        <w:keepNext/>
      </w:pPr>
      <w:r>
        <w:tab/>
        <w:t>(4)</w:t>
      </w:r>
      <w:r>
        <w:tab/>
        <w:t xml:space="preserve">An offence against the Queensland Criminal Code </w:t>
      </w:r>
      <w:r>
        <w:rPr>
          <w:bCs/>
        </w:rPr>
        <w:t xml:space="preserve">section 216(1) — </w:t>
      </w:r>
    </w:p>
    <w:p>
      <w:pPr>
        <w:pStyle w:val="Indenta"/>
        <w:keepNext/>
      </w:pPr>
      <w:r>
        <w:tab/>
        <w:t>(a)</w:t>
      </w:r>
      <w:r>
        <w:tab/>
        <w:t xml:space="preserve">committed in circumstances where the offender had unlawful carnal knowledge with or of the victim, is prescribed to correspond to an offence against </w:t>
      </w:r>
      <w:r>
        <w:rPr>
          <w:i/>
        </w:rPr>
        <w:t>The Criminal Code</w:t>
      </w:r>
      <w:r>
        <w:t xml:space="preserve"> section 330(2); and</w:t>
      </w:r>
    </w:p>
    <w:p>
      <w:pPr>
        <w:pStyle w:val="Indenta"/>
      </w:pPr>
      <w:r>
        <w:tab/>
        <w:t>(b)</w:t>
      </w:r>
      <w:r>
        <w:tab/>
        <w:t xml:space="preserve">committed in circumstances where the offender attempted to have unlawful carnal knowledge with or of the victim, is prescribed to correspond to an offence against </w:t>
      </w:r>
      <w:r>
        <w:rPr>
          <w:i/>
        </w:rPr>
        <w:t>The Criminal Code</w:t>
      </w:r>
      <w:r>
        <w:t xml:space="preserve"> section 552(1) committed in respect of </w:t>
      </w:r>
      <w:r>
        <w:rPr>
          <w:i/>
        </w:rPr>
        <w:t>The Criminal Code</w:t>
      </w:r>
      <w:r>
        <w:t xml:space="preserve"> section 330(2).</w:t>
      </w:r>
    </w:p>
    <w:p>
      <w:pPr>
        <w:pStyle w:val="Subsection"/>
      </w:pPr>
      <w:r>
        <w:tab/>
        <w:t>(5)</w:t>
      </w:r>
      <w:r>
        <w:tab/>
        <w:t xml:space="preserve">An offence against a provision of the Queensland Criminal Code specified in column 1 of an item in the Table is prescribed to correspond to an offence against a provision of </w:t>
      </w:r>
      <w:r>
        <w:rPr>
          <w:i/>
        </w:rPr>
        <w:t>The Criminal Code</w:t>
      </w:r>
      <w:r>
        <w:t xml:space="preserve"> specified in column 2 of the item committed in respect of a provision of that Code specified in column 3 of the item.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2126"/>
        <w:gridCol w:w="1843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keepNext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126" w:type="dxa"/>
          </w:tcPr>
          <w:p>
            <w:pPr>
              <w:pStyle w:val="TableNAm"/>
              <w:keepNext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TableNAm"/>
              <w:keepNext/>
              <w:jc w:val="center"/>
              <w:rPr>
                <w:b/>
              </w:rPr>
            </w:pPr>
            <w:r>
              <w:rPr>
                <w:b/>
              </w:rPr>
              <w:t>Queensland Criminal Code</w:t>
            </w:r>
          </w:p>
        </w:tc>
        <w:tc>
          <w:tcPr>
            <w:tcW w:w="2126" w:type="dxa"/>
          </w:tcPr>
          <w:p>
            <w:pPr>
              <w:pStyle w:val="TableNAm"/>
              <w:keepNext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TableNAm"/>
              <w:keepNext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  <w:tc>
          <w:tcPr>
            <w:tcW w:w="1843" w:type="dxa"/>
          </w:tcPr>
          <w:p>
            <w:pPr>
              <w:pStyle w:val="TableNAm"/>
              <w:keepNext/>
              <w:jc w:val="center"/>
              <w:rPr>
                <w:b/>
              </w:rPr>
            </w:pPr>
            <w:r>
              <w:rPr>
                <w:b/>
              </w:rPr>
              <w:t>Column 3</w:t>
            </w:r>
          </w:p>
          <w:p>
            <w:pPr>
              <w:pStyle w:val="TableNAm"/>
              <w:keepNext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219(1)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552(1)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320(2)</w:t>
            </w:r>
          </w:p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320(5)</w:t>
            </w:r>
          </w:p>
          <w:p>
            <w:pPr>
              <w:pStyle w:val="TableNAm"/>
            </w:pPr>
            <w:r>
              <w:t>s. 320(6)</w:t>
            </w:r>
          </w:p>
          <w:p>
            <w:pPr>
              <w:pStyle w:val="TableNAm"/>
            </w:pPr>
            <w:r>
              <w:t>s. 321(2)</w:t>
            </w:r>
          </w:p>
          <w:p>
            <w:pPr>
              <w:pStyle w:val="TableNAm"/>
            </w:pPr>
            <w:r>
              <w:t>s. 321(4)</w:t>
            </w:r>
          </w:p>
          <w:p>
            <w:pPr>
              <w:pStyle w:val="TableNAm"/>
            </w:pPr>
            <w:r>
              <w:t>s. 321(5)</w:t>
            </w:r>
          </w:p>
          <w:p>
            <w:pPr>
              <w:pStyle w:val="TableNAm"/>
            </w:pPr>
            <w:r>
              <w:t>s. 321(6)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221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558(1)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222(2)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552(1)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 xml:space="preserve">s. 329(2) 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350(1)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552(1)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 xml:space="preserve">s. 325(1) </w:t>
            </w:r>
          </w:p>
        </w:tc>
      </w:tr>
    </w:tbl>
    <w:p>
      <w:pPr>
        <w:pStyle w:val="Subsection"/>
      </w:pPr>
      <w:r>
        <w:tab/>
        <w:t>(6)</w:t>
      </w:r>
      <w:r>
        <w:tab/>
        <w:t xml:space="preserve">An offence against a provision of the Queensland Criminal Code specified in column 1 of an item in the Table, committed in respect of a relevant Queensland provision, is prescribed to correspond to an offence against a provision of </w:t>
      </w:r>
      <w:r>
        <w:rPr>
          <w:i/>
        </w:rPr>
        <w:t>The Criminal Code</w:t>
      </w:r>
      <w:r>
        <w:t xml:space="preserve"> specified in column 2 of the item committed in respect of a relevant WA provision.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18"/>
        <w:gridCol w:w="2977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118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Queensland Criminal Code</w:t>
            </w:r>
          </w:p>
        </w:tc>
        <w:tc>
          <w:tcPr>
            <w:tcW w:w="2977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3118" w:type="dxa"/>
            <w:vAlign w:val="center"/>
          </w:tcPr>
          <w:p>
            <w:pPr>
              <w:pStyle w:val="TableNAm"/>
            </w:pPr>
            <w:r>
              <w:t>s. 535(1)</w:t>
            </w:r>
          </w:p>
        </w:tc>
        <w:tc>
          <w:tcPr>
            <w:tcW w:w="2977" w:type="dxa"/>
            <w:vAlign w:val="center"/>
          </w:tcPr>
          <w:p>
            <w:pPr>
              <w:pStyle w:val="TableNAm"/>
            </w:pPr>
            <w:r>
              <w:t>s. 552(1)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541(1)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558(1)</w:t>
            </w:r>
          </w:p>
        </w:tc>
      </w:tr>
    </w:tbl>
    <w:p>
      <w:pPr>
        <w:pStyle w:val="Footnotesection"/>
      </w:pPr>
      <w:r>
        <w:tab/>
        <w:t>[Regulation 9 inserted: Gazette 15 Feb 2019 p. 293</w:t>
      </w:r>
      <w:r>
        <w:noBreakHyphen/>
        <w:t>6; amended: Gazette 5 Nov 2019 p. 3900.]</w:t>
      </w:r>
    </w:p>
    <w:p>
      <w:pPr>
        <w:pStyle w:val="Heading4"/>
      </w:pPr>
      <w:bookmarkStart w:id="23" w:name="_Toc49333294"/>
      <w:r>
        <w:t>Subdivision 7 — South Australia</w:t>
      </w:r>
      <w:bookmarkEnd w:id="23"/>
    </w:p>
    <w:p>
      <w:pPr>
        <w:pStyle w:val="Footnoteheading"/>
        <w:keepNext/>
      </w:pPr>
      <w:r>
        <w:tab/>
        <w:t>[Heading inserted: Gazette 15 Feb 2019 p. 296.]</w:t>
      </w:r>
    </w:p>
    <w:p>
      <w:pPr>
        <w:pStyle w:val="Heading5"/>
      </w:pPr>
      <w:bookmarkStart w:id="24" w:name="_Toc49333295"/>
      <w:r>
        <w:rPr>
          <w:rStyle w:val="CharSectno"/>
        </w:rPr>
        <w:t>10</w:t>
      </w:r>
      <w:r>
        <w:t>.</w:t>
      </w:r>
      <w:r>
        <w:tab/>
        <w:t>South Australia</w:t>
      </w:r>
      <w:bookmarkEnd w:id="24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relevant SA provision</w:t>
      </w:r>
      <w:r>
        <w:t xml:space="preserve"> means a provision of the </w:t>
      </w:r>
      <w:r>
        <w:rPr>
          <w:i/>
        </w:rPr>
        <w:t xml:space="preserve">Criminal Law Consolidation Act 1935 </w:t>
      </w:r>
      <w:r>
        <w:t>(South Australia) specified in column 1 of the Table to subregulation (2);</w:t>
      </w:r>
    </w:p>
    <w:p>
      <w:pPr>
        <w:pStyle w:val="Defstart"/>
      </w:pPr>
      <w:r>
        <w:tab/>
      </w:r>
      <w:r>
        <w:rPr>
          <w:rStyle w:val="CharDefText"/>
        </w:rPr>
        <w:t>relevant WA provision</w:t>
      </w:r>
      <w:r>
        <w:t xml:space="preserve"> means a provision of </w:t>
      </w:r>
      <w:r>
        <w:rPr>
          <w:i/>
        </w:rPr>
        <w:t>The Criminal Code</w:t>
      </w:r>
      <w:r>
        <w:t xml:space="preserve"> specified in column 2 of the Table to subregulation (2).</w:t>
      </w:r>
    </w:p>
    <w:p>
      <w:pPr>
        <w:pStyle w:val="Subsection"/>
      </w:pPr>
      <w:r>
        <w:tab/>
        <w:t>(2)</w:t>
      </w:r>
      <w:r>
        <w:tab/>
        <w:t xml:space="preserve">An offence against a provision of the </w:t>
      </w:r>
      <w:r>
        <w:rPr>
          <w:i/>
        </w:rPr>
        <w:t xml:space="preserve">Criminal Law Consolidation Act 1935 </w:t>
      </w:r>
      <w:r>
        <w:t xml:space="preserve">(South Australia) specified in column 1 of an item in the Table is prescribed to correspond to an offence against a provision of </w:t>
      </w:r>
      <w:r>
        <w:rPr>
          <w:i/>
        </w:rPr>
        <w:t>The Criminal Code</w:t>
      </w:r>
      <w:r>
        <w:t xml:space="preserve"> specified in column 2 of the item.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2693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02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  <w:i/>
              </w:rPr>
              <w:t>Criminal Law Consolidation Act 1935</w:t>
            </w:r>
            <w:r>
              <w:rPr>
                <w:b/>
              </w:rPr>
              <w:t xml:space="preserve"> (SA)</w:t>
            </w:r>
          </w:p>
        </w:tc>
        <w:tc>
          <w:tcPr>
            <w:tcW w:w="2693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48(1)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48(2)(a)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48(2)(b)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4.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48(2)(c)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5.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48A(1)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6.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49(1)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320(2)</w:t>
            </w:r>
          </w:p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7.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49(3)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8.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49(5)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322(2)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9.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49(6)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330(2)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10.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50(1)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321A(4)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  <w:keepNext/>
            </w:pPr>
            <w:r>
              <w:t>11.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  <w:keepNext/>
            </w:pPr>
            <w:r>
              <w:t>s. 51(1)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  <w:keepNext/>
            </w:pPr>
            <w:r>
              <w:t>s. 330(2)</w:t>
            </w:r>
          </w:p>
          <w:p>
            <w:pPr>
              <w:pStyle w:val="TableNAm"/>
              <w:keepNext/>
            </w:pPr>
            <w:r>
              <w:t>s. 330(3)</w:t>
            </w:r>
          </w:p>
          <w:p>
            <w:pPr>
              <w:pStyle w:val="TableNAm"/>
              <w:keepNext/>
            </w:pPr>
            <w:r>
              <w:t>s. 330(4)</w:t>
            </w:r>
          </w:p>
          <w:p>
            <w:pPr>
              <w:pStyle w:val="TableNAm"/>
              <w:keepNext/>
            </w:pPr>
            <w:r>
              <w:t>s. 330(5)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12.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60(a)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6804" w:type="dxa"/>
            <w:gridSpan w:val="3"/>
            <w:vAlign w:val="center"/>
          </w:tcPr>
          <w:p>
            <w:pPr>
              <w:pStyle w:val="Ednoteitem"/>
            </w:pPr>
            <w:r>
              <w:t>[13, 14. deleted]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15.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66(1)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331B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16.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69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181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17.</w:t>
            </w:r>
          </w:p>
        </w:tc>
        <w:tc>
          <w:tcPr>
            <w:tcW w:w="3402" w:type="dxa"/>
            <w:vAlign w:val="center"/>
          </w:tcPr>
          <w:p>
            <w:pPr>
              <w:pStyle w:val="TableNAm"/>
            </w:pPr>
            <w:r>
              <w:t>s. 72(1)</w:t>
            </w:r>
          </w:p>
        </w:tc>
        <w:tc>
          <w:tcPr>
            <w:tcW w:w="2693" w:type="dxa"/>
            <w:vAlign w:val="center"/>
          </w:tcPr>
          <w:p>
            <w:pPr>
              <w:pStyle w:val="TableNAm"/>
            </w:pPr>
            <w:r>
              <w:t>s. 329(2)</w:t>
            </w:r>
          </w:p>
        </w:tc>
      </w:tr>
    </w:tbl>
    <w:p>
      <w:pPr>
        <w:pStyle w:val="Subsection"/>
      </w:pPr>
      <w:r>
        <w:tab/>
        <w:t>(2A)</w:t>
      </w:r>
      <w:r>
        <w:tab/>
        <w:t xml:space="preserve">An offence against the </w:t>
      </w:r>
      <w:r>
        <w:rPr>
          <w:i/>
        </w:rPr>
        <w:t xml:space="preserve">Criminal Law Consolidation Act 1935 </w:t>
      </w:r>
      <w:r>
        <w:t>(South Australia) section 61</w:t>
      </w:r>
      <w:r>
        <w:rPr>
          <w:bCs/>
        </w:rPr>
        <w:t xml:space="preserve">, committed in circumstances where </w:t>
      </w:r>
      <w:r>
        <w:t xml:space="preserve">the victim was under 13 years of age, is prescribed to correspond to an offence against </w:t>
      </w:r>
      <w:r>
        <w:rPr>
          <w:i/>
        </w:rPr>
        <w:t>The Criminal Code</w:t>
      </w:r>
      <w:r>
        <w:t xml:space="preserve"> section 186(1)(b).</w:t>
      </w:r>
    </w:p>
    <w:p>
      <w:pPr>
        <w:pStyle w:val="Subsection"/>
        <w:keepNext/>
      </w:pPr>
      <w:r>
        <w:tab/>
        <w:t>(2B)</w:t>
      </w:r>
      <w:r>
        <w:tab/>
        <w:t xml:space="preserve">An offence against the </w:t>
      </w:r>
      <w:r>
        <w:rPr>
          <w:i/>
        </w:rPr>
        <w:t xml:space="preserve">Criminal Law Consolidation Act 1935 </w:t>
      </w:r>
      <w:r>
        <w:t>(South Australia) section 63B(1)(a) —</w:t>
      </w:r>
    </w:p>
    <w:p>
      <w:pPr>
        <w:pStyle w:val="Indenta"/>
      </w:pPr>
      <w:r>
        <w:tab/>
        <w:t>(a)</w:t>
      </w:r>
      <w:r>
        <w:tab/>
      </w:r>
      <w:r>
        <w:rPr>
          <w:bCs/>
        </w:rPr>
        <w:t xml:space="preserve">committed in circumstances where </w:t>
      </w:r>
      <w:r>
        <w:t xml:space="preserve">the victim was under 13 years of age, is prescribed to correspond to an offence against </w:t>
      </w:r>
      <w:r>
        <w:rPr>
          <w:i/>
        </w:rPr>
        <w:t>The Criminal Code</w:t>
      </w:r>
      <w:r>
        <w:t xml:space="preserve"> section 320(5); and</w:t>
      </w:r>
    </w:p>
    <w:p>
      <w:pPr>
        <w:pStyle w:val="Indenta"/>
      </w:pPr>
      <w:r>
        <w:tab/>
        <w:t>(b)</w:t>
      </w:r>
      <w:r>
        <w:tab/>
      </w:r>
      <w:r>
        <w:rPr>
          <w:bCs/>
        </w:rPr>
        <w:t xml:space="preserve">committed in circumstances where </w:t>
      </w:r>
      <w:r>
        <w:t xml:space="preserve">the victim was of or over the age of 13 years and under the age of 16 years, is prescribed to correspond to an offence against </w:t>
      </w:r>
      <w:r>
        <w:rPr>
          <w:i/>
        </w:rPr>
        <w:t>The Criminal Code</w:t>
      </w:r>
      <w:r>
        <w:t xml:space="preserve"> section 321(5).</w:t>
      </w:r>
    </w:p>
    <w:p>
      <w:pPr>
        <w:pStyle w:val="Subsection"/>
      </w:pPr>
      <w:r>
        <w:tab/>
        <w:t>(3)</w:t>
      </w:r>
      <w:r>
        <w:tab/>
        <w:t xml:space="preserve">An offence against the </w:t>
      </w:r>
      <w:r>
        <w:rPr>
          <w:i/>
        </w:rPr>
        <w:t xml:space="preserve">Criminal Law Consolidation Act 1935 </w:t>
      </w:r>
      <w:r>
        <w:t xml:space="preserve">(South Australia) section 270A(1), committed in respect of a relevant SA provision, is prescribed to correspond to an offence against </w:t>
      </w:r>
      <w:r>
        <w:rPr>
          <w:i/>
        </w:rPr>
        <w:t>The Criminal Code</w:t>
      </w:r>
      <w:r>
        <w:t xml:space="preserve"> section 552(1) committed in respect of a relevant WA provision.</w:t>
      </w:r>
    </w:p>
    <w:p>
      <w:pPr>
        <w:pStyle w:val="Footnotesection"/>
      </w:pPr>
      <w:r>
        <w:tab/>
        <w:t>[Regulation 10 inserted: Gazette 15 Feb 2019 p. 296</w:t>
      </w:r>
      <w:r>
        <w:noBreakHyphen/>
        <w:t>7; amended: Gazette 5 Nov 2019 p. 3900.]</w:t>
      </w:r>
    </w:p>
    <w:p>
      <w:pPr>
        <w:pStyle w:val="Heading4"/>
      </w:pPr>
      <w:bookmarkStart w:id="25" w:name="_Toc49333296"/>
      <w:r>
        <w:t>Subdivision 8 — Tasmania</w:t>
      </w:r>
      <w:bookmarkEnd w:id="25"/>
    </w:p>
    <w:p>
      <w:pPr>
        <w:pStyle w:val="Footnoteheading"/>
        <w:keepNext/>
      </w:pPr>
      <w:r>
        <w:tab/>
        <w:t>[Heading inserted: Gazette 15 Feb 2019 p. 297.]</w:t>
      </w:r>
    </w:p>
    <w:p>
      <w:pPr>
        <w:pStyle w:val="Heading5"/>
      </w:pPr>
      <w:bookmarkStart w:id="26" w:name="_Toc49333297"/>
      <w:r>
        <w:rPr>
          <w:rStyle w:val="CharSectno"/>
        </w:rPr>
        <w:t>11</w:t>
      </w:r>
      <w:r>
        <w:t>.</w:t>
      </w:r>
      <w:r>
        <w:tab/>
        <w:t>Tasmania</w:t>
      </w:r>
      <w:bookmarkEnd w:id="26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  <w:keepNext/>
        <w:rPr>
          <w:snapToGrid/>
        </w:rPr>
      </w:pPr>
      <w:r>
        <w:tab/>
      </w:r>
      <w:r>
        <w:rPr>
          <w:rStyle w:val="CharDefText"/>
        </w:rPr>
        <w:t>Tasmanian Criminal Code</w:t>
      </w:r>
      <w:r>
        <w:t xml:space="preserve"> </w:t>
      </w:r>
      <w:r>
        <w:rPr>
          <w:snapToGrid/>
        </w:rPr>
        <w:t xml:space="preserve">means the Code set out in Schedule 1 to the </w:t>
      </w:r>
      <w:r>
        <w:rPr>
          <w:i/>
        </w:rPr>
        <w:t>Criminal Code Act 1924</w:t>
      </w:r>
      <w:r>
        <w:t xml:space="preserve"> (Tasmania)</w:t>
      </w:r>
      <w:r>
        <w:rPr>
          <w:snapToGrid/>
        </w:rPr>
        <w:t>;</w:t>
      </w:r>
    </w:p>
    <w:p>
      <w:pPr>
        <w:pStyle w:val="Defstart"/>
      </w:pPr>
      <w:r>
        <w:tab/>
      </w:r>
      <w:r>
        <w:rPr>
          <w:rStyle w:val="CharDefText"/>
        </w:rPr>
        <w:t>relevant Tasmanian provision</w:t>
      </w:r>
      <w:r>
        <w:t xml:space="preserve"> means a provision of the Tasmanian Criminal Code specified in column 1 of the Table to subregulation (2);</w:t>
      </w:r>
    </w:p>
    <w:p>
      <w:pPr>
        <w:pStyle w:val="Defstart"/>
      </w:pPr>
      <w:r>
        <w:tab/>
      </w:r>
      <w:r>
        <w:rPr>
          <w:rStyle w:val="CharDefText"/>
        </w:rPr>
        <w:t>relevant WA provision</w:t>
      </w:r>
      <w:r>
        <w:t xml:space="preserve"> means a provision of </w:t>
      </w:r>
      <w:r>
        <w:rPr>
          <w:i/>
        </w:rPr>
        <w:t>The Criminal Code</w:t>
      </w:r>
      <w:r>
        <w:t xml:space="preserve"> specified in column 2 of the Table to subregulation (2).</w:t>
      </w:r>
    </w:p>
    <w:p>
      <w:pPr>
        <w:pStyle w:val="Subsection"/>
      </w:pPr>
      <w:r>
        <w:tab/>
        <w:t>(2)</w:t>
      </w:r>
      <w:r>
        <w:tab/>
        <w:t xml:space="preserve">An offence against a provision of the Tasmanian Criminal Code specified in column 1 of an item in the Table is prescribed to correspond to an offence against a provision of </w:t>
      </w:r>
      <w:r>
        <w:rPr>
          <w:i/>
        </w:rPr>
        <w:t>The Criminal Code</w:t>
      </w:r>
      <w:r>
        <w:t xml:space="preserve"> specified in column 2 of the item.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410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Tasmanian Criminal Code</w:t>
            </w:r>
          </w:p>
        </w:tc>
        <w:tc>
          <w:tcPr>
            <w:tcW w:w="2410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122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181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124(1)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320(2)</w:t>
            </w:r>
          </w:p>
          <w:p>
            <w:pPr>
              <w:pStyle w:val="TableNAm"/>
            </w:pPr>
            <w:r>
              <w:t>s. 321(2)</w:t>
            </w:r>
          </w:p>
          <w:p>
            <w:pPr>
              <w:pStyle w:val="TableNAm"/>
            </w:pPr>
            <w:r>
              <w:t>s. 322(2)</w:t>
            </w:r>
          </w:p>
        </w:tc>
      </w:tr>
      <w:tr>
        <w:tc>
          <w:tcPr>
            <w:tcW w:w="6804" w:type="dxa"/>
            <w:gridSpan w:val="3"/>
            <w:vAlign w:val="center"/>
          </w:tcPr>
          <w:p>
            <w:pPr>
              <w:pStyle w:val="Ednoteitem"/>
            </w:pPr>
            <w:r>
              <w:t>[3</w:t>
            </w:r>
            <w:r>
              <w:noBreakHyphen/>
              <w:t>5. deleted]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6.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126(1)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330(2)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129(a)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8.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129(b)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9.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133(1)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329(2)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TableNAm"/>
            </w:pPr>
            <w:r>
              <w:t>10.</w:t>
            </w:r>
          </w:p>
        </w:tc>
        <w:tc>
          <w:tcPr>
            <w:tcW w:w="3685" w:type="dxa"/>
            <w:vAlign w:val="center"/>
          </w:tcPr>
          <w:p>
            <w:pPr>
              <w:pStyle w:val="TableNAm"/>
            </w:pPr>
            <w:r>
              <w:t>s. 185(1)</w:t>
            </w:r>
          </w:p>
        </w:tc>
        <w:tc>
          <w:tcPr>
            <w:tcW w:w="2410" w:type="dxa"/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</w:tbl>
    <w:p>
      <w:pPr>
        <w:pStyle w:val="Subsection"/>
      </w:pPr>
      <w:r>
        <w:tab/>
        <w:t>(2A)</w:t>
      </w:r>
      <w:r>
        <w:tab/>
        <w:t>An offence against the Tasmanian Criminal Code section 125</w:t>
      </w:r>
      <w:r>
        <w:rPr>
          <w:bCs/>
        </w:rPr>
        <w:t xml:space="preserve">, committed in circumstances where </w:t>
      </w:r>
      <w:r>
        <w:t xml:space="preserve">the victim was under 13 years of age, is prescribed to correspond to an offence against </w:t>
      </w:r>
      <w:r>
        <w:rPr>
          <w:i/>
        </w:rPr>
        <w:t>The Criminal Code</w:t>
      </w:r>
      <w:r>
        <w:t xml:space="preserve"> section 186(1)(b).</w:t>
      </w:r>
    </w:p>
    <w:p>
      <w:pPr>
        <w:pStyle w:val="Subsection"/>
      </w:pPr>
      <w:r>
        <w:tab/>
        <w:t>(2B)</w:t>
      </w:r>
      <w:r>
        <w:tab/>
        <w:t>An offence against the Tasmanian Criminal Code section 125A(2)</w:t>
      </w:r>
      <w:r>
        <w:rPr>
          <w:bCs/>
        </w:rPr>
        <w:t xml:space="preserve">, committed in circumstances where </w:t>
      </w:r>
      <w:r>
        <w:t xml:space="preserve">the victim was under 16 years of age, is prescribed to correspond to an offence against </w:t>
      </w:r>
      <w:r>
        <w:rPr>
          <w:i/>
        </w:rPr>
        <w:t>The Criminal Code</w:t>
      </w:r>
      <w:r>
        <w:t xml:space="preserve"> section 321A(4).</w:t>
      </w:r>
    </w:p>
    <w:p>
      <w:pPr>
        <w:pStyle w:val="Subsection"/>
        <w:keepNext/>
      </w:pPr>
      <w:r>
        <w:tab/>
        <w:t>(2C)</w:t>
      </w:r>
      <w:r>
        <w:tab/>
        <w:t>An offence against the Tasmanian Criminal Code section 125B(1) —</w:t>
      </w:r>
    </w:p>
    <w:p>
      <w:pPr>
        <w:pStyle w:val="Indenta"/>
      </w:pPr>
      <w:r>
        <w:tab/>
        <w:t>(a)</w:t>
      </w:r>
      <w:r>
        <w:tab/>
      </w:r>
      <w:r>
        <w:rPr>
          <w:bCs/>
        </w:rPr>
        <w:t xml:space="preserve">committed in circumstances where </w:t>
      </w:r>
      <w:r>
        <w:t xml:space="preserve">the victim was under 13 years of age, is prescribed to correspond to an offence against </w:t>
      </w:r>
      <w:r>
        <w:rPr>
          <w:i/>
        </w:rPr>
        <w:t>The Criminal Code</w:t>
      </w:r>
      <w:r>
        <w:t xml:space="preserve"> section 320(4)</w:t>
      </w:r>
      <w:r>
        <w:rPr>
          <w:bCs/>
        </w:rPr>
        <w:t>; and</w:t>
      </w:r>
    </w:p>
    <w:p>
      <w:pPr>
        <w:pStyle w:val="Indenta"/>
      </w:pPr>
      <w:r>
        <w:tab/>
        <w:t>(b)</w:t>
      </w:r>
      <w:r>
        <w:tab/>
        <w:t xml:space="preserve">committed in circumstances where the victim was of or over the age of 13 years and under the age of 16 years, is prescribed to correspond to an offence against </w:t>
      </w:r>
      <w:r>
        <w:rPr>
          <w:i/>
        </w:rPr>
        <w:t>The Criminal Code</w:t>
      </w:r>
      <w:r>
        <w:t xml:space="preserve"> section 321(4).</w:t>
      </w:r>
    </w:p>
    <w:p>
      <w:pPr>
        <w:pStyle w:val="Subsection"/>
      </w:pPr>
      <w:r>
        <w:tab/>
        <w:t>(3)</w:t>
      </w:r>
      <w:r>
        <w:tab/>
        <w:t xml:space="preserve">An offence against a provision of the Tasmanian Criminal Code specified in column 1 of an item in the Table, committed in respect of a relevant Tasmanian provision, is prescribed to correspond to an offence against a provision of </w:t>
      </w:r>
      <w:r>
        <w:rPr>
          <w:i/>
        </w:rPr>
        <w:t>The Criminal Code</w:t>
      </w:r>
      <w:r>
        <w:t xml:space="preserve"> specified in column 2 of the item committed in respect of a relevant WA provision.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18"/>
        <w:gridCol w:w="2977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118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Tasmanian Criminal Code</w:t>
            </w:r>
          </w:p>
        </w:tc>
        <w:tc>
          <w:tcPr>
            <w:tcW w:w="2977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TableNAm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The Criminal Code</w:t>
            </w:r>
          </w:p>
        </w:tc>
      </w:tr>
      <w:tr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s. 297(1)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s. 558(1)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298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553(1)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299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552(1)</w:t>
            </w:r>
          </w:p>
        </w:tc>
      </w:tr>
    </w:tbl>
    <w:p>
      <w:pPr>
        <w:pStyle w:val="Footnotesection"/>
      </w:pPr>
      <w:r>
        <w:tab/>
        <w:t>[Regulation 11 inserted: Gazette 15 Feb 2019 p. 297</w:t>
      </w:r>
      <w:r>
        <w:noBreakHyphen/>
        <w:t>8; amended: Gazette 5 Nov 2019 p. 3900</w:t>
      </w:r>
      <w:r>
        <w:noBreakHyphen/>
        <w:t>1.]</w:t>
      </w:r>
    </w:p>
    <w:p>
      <w:pPr>
        <w:pStyle w:val="Heading4"/>
      </w:pPr>
      <w:bookmarkStart w:id="27" w:name="_Toc49333298"/>
      <w:r>
        <w:t>Subdivision 9 — Victoria</w:t>
      </w:r>
      <w:bookmarkEnd w:id="27"/>
    </w:p>
    <w:p>
      <w:pPr>
        <w:pStyle w:val="Footnoteheading"/>
        <w:keepNext/>
      </w:pPr>
      <w:r>
        <w:tab/>
        <w:t>[Heading inserted: Gazette 15 Feb 2019 p. 299.]</w:t>
      </w:r>
    </w:p>
    <w:p>
      <w:pPr>
        <w:pStyle w:val="Heading5"/>
      </w:pPr>
      <w:bookmarkStart w:id="28" w:name="_Toc49333299"/>
      <w:r>
        <w:rPr>
          <w:rStyle w:val="CharSectno"/>
        </w:rPr>
        <w:t>12</w:t>
      </w:r>
      <w:r>
        <w:t>.</w:t>
      </w:r>
      <w:r>
        <w:tab/>
        <w:t>Victoria</w:t>
      </w:r>
      <w:bookmarkEnd w:id="28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  <w:keepNext/>
      </w:pPr>
      <w:r>
        <w:tab/>
      </w:r>
      <w:r>
        <w:rPr>
          <w:rStyle w:val="CharDefText"/>
        </w:rPr>
        <w:t>relevant Victorian provision</w:t>
      </w:r>
      <w:r>
        <w:t xml:space="preserve"> means a provision of the </w:t>
      </w:r>
      <w:r>
        <w:rPr>
          <w:i/>
        </w:rPr>
        <w:t>Crimes Act 1958</w:t>
      </w:r>
      <w:r>
        <w:t xml:space="preserve"> (Victoria) specified in column 1 of the Table to subregulation (2);</w:t>
      </w:r>
    </w:p>
    <w:p>
      <w:pPr>
        <w:pStyle w:val="Defstart"/>
      </w:pPr>
      <w:r>
        <w:tab/>
      </w:r>
      <w:r>
        <w:rPr>
          <w:rStyle w:val="CharDefText"/>
        </w:rPr>
        <w:t>relevant WA provision</w:t>
      </w:r>
      <w:r>
        <w:t xml:space="preserve"> means a provision of </w:t>
      </w:r>
      <w:r>
        <w:rPr>
          <w:i/>
        </w:rPr>
        <w:t>The Criminal Code</w:t>
      </w:r>
      <w:r>
        <w:t xml:space="preserve"> specified in column 2 of the Table to subregulation (2).</w:t>
      </w:r>
    </w:p>
    <w:p>
      <w:pPr>
        <w:pStyle w:val="Subsection"/>
      </w:pPr>
      <w:r>
        <w:tab/>
        <w:t>(2)</w:t>
      </w:r>
      <w:r>
        <w:tab/>
        <w:t xml:space="preserve">An offence against a provision of the </w:t>
      </w:r>
      <w:r>
        <w:rPr>
          <w:i/>
        </w:rPr>
        <w:t>Crimes Act 1958</w:t>
      </w:r>
      <w:r>
        <w:t xml:space="preserve"> (Victoria) specified in column 1 of an item in the Table is prescribed to correspond to an offence against a provision of </w:t>
      </w:r>
      <w:r>
        <w:rPr>
          <w:i/>
        </w:rPr>
        <w:t>The Criminal Code</w:t>
      </w:r>
      <w:r>
        <w:t xml:space="preserve"> specified in column 2 of the item.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2835"/>
      </w:tblGrid>
      <w:tr>
        <w:trPr>
          <w:tblHeader/>
        </w:trPr>
        <w:tc>
          <w:tcPr>
            <w:tcW w:w="709" w:type="dxa"/>
            <w:shd w:val="clear" w:color="auto" w:fill="FFFFFF" w:themeFill="background1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260" w:type="dxa"/>
            <w:shd w:val="clear" w:color="auto" w:fill="FFFFFF" w:themeFill="background1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  <w:i/>
              </w:rPr>
              <w:t>Crimes Act 1958</w:t>
            </w:r>
            <w:r>
              <w:rPr>
                <w:b/>
              </w:rPr>
              <w:t xml:space="preserve"> (VIC)</w:t>
            </w:r>
          </w:p>
        </w:tc>
        <w:tc>
          <w:tcPr>
            <w:tcW w:w="2835" w:type="dxa"/>
            <w:shd w:val="clear" w:color="auto" w:fill="FFFFFF" w:themeFill="background1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1.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38(1)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325(1)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39(1)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41(1)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324(1)</w:t>
            </w:r>
          </w:p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4.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44(1)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327(1)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5.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49A(1)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320(2)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6.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49B(1)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321(2)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7.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49C(1)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322(3)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8.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49D(1)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9.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49F(1)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10.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49H(1)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320(4)</w:t>
            </w:r>
          </w:p>
          <w:p>
            <w:pPr>
              <w:pStyle w:val="TableNAm"/>
            </w:pPr>
            <w:r>
              <w:t>s. 321(4)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11.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49J(1)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321A(4)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12.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49K(1)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320(5)</w:t>
            </w:r>
          </w:p>
          <w:p>
            <w:pPr>
              <w:pStyle w:val="TableNAm"/>
            </w:pPr>
            <w:r>
              <w:t>s. 321(5)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13.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49M(1)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320(3)</w:t>
            </w:r>
          </w:p>
          <w:p>
            <w:pPr>
              <w:pStyle w:val="TableNAm"/>
            </w:pPr>
            <w:r>
              <w:t>s. 320(5)</w:t>
            </w:r>
          </w:p>
          <w:p>
            <w:pPr>
              <w:pStyle w:val="TableNAm"/>
            </w:pPr>
            <w:r>
              <w:t>s. 321(3)</w:t>
            </w:r>
          </w:p>
          <w:p>
            <w:pPr>
              <w:pStyle w:val="TableNAm"/>
            </w:pPr>
            <w:r>
              <w:t>s. 321(5)</w:t>
            </w:r>
          </w:p>
        </w:tc>
      </w:tr>
      <w:t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pStyle w:val="Ednoteitem"/>
            </w:pPr>
            <w:r>
              <w:t>[14. deleted]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15.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52B(1)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330(2)</w:t>
            </w:r>
          </w:p>
          <w:p>
            <w:pPr>
              <w:pStyle w:val="TableNAm"/>
            </w:pPr>
            <w:r>
              <w:t>s. 330(3)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16.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53B(1)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331B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17.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53D(1)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331C(2)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  <w:keepNext/>
            </w:pPr>
            <w:r>
              <w:t>18.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  <w:keepNext/>
            </w:pPr>
            <w:r>
              <w:t>s. 53E(1)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  <w:keepNext/>
            </w:pPr>
            <w:r>
              <w:t>s. 331B</w:t>
            </w:r>
          </w:p>
          <w:p>
            <w:pPr>
              <w:pStyle w:val="TableNAm"/>
              <w:keepNext/>
            </w:pPr>
            <w:r>
              <w:t>s. 331C(2)</w:t>
            </w:r>
          </w:p>
        </w:tc>
      </w:tr>
      <w:tr>
        <w:tc>
          <w:tcPr>
            <w:tcW w:w="709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19.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53G(1)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>
            <w:pPr>
              <w:pStyle w:val="TableNAm"/>
            </w:pPr>
            <w:r>
              <w:t>s. 331D(2)</w:t>
            </w:r>
          </w:p>
        </w:tc>
      </w:tr>
    </w:tbl>
    <w:p>
      <w:pPr>
        <w:pStyle w:val="Subsection"/>
      </w:pPr>
      <w:r>
        <w:tab/>
        <w:t>(3)</w:t>
      </w:r>
      <w:r>
        <w:tab/>
        <w:t xml:space="preserve">An offence against the </w:t>
      </w:r>
      <w:r>
        <w:rPr>
          <w:i/>
        </w:rPr>
        <w:t>Crimes Act 1958</w:t>
      </w:r>
      <w:r>
        <w:t xml:space="preserve"> (Victoria) section 40(1)</w:t>
      </w:r>
      <w:r>
        <w:rPr>
          <w:bCs/>
        </w:rPr>
        <w:t xml:space="preserve">, </w:t>
      </w:r>
      <w:r>
        <w:t>committed</w:t>
      </w:r>
      <w:r>
        <w:rPr>
          <w:bCs/>
        </w:rPr>
        <w:t xml:space="preserve"> in circumstances where, if it had been committed within this State, it would constitute an offence against </w:t>
      </w:r>
      <w:r>
        <w:rPr>
          <w:i/>
        </w:rPr>
        <w:t>The Criminal Code</w:t>
      </w:r>
      <w:r>
        <w:t xml:space="preserve"> section 324(1), is prescribed to correspond to an offence against </w:t>
      </w:r>
      <w:r>
        <w:rPr>
          <w:i/>
        </w:rPr>
        <w:t>The Criminal Code</w:t>
      </w:r>
      <w:r>
        <w:t xml:space="preserve"> section 324(1).</w:t>
      </w:r>
    </w:p>
    <w:p>
      <w:pPr>
        <w:pStyle w:val="Subsection"/>
      </w:pPr>
      <w:r>
        <w:tab/>
        <w:t>(4)</w:t>
      </w:r>
      <w:r>
        <w:tab/>
        <w:t xml:space="preserve">An offence against the </w:t>
      </w:r>
      <w:r>
        <w:rPr>
          <w:i/>
        </w:rPr>
        <w:t>Crimes Act 1958</w:t>
      </w:r>
      <w:r>
        <w:t xml:space="preserve"> (Victoria) section 49P(1) is prescribed to correspond to an offence against </w:t>
      </w:r>
      <w:r>
        <w:rPr>
          <w:i/>
        </w:rPr>
        <w:t>The Criminal Code</w:t>
      </w:r>
      <w:r>
        <w:t xml:space="preserve"> section 552(1) committed in respect of a provision of </w:t>
      </w:r>
      <w:r>
        <w:rPr>
          <w:i/>
        </w:rPr>
        <w:t>The Criminal Code</w:t>
      </w:r>
      <w:r>
        <w:t xml:space="preserve"> specified in column 2 of items 1 to 4 of the Table to subregulation (2).</w:t>
      </w:r>
    </w:p>
    <w:p>
      <w:pPr>
        <w:pStyle w:val="Subsection"/>
      </w:pPr>
      <w:r>
        <w:tab/>
        <w:t>(5)</w:t>
      </w:r>
      <w:r>
        <w:tab/>
        <w:t xml:space="preserve">An offence against the </w:t>
      </w:r>
      <w:r>
        <w:rPr>
          <w:i/>
        </w:rPr>
        <w:t>Crimes Act 1958</w:t>
      </w:r>
      <w:r>
        <w:t xml:space="preserve"> (Victoria) section 49Q(1) or 49R(1)</w:t>
      </w:r>
      <w:r>
        <w:rPr>
          <w:bCs/>
        </w:rPr>
        <w:t> —</w:t>
      </w:r>
    </w:p>
    <w:p>
      <w:pPr>
        <w:pStyle w:val="Indenta"/>
      </w:pPr>
      <w:r>
        <w:tab/>
        <w:t>(a)</w:t>
      </w:r>
      <w:r>
        <w:tab/>
      </w:r>
      <w:r>
        <w:rPr>
          <w:bCs/>
        </w:rPr>
        <w:t xml:space="preserve">committed in circumstances where </w:t>
      </w:r>
      <w:r>
        <w:t xml:space="preserve">the victim was under 13 years of age, is prescribed to correspond to an offence against </w:t>
      </w:r>
      <w:r>
        <w:rPr>
          <w:i/>
        </w:rPr>
        <w:t>The Criminal Code</w:t>
      </w:r>
      <w:r>
        <w:t xml:space="preserve"> section 320(5); and</w:t>
      </w:r>
    </w:p>
    <w:p>
      <w:pPr>
        <w:pStyle w:val="Indenta"/>
      </w:pPr>
      <w:r>
        <w:tab/>
        <w:t>(b)</w:t>
      </w:r>
      <w:r>
        <w:tab/>
      </w:r>
      <w:r>
        <w:rPr>
          <w:bCs/>
        </w:rPr>
        <w:t xml:space="preserve">committed in circumstances where </w:t>
      </w:r>
      <w:r>
        <w:t xml:space="preserve">the victim was of or over the age of 13 years and under the age of 16 years, is prescribed to correspond to an offence against </w:t>
      </w:r>
      <w:r>
        <w:rPr>
          <w:i/>
        </w:rPr>
        <w:t>The Criminal Code</w:t>
      </w:r>
      <w:r>
        <w:t xml:space="preserve"> section 321(5).</w:t>
      </w:r>
    </w:p>
    <w:p>
      <w:pPr>
        <w:pStyle w:val="Subsection"/>
        <w:keepNext/>
      </w:pPr>
      <w:r>
        <w:tab/>
        <w:t>(5A)</w:t>
      </w:r>
      <w:r>
        <w:tab/>
        <w:t xml:space="preserve">An offence against the </w:t>
      </w:r>
      <w:r>
        <w:rPr>
          <w:i/>
        </w:rPr>
        <w:t>Crimes Act 1958</w:t>
      </w:r>
      <w:r>
        <w:t xml:space="preserve"> (Victoria) section 49S(1) is prescribed to correspond to an offence against the following —</w:t>
      </w:r>
    </w:p>
    <w:p>
      <w:pPr>
        <w:pStyle w:val="Indenta"/>
      </w:pPr>
      <w:r>
        <w:tab/>
        <w:t>(a)</w:t>
      </w:r>
      <w:r>
        <w:tab/>
      </w:r>
      <w:r>
        <w:rPr>
          <w:i/>
        </w:rPr>
        <w:t>The Criminal Code</w:t>
      </w:r>
      <w:r>
        <w:t xml:space="preserve"> section 324(1) committed in circumstances where </w:t>
      </w:r>
      <w:r>
        <w:rPr>
          <w:i/>
        </w:rPr>
        <w:t>The Criminal Code</w:t>
      </w:r>
      <w:r>
        <w:t xml:space="preserve"> section 7(b) or (c) applied to the offender;</w:t>
      </w:r>
    </w:p>
    <w:p>
      <w:pPr>
        <w:pStyle w:val="Indenta"/>
      </w:pPr>
      <w:r>
        <w:tab/>
        <w:t>(b)</w:t>
      </w:r>
      <w:r>
        <w:tab/>
      </w:r>
      <w:r>
        <w:rPr>
          <w:i/>
        </w:rPr>
        <w:t>The Criminal Code</w:t>
      </w:r>
      <w:r>
        <w:t xml:space="preserve"> section 325(1) committed in circumstances where </w:t>
      </w:r>
      <w:r>
        <w:rPr>
          <w:i/>
        </w:rPr>
        <w:t>The Criminal Code</w:t>
      </w:r>
      <w:r>
        <w:t xml:space="preserve"> section 7(b) or (c) applied to the offender;</w:t>
      </w:r>
    </w:p>
    <w:p>
      <w:pPr>
        <w:pStyle w:val="Indenta"/>
      </w:pPr>
      <w:r>
        <w:tab/>
        <w:t>(c)</w:t>
      </w:r>
      <w:r>
        <w:tab/>
      </w:r>
      <w:r>
        <w:rPr>
          <w:i/>
        </w:rPr>
        <w:t>The Criminal Code</w:t>
      </w:r>
      <w:r>
        <w:t xml:space="preserve"> section 327(1).</w:t>
      </w:r>
    </w:p>
    <w:p>
      <w:pPr>
        <w:pStyle w:val="Subsection"/>
      </w:pPr>
      <w:r>
        <w:tab/>
        <w:t>(6)</w:t>
      </w:r>
      <w:r>
        <w:tab/>
        <w:t xml:space="preserve">An offence against the </w:t>
      </w:r>
      <w:r>
        <w:rPr>
          <w:i/>
        </w:rPr>
        <w:t>Crimes Act 1958</w:t>
      </w:r>
      <w:r>
        <w:t xml:space="preserve"> (Victoria) section 50C(1) or 50D(1)</w:t>
      </w:r>
      <w:r>
        <w:rPr>
          <w:bCs/>
        </w:rPr>
        <w:t xml:space="preserve">, committed in circumstances where </w:t>
      </w:r>
      <w:r>
        <w:t xml:space="preserve">the victim was under 18 years of age, is prescribed to correspond to an offence against </w:t>
      </w:r>
      <w:r>
        <w:rPr>
          <w:i/>
        </w:rPr>
        <w:t>The Criminal Code</w:t>
      </w:r>
      <w:r>
        <w:t xml:space="preserve"> section 329(2).</w:t>
      </w:r>
    </w:p>
    <w:p>
      <w:pPr>
        <w:pStyle w:val="Subsection"/>
        <w:rPr>
          <w:rStyle w:val="DraftersNotes"/>
          <w:b w:val="0"/>
          <w:i w:val="0"/>
          <w:sz w:val="22"/>
        </w:rPr>
      </w:pPr>
      <w:r>
        <w:tab/>
        <w:t>(7)</w:t>
      </w:r>
      <w:r>
        <w:tab/>
        <w:t xml:space="preserve">An offence against the </w:t>
      </w:r>
      <w:r>
        <w:rPr>
          <w:i/>
        </w:rPr>
        <w:t>Sex Work Act 1994</w:t>
      </w:r>
      <w:r>
        <w:t xml:space="preserve"> (Victoria) section 8(1) is prescribed to correspond to an offence against </w:t>
      </w:r>
      <w:r>
        <w:rPr>
          <w:i/>
        </w:rPr>
        <w:t>The Criminal Code</w:t>
      </w:r>
      <w:r>
        <w:t xml:space="preserve"> section 331B.</w:t>
      </w:r>
    </w:p>
    <w:p>
      <w:pPr>
        <w:pStyle w:val="Subsection"/>
      </w:pPr>
      <w:r>
        <w:tab/>
        <w:t>(8)</w:t>
      </w:r>
      <w:r>
        <w:tab/>
        <w:t xml:space="preserve">An offence against a provision of the </w:t>
      </w:r>
      <w:r>
        <w:rPr>
          <w:i/>
        </w:rPr>
        <w:t>Crimes Act 1958</w:t>
      </w:r>
      <w:r>
        <w:t xml:space="preserve"> (Victoria) specified in column 1 of an item in the Table — </w:t>
      </w:r>
    </w:p>
    <w:p>
      <w:pPr>
        <w:pStyle w:val="Indenta"/>
      </w:pPr>
      <w:r>
        <w:tab/>
        <w:t>(a)</w:t>
      </w:r>
      <w:r>
        <w:tab/>
        <w:t xml:space="preserve">committed in respect of a relevant Victorian provision, is prescribed to correspond to an offence against a provision of </w:t>
      </w:r>
      <w:r>
        <w:rPr>
          <w:i/>
        </w:rPr>
        <w:t>The Criminal Code</w:t>
      </w:r>
      <w:r>
        <w:t xml:space="preserve"> specified in column 2 of the item committed in respect of a relevant WA provision; and</w:t>
      </w:r>
    </w:p>
    <w:p>
      <w:pPr>
        <w:pStyle w:val="Indenta"/>
      </w:pPr>
      <w:r>
        <w:tab/>
        <w:t>(b)</w:t>
      </w:r>
      <w:r>
        <w:tab/>
        <w:t xml:space="preserve">committed in respect of the </w:t>
      </w:r>
      <w:r>
        <w:rPr>
          <w:i/>
        </w:rPr>
        <w:t>Sex Work Act 1994</w:t>
      </w:r>
      <w:r>
        <w:t xml:space="preserve"> (Victoria) section 8(1), is prescribed to correspond to an offence against a provision of </w:t>
      </w:r>
      <w:r>
        <w:rPr>
          <w:i/>
        </w:rPr>
        <w:t>The Criminal Code</w:t>
      </w:r>
      <w:r>
        <w:t xml:space="preserve"> specified in column 2 of the item committed in respect of </w:t>
      </w:r>
      <w:r>
        <w:rPr>
          <w:i/>
        </w:rPr>
        <w:t>The Criminal Code</w:t>
      </w:r>
      <w:r>
        <w:t xml:space="preserve"> section 331B.</w:t>
      </w:r>
    </w:p>
    <w:p>
      <w:pPr>
        <w:pStyle w:val="THeadingNAm"/>
      </w:pPr>
      <w:r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2835"/>
      </w:tblGrid>
      <w:tr>
        <w:trPr>
          <w:tblHeader/>
        </w:trPr>
        <w:tc>
          <w:tcPr>
            <w:tcW w:w="70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260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  <w:i/>
              </w:rPr>
              <w:t>Crimes Act 1958</w:t>
            </w:r>
            <w:r>
              <w:rPr>
                <w:b/>
              </w:rPr>
              <w:t xml:space="preserve"> (VIC)</w:t>
            </w:r>
          </w:p>
        </w:tc>
        <w:tc>
          <w:tcPr>
            <w:tcW w:w="2835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TableNAm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The Criminal Code</w:t>
            </w:r>
          </w:p>
        </w:tc>
      </w:tr>
      <w:tr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s. 321(1)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s. 558(1)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321G(1)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553(1)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321M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</w:pPr>
            <w:r>
              <w:t>s. 552(1)</w:t>
            </w:r>
          </w:p>
        </w:tc>
      </w:tr>
    </w:tbl>
    <w:p>
      <w:pPr>
        <w:pStyle w:val="Footnotesection"/>
      </w:pPr>
      <w:r>
        <w:tab/>
        <w:t>[Regulation 12 inserted: Gazette 15 Feb 2019 p. 299</w:t>
      </w:r>
      <w:r>
        <w:noBreakHyphen/>
        <w:t>301; amended: Gazette 5 Nov 2019 p. 3901.]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9" w:name="_Toc49333300"/>
      <w:r>
        <w:t>Notes</w:t>
      </w:r>
      <w:bookmarkEnd w:id="2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Dangerous Sexual Offenders Regulations 2018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30" w:name="_Toc49333301"/>
      <w:r>
        <w:t>Compilation table</w:t>
      </w:r>
      <w:bookmarkEnd w:id="3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Dangerous Sexual Offenders Regulations 2018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 Oct 2018 p. 3797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</w:pPr>
            <w:r>
              <w:t>r. 1 and 2: 2 Oct 2018 (see r. 2(a));</w:t>
            </w:r>
          </w:p>
          <w:p>
            <w:pPr>
              <w:pStyle w:val="nTable"/>
            </w:pPr>
            <w:r>
              <w:t>Regulations other than r. 1 and 2: 3 Oct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Dangerous Sexual Offenders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15 Feb 2019 p. 283</w:t>
            </w:r>
            <w:r>
              <w:noBreakHyphen/>
              <w:t>301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r. 1 and 2: 15 Feb 2019 (see r. 2(a));</w:t>
            </w:r>
          </w:p>
          <w:p>
            <w:pPr>
              <w:pStyle w:val="nTable"/>
            </w:pPr>
            <w:r>
              <w:t>Regulations other than r. 1 and 2: 16 Feb 2019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Dangerous Sexual Offenders Amendment Regulations (No. 2)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5 Nov 2019 p. 3898</w:t>
            </w:r>
            <w:r>
              <w:noBreakHyphen/>
              <w:t>901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r. 1 and 2: 5 Nov 2019 (see r. 2(a));</w:t>
            </w:r>
          </w:p>
          <w:p>
            <w:pPr>
              <w:pStyle w:val="nTable"/>
            </w:pPr>
            <w:r>
              <w:t>Regulations other than r. 1 and 2: 6 Nov 2019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i/>
                <w:color w:val="FF0000"/>
              </w:rPr>
              <w:t>Dangerous Sexual Offenders Act 2006</w:t>
            </w:r>
            <w:r>
              <w:rPr>
                <w:b/>
                <w:color w:val="FF0000"/>
              </w:rPr>
              <w:t xml:space="preserve"> by the </w:t>
            </w:r>
            <w:r>
              <w:rPr>
                <w:b/>
                <w:i/>
                <w:color w:val="FF0000"/>
              </w:rPr>
              <w:t>High Risk Serious Offenders Act 2020</w:t>
            </w:r>
            <w:r>
              <w:rPr>
                <w:b/>
                <w:color w:val="FF0000"/>
              </w:rPr>
              <w:t xml:space="preserve"> s. 123 (No. 29 of 2020) as at 26 Aug 2020 (see s. 2(1)(c) and SL 2020/131 cl. 2)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2" w:name="_Toc49333302"/>
      <w:r>
        <w:rPr>
          <w:sz w:val="28"/>
        </w:rPr>
        <w:t>Defined terms</w:t>
      </w:r>
      <w:bookmarkEnd w:id="3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Commonwealth Criminal Code</w:t>
      </w:r>
      <w:r>
        <w:tab/>
        <w:t>6(1)</w:t>
      </w:r>
    </w:p>
    <w:p>
      <w:pPr>
        <w:pStyle w:val="DefinedTerms"/>
      </w:pPr>
      <w:r>
        <w:t>NT Criminal Code</w:t>
      </w:r>
      <w:r>
        <w:tab/>
        <w:t>8(1)</w:t>
      </w:r>
    </w:p>
    <w:p>
      <w:pPr>
        <w:pStyle w:val="DefinedTerms"/>
      </w:pPr>
      <w:r>
        <w:t>Queensland Criminal Code</w:t>
      </w:r>
      <w:r>
        <w:tab/>
        <w:t>9(1)</w:t>
      </w:r>
    </w:p>
    <w:p>
      <w:pPr>
        <w:pStyle w:val="DefinedTerms"/>
      </w:pPr>
      <w:r>
        <w:t>relevant ACT provision</w:t>
      </w:r>
      <w:r>
        <w:tab/>
        <w:t>5(1)</w:t>
      </w:r>
    </w:p>
    <w:p>
      <w:pPr>
        <w:pStyle w:val="DefinedTerms"/>
      </w:pPr>
      <w:r>
        <w:t>relevant Commonwealth provision</w:t>
      </w:r>
      <w:r>
        <w:tab/>
        <w:t>6(1)</w:t>
      </w:r>
    </w:p>
    <w:p>
      <w:pPr>
        <w:pStyle w:val="DefinedTerms"/>
      </w:pPr>
      <w:r>
        <w:t>relevant NT provision</w:t>
      </w:r>
      <w:r>
        <w:tab/>
        <w:t>8(1)</w:t>
      </w:r>
    </w:p>
    <w:p>
      <w:pPr>
        <w:pStyle w:val="DefinedTerms"/>
      </w:pPr>
      <w:r>
        <w:t>relevant Queensland provision</w:t>
      </w:r>
      <w:r>
        <w:tab/>
        <w:t>9(1)</w:t>
      </w:r>
    </w:p>
    <w:p>
      <w:pPr>
        <w:pStyle w:val="DefinedTerms"/>
      </w:pPr>
      <w:r>
        <w:t>relevant SA provision</w:t>
      </w:r>
      <w:r>
        <w:tab/>
        <w:t>10(1)</w:t>
      </w:r>
    </w:p>
    <w:p>
      <w:pPr>
        <w:pStyle w:val="DefinedTerms"/>
      </w:pPr>
      <w:r>
        <w:t>relevant Tasmanian provision</w:t>
      </w:r>
      <w:r>
        <w:tab/>
        <w:t>11(1)</w:t>
      </w:r>
    </w:p>
    <w:p>
      <w:pPr>
        <w:pStyle w:val="DefinedTerms"/>
      </w:pPr>
      <w:r>
        <w:t>relevant Victorian provision</w:t>
      </w:r>
      <w:r>
        <w:tab/>
        <w:t>12(1)</w:t>
      </w:r>
    </w:p>
    <w:p>
      <w:pPr>
        <w:pStyle w:val="DefinedTerms"/>
      </w:pPr>
      <w:r>
        <w:t>relevant WA provision</w:t>
      </w:r>
      <w:r>
        <w:tab/>
        <w:t>5(1), 6(1), 8(1), 9(1), 10(1), 11(1), 12(1)</w:t>
      </w:r>
    </w:p>
    <w:p>
      <w:pPr>
        <w:pStyle w:val="DefinedTerms"/>
      </w:pPr>
      <w:r>
        <w:t>serious sexual offence</w:t>
      </w:r>
      <w:r>
        <w:tab/>
        <w:t>4</w:t>
      </w:r>
    </w:p>
    <w:p>
      <w:pPr>
        <w:pStyle w:val="DefinedTerms"/>
      </w:pPr>
      <w:r>
        <w:t>Tasmanian Criminal Code</w:t>
      </w:r>
      <w:r>
        <w:tab/>
        <w:t>11(1)</w:t>
      </w:r>
    </w:p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7" w:h="16840" w:code="9"/>
      <w:pgMar w:top="2381" w:right="2409" w:bottom="3543" w:left="2409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Sexual Offenders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Sexual Offenders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Sexual Offenders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Matters prescribed for terms used in Act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/>
            </w:rPr>
            <w:t>Division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separate"/>
          </w:r>
          <w:r>
            <w:t>Serious sexual offences</w: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Sexual Offenders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Matters prescribed for terms used in Act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separate"/>
          </w:r>
          <w:r>
            <w:t>Serious sexual offences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/>
            </w:rPr>
            <w:t>Division 2</w: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Sexual Offenders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Sexual Offenders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Sexual Offenders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Sexual Offenders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3" w:name="DefinedTerms"/>
    <w:bookmarkEnd w:id="33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4" w:name="Coversheet"/>
    <w:bookmarkEnd w:id="3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82611012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80820150857" w:val="RemoveTocBookmarks,RemoveUnusedBookmarks,RemoveLanguageTags,UsedStyles,ResetPageSize"/>
    <w:docVar w:name="WAFER_20180820150857_GUID" w:val="a1eab4f0-761e-4768-95e5-88e131f409b6"/>
    <w:docVar w:name="WAFER_20180820155718" w:val="RemoveTocBookmarks,RunningHeaders"/>
    <w:docVar w:name="WAFER_20180820155718_GUID" w:val="271dfcd0-5e8d-49a0-95cb-4beef72c38ee"/>
    <w:docVar w:name="WAFER_20180820155813" w:val="RemoveTocBookmarks,RunningHeaders"/>
    <w:docVar w:name="WAFER_20180820155813_GUID" w:val="a1cfb923-d333-44e4-8cc0-dcaa78851d48"/>
    <w:docVar w:name="WAFER_20180824131255" w:val="RemoveTocBookmarks,RemoveUnusedBookmarks,RemoveLanguageTags,UsedStyles,ResetPageSize"/>
    <w:docVar w:name="WAFER_20180824131255_GUID" w:val="c3623f50-41e2-4b06-8630-33bc6621c175"/>
    <w:docVar w:name="WAFER_20181002143213" w:val="UpdateStyles,ResetPageSize"/>
    <w:docVar w:name="WAFER_20181002143213_GUID" w:val="72b44b78-878c-4272-8254-9b0c1c569ea3"/>
    <w:docVar w:name="WAFER_20190214111114" w:val="RemoveTocBookmarks,RemoveUnusedBookmarks,RemoveLanguageTags,UsedStyles,ResetPageSize"/>
    <w:docVar w:name="WAFER_20190214111114_GUID" w:val="a09d4a19-a92a-489a-b2d4-ae1655e7861c"/>
    <w:docVar w:name="WAFER_20190215120304" w:val="RemoveTocBookmarks,RemoveUnusedBookmarks,RemoveLanguageTags,UsedStyles,ResetPageSize"/>
    <w:docVar w:name="WAFER_20190215120304_GUID" w:val="5c736c57-960f-41b1-be02-2798ab1df168"/>
    <w:docVar w:name="WAFER_20190215121603" w:val="UpdateStyles"/>
    <w:docVar w:name="WAFER_20190215121603_GUID" w:val="545c6c05-cbd0-4346-a19b-3ade1c8fcaf5"/>
    <w:docVar w:name="WAFER_20190215121629" w:val="RemoveTocBookmarks,RemoveUnusedBookmarks,RemoveLanguageTags,UsedStyles,ResetPageSize"/>
    <w:docVar w:name="WAFER_20190215121629_GUID" w:val="425c5452-4da3-49b7-8b11-ff22da7a7120"/>
    <w:docVar w:name="WAFER_20191101110532" w:val="RemoveTocBookmarks,RemoveUnusedBookmarks,RemoveLanguageTags,ResetPageSize,RunningHeaders,UpdateStyles,UsedStyles"/>
    <w:docVar w:name="WAFER_20191101110532_GUID" w:val="5def7ad4-3a68-442f-bb13-3caf2f314186"/>
    <w:docVar w:name="WAFER_2020082611012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826110121_GUID" w:val="ec603954-478b-4124-aab7-ee3065c4459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6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6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C1386-B8F9-4EAC-8BA5-E882661F9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4559</Words>
  <Characters>22586</Characters>
  <Application>Microsoft Office Word</Application>
  <DocSecurity>0</DocSecurity>
  <Lines>1328</Lines>
  <Paragraphs>1131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Dangerous Sexual Offenders Regulations 2018 - 00-d0-00</dc:title>
  <dc:subject/>
  <dc:creator/>
  <cp:keywords/>
  <dc:description/>
  <cp:lastModifiedBy>svcMRProcess</cp:lastModifiedBy>
  <cp:revision>4</cp:revision>
  <cp:lastPrinted>2018-08-21T09:06:00Z</cp:lastPrinted>
  <dcterms:created xsi:type="dcterms:W3CDTF">2020-08-26T04:28:00Z</dcterms:created>
  <dcterms:modified xsi:type="dcterms:W3CDTF">2020-08-26T04:28:00Z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26 Aug 2020</vt:lpwstr>
  </property>
  <property fmtid="{D5CDD505-2E9C-101B-9397-08002B2CF9AE}" pid="4" name="Suffix">
    <vt:lpwstr>00-d0-00</vt:lpwstr>
  </property>
  <property fmtid="{D5CDD505-2E9C-101B-9397-08002B2CF9AE}" pid="5" name="Status">
    <vt:lpwstr>NIF</vt:lpwstr>
  </property>
  <property fmtid="{D5CDD505-2E9C-101B-9397-08002B2CF9AE}" pid="6" name="CommencementDate">
    <vt:lpwstr>20200826</vt:lpwstr>
  </property>
</Properties>
</file>