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Sandalwood Regulations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Sandalwood Regulations 1993</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_Toc160333230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_Toc160333231 \h </w:instrText>
      </w:r>
      <w:r>
        <w:fldChar w:fldCharType="separate"/>
      </w:r>
      <w:r>
        <w:t>1</w:t>
      </w:r>
      <w:r>
        <w:fldChar w:fldCharType="end"/>
      </w:r>
    </w:p>
    <w:p>
      <w:pPr>
        <w:pStyle w:val="TOC8"/>
        <w:rPr>
          <w:sz w:val="24"/>
        </w:rPr>
      </w:pPr>
      <w:r>
        <w:t>3.</w:t>
      </w:r>
      <w:r>
        <w:tab/>
        <w:t>Application for a licence</w:t>
      </w:r>
      <w:r>
        <w:tab/>
      </w:r>
      <w:r>
        <w:fldChar w:fldCharType="begin"/>
      </w:r>
      <w:r>
        <w:instrText xml:space="preserve"> PAGEREF _Toc160333232 \h </w:instrText>
      </w:r>
      <w:r>
        <w:fldChar w:fldCharType="separate"/>
      </w:r>
      <w:r>
        <w:t>2</w:t>
      </w:r>
      <w:r>
        <w:fldChar w:fldCharType="end"/>
      </w:r>
    </w:p>
    <w:p>
      <w:pPr>
        <w:pStyle w:val="TOC8"/>
        <w:rPr>
          <w:sz w:val="24"/>
        </w:rPr>
      </w:pPr>
      <w:r>
        <w:t>4</w:t>
      </w:r>
      <w:r>
        <w:rPr>
          <w:snapToGrid w:val="0"/>
        </w:rPr>
        <w:t>.</w:t>
      </w:r>
      <w:r>
        <w:rPr>
          <w:snapToGrid w:val="0"/>
        </w:rPr>
        <w:tab/>
        <w:t>Scope of licence</w:t>
      </w:r>
      <w:r>
        <w:tab/>
      </w:r>
      <w:r>
        <w:fldChar w:fldCharType="begin"/>
      </w:r>
      <w:r>
        <w:instrText xml:space="preserve"> PAGEREF _Toc160333233 \h </w:instrText>
      </w:r>
      <w:r>
        <w:fldChar w:fldCharType="separate"/>
      </w:r>
      <w:r>
        <w:t>2</w:t>
      </w:r>
      <w:r>
        <w:fldChar w:fldCharType="end"/>
      </w:r>
    </w:p>
    <w:p>
      <w:pPr>
        <w:pStyle w:val="TOC8"/>
        <w:rPr>
          <w:sz w:val="24"/>
        </w:rPr>
      </w:pPr>
      <w:r>
        <w:t>5</w:t>
      </w:r>
      <w:r>
        <w:rPr>
          <w:snapToGrid w:val="0"/>
        </w:rPr>
        <w:t>.</w:t>
      </w:r>
      <w:r>
        <w:rPr>
          <w:snapToGrid w:val="0"/>
        </w:rPr>
        <w:tab/>
        <w:t>Production of licence</w:t>
      </w:r>
      <w:r>
        <w:tab/>
      </w:r>
      <w:r>
        <w:fldChar w:fldCharType="begin"/>
      </w:r>
      <w:r>
        <w:instrText xml:space="preserve"> PAGEREF _Toc160333234 \h </w:instrText>
      </w:r>
      <w:r>
        <w:fldChar w:fldCharType="separate"/>
      </w:r>
      <w:r>
        <w:t>3</w:t>
      </w:r>
      <w:r>
        <w:fldChar w:fldCharType="end"/>
      </w:r>
    </w:p>
    <w:p>
      <w:pPr>
        <w:pStyle w:val="TOC8"/>
        <w:rPr>
          <w:sz w:val="24"/>
        </w:rPr>
      </w:pPr>
      <w:r>
        <w:t>6</w:t>
      </w:r>
      <w:r>
        <w:rPr>
          <w:snapToGrid w:val="0"/>
        </w:rPr>
        <w:t>.</w:t>
      </w:r>
      <w:r>
        <w:rPr>
          <w:snapToGrid w:val="0"/>
        </w:rPr>
        <w:tab/>
        <w:t>False statements</w:t>
      </w:r>
      <w:r>
        <w:tab/>
      </w:r>
      <w:r>
        <w:fldChar w:fldCharType="begin"/>
      </w:r>
      <w:r>
        <w:instrText xml:space="preserve"> PAGEREF _Toc160333235 \h </w:instrText>
      </w:r>
      <w:r>
        <w:fldChar w:fldCharType="separate"/>
      </w:r>
      <w:r>
        <w:t>3</w:t>
      </w:r>
      <w:r>
        <w:fldChar w:fldCharType="end"/>
      </w:r>
    </w:p>
    <w:p>
      <w:pPr>
        <w:pStyle w:val="TOC8"/>
        <w:rPr>
          <w:sz w:val="24"/>
        </w:rPr>
      </w:pPr>
      <w:r>
        <w:t>7</w:t>
      </w:r>
      <w:r>
        <w:rPr>
          <w:snapToGrid w:val="0"/>
        </w:rPr>
        <w:t>.</w:t>
      </w:r>
      <w:r>
        <w:rPr>
          <w:snapToGrid w:val="0"/>
        </w:rPr>
        <w:tab/>
        <w:t>Restriction on granting of sandalwood licences in certain areas</w:t>
      </w:r>
      <w:r>
        <w:tab/>
      </w:r>
      <w:r>
        <w:fldChar w:fldCharType="begin"/>
      </w:r>
      <w:r>
        <w:instrText xml:space="preserve"> PAGEREF _Toc160333236 \h </w:instrText>
      </w:r>
      <w:r>
        <w:fldChar w:fldCharType="separate"/>
      </w:r>
      <w:r>
        <w:t>4</w:t>
      </w:r>
      <w:r>
        <w:fldChar w:fldCharType="end"/>
      </w:r>
    </w:p>
    <w:p>
      <w:pPr>
        <w:pStyle w:val="TOC8"/>
        <w:rPr>
          <w:sz w:val="24"/>
        </w:rPr>
      </w:pPr>
      <w:r>
        <w:t>8</w:t>
      </w:r>
      <w:r>
        <w:rPr>
          <w:snapToGrid w:val="0"/>
        </w:rPr>
        <w:t>.</w:t>
      </w:r>
      <w:r>
        <w:rPr>
          <w:snapToGrid w:val="0"/>
        </w:rPr>
        <w:tab/>
        <w:t>Restriction on sandalwood trees that may be pulled, etc.</w:t>
      </w:r>
      <w:r>
        <w:tab/>
      </w:r>
      <w:r>
        <w:fldChar w:fldCharType="begin"/>
      </w:r>
      <w:r>
        <w:instrText xml:space="preserve"> PAGEREF _Toc160333237 \h </w:instrText>
      </w:r>
      <w:r>
        <w:fldChar w:fldCharType="separate"/>
      </w:r>
      <w:r>
        <w:t>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_Toc160333239 \h </w:instrText>
      </w:r>
      <w:r>
        <w:fldChar w:fldCharType="separate"/>
      </w:r>
      <w:r>
        <w:t>6</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_Toc170216317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Interpretation</w:instrText>
      </w:r>
      <w:r>
        <w:tab/>
      </w:r>
      <w:r>
        <w:fldChar w:fldCharType="begin"/>
      </w:r>
      <w:r>
        <w:instrText xml:space="preserve"> PAGEREF _Toc170216318 \h </w:instrText>
      </w:r>
      <w:r>
        <w:fldChar w:fldCharType="separate"/>
      </w:r>
      <w:r>
        <w:instrText>1</w:instrText>
      </w:r>
      <w:r>
        <w:fldChar w:fldCharType="end"/>
      </w:r>
    </w:p>
    <w:p>
      <w:pPr>
        <w:pStyle w:val="TOC8"/>
        <w:rPr>
          <w:sz w:val="24"/>
          <w:szCs w:val="24"/>
        </w:rPr>
      </w:pPr>
      <w:r>
        <w:rPr>
          <w:szCs w:val="24"/>
        </w:rPr>
        <w:instrText>3.</w:instrText>
      </w:r>
      <w:r>
        <w:rPr>
          <w:szCs w:val="24"/>
        </w:rPr>
        <w:tab/>
        <w:instrText>Application for a licence</w:instrText>
      </w:r>
      <w:r>
        <w:tab/>
      </w:r>
      <w:r>
        <w:fldChar w:fldCharType="begin"/>
      </w:r>
      <w:r>
        <w:instrText xml:space="preserve"> PAGEREF _Toc170216319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Scope of licence</w:instrText>
      </w:r>
      <w:r>
        <w:tab/>
      </w:r>
      <w:r>
        <w:fldChar w:fldCharType="begin"/>
      </w:r>
      <w:r>
        <w:instrText xml:space="preserve"> PAGEREF _Toc170216320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Production of licence</w:instrText>
      </w:r>
      <w:r>
        <w:tab/>
      </w:r>
      <w:r>
        <w:fldChar w:fldCharType="begin"/>
      </w:r>
      <w:r>
        <w:instrText xml:space="preserve"> PAGEREF _Toc170216321 \h </w:instrText>
      </w:r>
      <w:r>
        <w:fldChar w:fldCharType="separate"/>
      </w:r>
      <w:r>
        <w:instrText>3</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False statements</w:instrText>
      </w:r>
      <w:r>
        <w:tab/>
      </w:r>
      <w:r>
        <w:fldChar w:fldCharType="begin"/>
      </w:r>
      <w:r>
        <w:instrText xml:space="preserve"> PAGEREF _Toc170216322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Restriction on granting of sandalwood licences in certain areas</w:instrText>
      </w:r>
      <w:r>
        <w:tab/>
      </w:r>
      <w:r>
        <w:fldChar w:fldCharType="begin"/>
      </w:r>
      <w:r>
        <w:instrText xml:space="preserve"> PAGEREF _Toc170216323 \h </w:instrText>
      </w:r>
      <w:r>
        <w:fldChar w:fldCharType="separate"/>
      </w:r>
      <w:r>
        <w:instrText>4</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Restriction on sandalwood trees that may be pulled, etc.</w:instrText>
      </w:r>
      <w:r>
        <w:tab/>
      </w:r>
      <w:r>
        <w:fldChar w:fldCharType="begin"/>
      </w:r>
      <w:r>
        <w:instrText xml:space="preserve"> PAGEREF _Toc170216324 \h </w:instrText>
      </w:r>
      <w:r>
        <w:fldChar w:fldCharType="separate"/>
      </w:r>
      <w:r>
        <w:instrText>5</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_Toc170216326 \h </w:instrText>
      </w:r>
      <w:r>
        <w:fldChar w:fldCharType="separate"/>
      </w:r>
      <w:r>
        <w:instrText>6</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MadeBy"/>
        <w:rPr>
          <w:snapToGrid w:val="0"/>
        </w:rPr>
      </w:pPr>
      <w:r>
        <w:rPr>
          <w:snapToGrid w:val="0"/>
        </w:rPr>
        <w:t>Made by His Excellency the Governor in Executive Council.</w:t>
      </w:r>
    </w:p>
    <w:p>
      <w:pPr>
        <w:pStyle w:val="Heading5"/>
        <w:rPr>
          <w:snapToGrid w:val="0"/>
        </w:rPr>
      </w:pPr>
      <w:bookmarkStart w:id="1" w:name="_Toc438342391"/>
      <w:bookmarkStart w:id="2" w:name="_Toc160333230"/>
      <w:bookmarkStart w:id="3" w:name="_Toc17021631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rPr>
        <w:t>.</w:t>
      </w:r>
    </w:p>
    <w:p>
      <w:pPr>
        <w:pStyle w:val="Heading5"/>
        <w:rPr>
          <w:snapToGrid w:val="0"/>
        </w:rPr>
      </w:pPr>
      <w:bookmarkStart w:id="4" w:name="_Toc438342392"/>
      <w:bookmarkStart w:id="5" w:name="_Toc160333231"/>
      <w:bookmarkStart w:id="6" w:name="_Toc17021631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“alienated land”</w:t>
      </w:r>
      <w:r>
        <w:t xml:space="preserve"> has the same meaning as in the </w:t>
      </w:r>
      <w:r>
        <w:rPr>
          <w:i/>
        </w:rPr>
        <w:t>Sandalwood Act 1929</w:t>
      </w:r>
      <w:r>
        <w:t>;</w:t>
      </w:r>
    </w:p>
    <w:p>
      <w:pPr>
        <w:pStyle w:val="Defstart"/>
      </w:pPr>
      <w:r>
        <w:rPr>
          <w:b/>
        </w:rPr>
        <w:tab/>
        <w:t>“conservation and land management officer”</w:t>
      </w:r>
      <w:r>
        <w:t xml:space="preserve"> has the same meaning as in the </w:t>
      </w:r>
      <w:r>
        <w:rPr>
          <w:i/>
        </w:rPr>
        <w:t>Conservation and Land Management Act 1984</w:t>
      </w:r>
      <w:r>
        <w:t>;</w:t>
      </w:r>
    </w:p>
    <w:p>
      <w:pPr>
        <w:pStyle w:val="Defstart"/>
      </w:pPr>
      <w:r>
        <w:rPr>
          <w:b/>
        </w:rPr>
        <w:tab/>
        <w:t>“Crown land”</w:t>
      </w:r>
      <w:r>
        <w:t xml:space="preserve"> has the same meaning as in the </w:t>
      </w:r>
      <w:r>
        <w:rPr>
          <w:i/>
        </w:rPr>
        <w:t>Sandalwood Act 1929</w:t>
      </w:r>
      <w:r>
        <w:t>;</w:t>
      </w:r>
    </w:p>
    <w:p>
      <w:pPr>
        <w:pStyle w:val="Defstart"/>
      </w:pPr>
      <w:r>
        <w:rPr>
          <w:b/>
        </w:rPr>
        <w:tab/>
        <w:t>“forest officer”</w:t>
      </w:r>
      <w:r>
        <w:t xml:space="preserve"> has the same meaning as in the </w:t>
      </w:r>
      <w:r>
        <w:rPr>
          <w:i/>
        </w:rPr>
        <w:t>Conservation and Land Management Act 1984</w:t>
      </w:r>
      <w:r>
        <w:t>;</w:t>
      </w:r>
    </w:p>
    <w:p>
      <w:pPr>
        <w:pStyle w:val="Defstart"/>
      </w:pPr>
      <w:r>
        <w:rPr>
          <w:b/>
        </w:rPr>
        <w:tab/>
        <w:t>“licence”</w:t>
      </w:r>
      <w:r>
        <w:t xml:space="preserve"> means — </w:t>
      </w:r>
    </w:p>
    <w:p>
      <w:pPr>
        <w:pStyle w:val="Defpara"/>
      </w:pPr>
      <w:r>
        <w:tab/>
        <w:t>(a)</w:t>
      </w:r>
      <w:r>
        <w:tab/>
        <w:t xml:space="preserve">in relation to alienated land, a licence referred to in section 3 (1) (b) of the </w:t>
      </w:r>
      <w:r>
        <w:rPr>
          <w:i/>
        </w:rPr>
        <w:t>Sandalwood Act 1929</w:t>
      </w:r>
      <w:r>
        <w:t>; or</w:t>
      </w:r>
    </w:p>
    <w:p>
      <w:pPr>
        <w:pStyle w:val="Defpara"/>
      </w:pPr>
      <w:r>
        <w:tab/>
        <w:t>(b)</w:t>
      </w:r>
      <w:r>
        <w:tab/>
        <w:t xml:space="preserve">in relation to Crown land, a licence granted by the CEO under section 88 (1) (a) of the </w:t>
      </w:r>
      <w:r>
        <w:rPr>
          <w:i/>
        </w:rPr>
        <w:t>Conservation and Land Management Act 1984</w:t>
      </w:r>
      <w:r>
        <w:t>,</w:t>
      </w:r>
    </w:p>
    <w:p>
      <w:pPr>
        <w:pStyle w:val="Defstart"/>
      </w:pPr>
      <w:r>
        <w:tab/>
      </w:r>
      <w:r>
        <w:tab/>
        <w:t>to pull or remove sandalwood on or from that land;</w:t>
      </w:r>
    </w:p>
    <w:p>
      <w:pPr>
        <w:pStyle w:val="Defstart"/>
      </w:pPr>
      <w:r>
        <w:rPr>
          <w:b/>
        </w:rPr>
        <w:lastRenderedPageBreak/>
        <w:tab/>
        <w:t>“pull”</w:t>
      </w:r>
      <w:r>
        <w:t>, in relation to sandalwood, includes strip the bark from sandalwood;</w:t>
      </w:r>
    </w:p>
    <w:p>
      <w:pPr>
        <w:pStyle w:val="Defstart"/>
      </w:pPr>
      <w:r>
        <w:rPr>
          <w:b/>
        </w:rPr>
        <w:tab/>
        <w:t>“sandalwood”</w:t>
      </w:r>
      <w:r>
        <w:t xml:space="preserve"> has the same meaning as in the </w:t>
      </w:r>
      <w:r>
        <w:rPr>
          <w:i/>
        </w:rPr>
        <w:t>Sandalwood Act 1929.</w:t>
      </w:r>
      <w:r>
        <w:t xml:space="preserve"> </w:t>
      </w:r>
    </w:p>
    <w:p>
      <w:pPr>
        <w:pStyle w:val="Footnotesection"/>
      </w:pPr>
      <w:r>
        <w:tab/>
        <w:t>[Regulation 2 amended in Gazette 27 Feb 2007 p. 626.]</w:t>
      </w:r>
    </w:p>
    <w:p>
      <w:pPr>
        <w:pStyle w:val="Heading5"/>
      </w:pPr>
      <w:bookmarkStart w:id="7" w:name="_Toc438342393"/>
      <w:bookmarkStart w:id="8" w:name="_Toc160333232"/>
      <w:bookmarkStart w:id="9" w:name="_Toc170216319"/>
      <w:r>
        <w:rPr>
          <w:rStyle w:val="CharSectno"/>
        </w:rPr>
        <w:t>3</w:t>
      </w:r>
      <w:r>
        <w:t>.</w:t>
      </w:r>
      <w:r>
        <w:tab/>
        <w:t>Application for a licence</w:t>
      </w:r>
      <w:bookmarkEnd w:id="7"/>
      <w:bookmarkEnd w:id="8"/>
      <w:bookmarkEnd w:id="9"/>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authorization from the owner or occupier of the alienated land authorizing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 </w:t>
      </w:r>
    </w:p>
    <w:p>
      <w:pPr>
        <w:pStyle w:val="Indenta"/>
        <w:rPr>
          <w:snapToGrid w:val="0"/>
        </w:rPr>
      </w:pPr>
      <w:r>
        <w:rPr>
          <w:snapToGrid w:val="0"/>
        </w:rPr>
        <w:tab/>
        <w:t>(a)</w:t>
      </w:r>
      <w:r>
        <w:rPr>
          <w:snapToGrid w:val="0"/>
        </w:rPr>
        <w:tab/>
        <w:t>any part of an area of land described in the Table to regulation 7 (1); or</w:t>
      </w:r>
    </w:p>
    <w:p>
      <w:pPr>
        <w:pStyle w:val="Indenta"/>
        <w:rPr>
          <w:snapToGrid w:val="0"/>
        </w:rPr>
      </w:pPr>
      <w:r>
        <w:rPr>
          <w:snapToGrid w:val="0"/>
        </w:rPr>
        <w:tab/>
        <w:t>(b)</w:t>
      </w:r>
      <w:r>
        <w:rPr>
          <w:snapToGrid w:val="0"/>
        </w:rPr>
        <w:tab/>
        <w:t>any part of land to which regulation 8 (1)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 xml:space="preserve">[Regulation 3 amended in Gazette 3 May 1996 p.1915; 27 Feb 2007 p. 627.] </w:t>
      </w:r>
    </w:p>
    <w:p>
      <w:pPr>
        <w:pStyle w:val="Heading5"/>
        <w:rPr>
          <w:snapToGrid w:val="0"/>
        </w:rPr>
      </w:pPr>
      <w:bookmarkStart w:id="10" w:name="_Toc438342394"/>
      <w:bookmarkStart w:id="11" w:name="_Toc160333233"/>
      <w:bookmarkStart w:id="12" w:name="_Toc170216320"/>
      <w:r>
        <w:rPr>
          <w:rStyle w:val="CharSectno"/>
        </w:rPr>
        <w:t>4</w:t>
      </w:r>
      <w:r>
        <w:rPr>
          <w:snapToGrid w:val="0"/>
        </w:rPr>
        <w:t>.</w:t>
      </w:r>
      <w:r>
        <w:rPr>
          <w:snapToGrid w:val="0"/>
        </w:rPr>
        <w:tab/>
        <w:t>Scope of licence</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specify in a licence —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rPr>
          <w:snapToGrid w:val="0"/>
        </w:rPr>
      </w:pPr>
      <w:r>
        <w:rPr>
          <w:snapToGrid w:val="0"/>
        </w:rPr>
        <w:tab/>
      </w:r>
      <w:r>
        <w:rPr>
          <w:snapToGrid w:val="0"/>
        </w:rPr>
        <w:tab/>
        <w:t>under the licence.</w:t>
      </w:r>
    </w:p>
    <w:p>
      <w:pPr>
        <w:pStyle w:val="Subsection"/>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rPr>
          <w:snapToGrid w:val="0"/>
        </w:rPr>
      </w:pPr>
      <w:r>
        <w:rPr>
          <w:snapToGrid w:val="0"/>
        </w:rPr>
        <w:tab/>
        <w:t>(3)</w:t>
      </w:r>
      <w:r>
        <w:rPr>
          <w:snapToGrid w:val="0"/>
        </w:rPr>
        <w:tab/>
        <w:t>A licence shall expire at the end of the period specified in the licence notwithstanding the fact that the quantity of sandalwood authorized to be pulled or removed under the licence has not been pulled or removed.</w:t>
      </w:r>
    </w:p>
    <w:p>
      <w:pPr>
        <w:pStyle w:val="Footnotesection"/>
      </w:pPr>
      <w:r>
        <w:tab/>
        <w:t>[Regulation 4 amended in Gazette 3 May 1996 p.1915; 27 Feb 2007 p. 627.]</w:t>
      </w:r>
    </w:p>
    <w:p>
      <w:pPr>
        <w:pStyle w:val="Heading5"/>
        <w:rPr>
          <w:snapToGrid w:val="0"/>
        </w:rPr>
      </w:pPr>
      <w:bookmarkStart w:id="13" w:name="_Toc438342395"/>
      <w:bookmarkStart w:id="14" w:name="_Toc160333234"/>
      <w:bookmarkStart w:id="15" w:name="_Toc170216321"/>
      <w:r>
        <w:rPr>
          <w:rStyle w:val="CharSectno"/>
        </w:rPr>
        <w:t>5</w:t>
      </w:r>
      <w:r>
        <w:rPr>
          <w:snapToGrid w:val="0"/>
        </w:rPr>
        <w:t>.</w:t>
      </w:r>
      <w:r>
        <w:rPr>
          <w:snapToGrid w:val="0"/>
        </w:rPr>
        <w:tab/>
        <w:t>Production of licence</w:t>
      </w:r>
      <w:bookmarkEnd w:id="13"/>
      <w:bookmarkEnd w:id="14"/>
      <w:bookmarkEnd w:id="15"/>
      <w:r>
        <w:rPr>
          <w:snapToGrid w:val="0"/>
        </w:rPr>
        <w:t xml:space="preserve"> </w:t>
      </w:r>
    </w:p>
    <w:p>
      <w:pPr>
        <w:pStyle w:val="Subsection"/>
        <w:rPr>
          <w:snapToGrid w:val="0"/>
        </w:rPr>
      </w:pPr>
      <w:r>
        <w:rPr>
          <w:snapToGrid w:val="0"/>
        </w:rPr>
        <w:tab/>
      </w:r>
      <w:r>
        <w:rPr>
          <w:snapToGrid w:val="0"/>
        </w:rPr>
        <w:tab/>
        <w:t>The holder of a licence shall —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rPr>
          <w:snapToGrid w:val="0"/>
        </w:rPr>
      </w:pPr>
      <w:bookmarkStart w:id="16" w:name="_Toc438342396"/>
      <w:bookmarkStart w:id="17" w:name="_Toc160333235"/>
      <w:bookmarkStart w:id="18" w:name="_Toc170216322"/>
      <w:r>
        <w:rPr>
          <w:rStyle w:val="CharSectno"/>
        </w:rPr>
        <w:t>6</w:t>
      </w:r>
      <w:r>
        <w:rPr>
          <w:snapToGrid w:val="0"/>
        </w:rPr>
        <w:t>.</w:t>
      </w:r>
      <w:r>
        <w:rPr>
          <w:snapToGrid w:val="0"/>
        </w:rPr>
        <w:tab/>
        <w:t>False statements</w:t>
      </w:r>
      <w:bookmarkEnd w:id="16"/>
      <w:bookmarkEnd w:id="17"/>
      <w:bookmarkEnd w:id="18"/>
      <w:r>
        <w:rPr>
          <w:snapToGrid w:val="0"/>
        </w:rPr>
        <w:t xml:space="preserve"> </w:t>
      </w:r>
    </w:p>
    <w:p>
      <w:pPr>
        <w:pStyle w:val="Subsection"/>
        <w:rPr>
          <w:snapToGrid w:val="0"/>
        </w:rPr>
      </w:pPr>
      <w:r>
        <w:rPr>
          <w:snapToGrid w:val="0"/>
        </w:rPr>
        <w:tab/>
      </w:r>
      <w:r>
        <w:rPr>
          <w:snapToGrid w:val="0"/>
        </w:rPr>
        <w:tab/>
        <w:t>A person shall not make any statement in an application for a licence that is false or misleading in a material particular.</w:t>
      </w:r>
    </w:p>
    <w:p>
      <w:pPr>
        <w:pStyle w:val="Penstart"/>
        <w:rPr>
          <w:snapToGrid w:val="0"/>
        </w:rPr>
      </w:pPr>
      <w:r>
        <w:rPr>
          <w:snapToGrid w:val="0"/>
        </w:rPr>
        <w:tab/>
        <w:t>Penalty: $2 000.</w:t>
      </w:r>
    </w:p>
    <w:p>
      <w:pPr>
        <w:pStyle w:val="Heading5"/>
        <w:rPr>
          <w:snapToGrid w:val="0"/>
        </w:rPr>
      </w:pPr>
      <w:bookmarkStart w:id="19" w:name="_Toc438342397"/>
      <w:bookmarkStart w:id="20" w:name="_Toc160333236"/>
      <w:bookmarkStart w:id="21" w:name="_Toc170216323"/>
      <w:r>
        <w:rPr>
          <w:rStyle w:val="CharSectno"/>
        </w:rPr>
        <w:t>7</w:t>
      </w:r>
      <w:r>
        <w:rPr>
          <w:snapToGrid w:val="0"/>
        </w:rPr>
        <w:t>.</w:t>
      </w:r>
      <w:r>
        <w:rPr>
          <w:snapToGrid w:val="0"/>
        </w:rPr>
        <w:tab/>
        <w:t>Restriction on granting of sandalwood licences in certain areas</w:t>
      </w:r>
      <w:bookmarkEnd w:id="19"/>
      <w:bookmarkEnd w:id="20"/>
      <w:bookmarkEnd w:id="21"/>
      <w:r>
        <w:rPr>
          <w:snapToGrid w:val="0"/>
        </w:rPr>
        <w:t xml:space="preserve"> </w:t>
      </w:r>
    </w:p>
    <w:p>
      <w:pPr>
        <w:pStyle w:val="Subsection"/>
        <w:rPr>
          <w:snapToGrid w:val="0"/>
        </w:rPr>
      </w:pPr>
      <w:r>
        <w:rPr>
          <w:snapToGrid w:val="0"/>
        </w:rPr>
        <w:tab/>
        <w:t>(1)</w:t>
      </w:r>
      <w:r>
        <w:rPr>
          <w:snapToGrid w:val="0"/>
        </w:rPr>
        <w:tab/>
        <w:t>Subject to subregulation (2), a licence does not authorize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Trans-Australian railway line, then along the Trans-Australian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authorize the pulling or removal of living sandalwood on or from any part of an area of land described in the Table to subregulation (1) if lawful authority has been given under any written law to clear that part of land.</w:t>
      </w:r>
    </w:p>
    <w:p>
      <w:pPr>
        <w:pStyle w:val="Footnotesection"/>
      </w:pPr>
      <w:r>
        <w:tab/>
        <w:t>[Regulation 7 amended in Gazette 3 May 1996 p.1915.]</w:t>
      </w:r>
    </w:p>
    <w:p>
      <w:pPr>
        <w:pStyle w:val="Heading5"/>
        <w:rPr>
          <w:snapToGrid w:val="0"/>
        </w:rPr>
      </w:pPr>
      <w:bookmarkStart w:id="22" w:name="_Toc438342398"/>
      <w:bookmarkStart w:id="23" w:name="_Toc160333237"/>
      <w:bookmarkStart w:id="24" w:name="_Toc170216324"/>
      <w:r>
        <w:rPr>
          <w:rStyle w:val="CharSectno"/>
        </w:rPr>
        <w:t>8</w:t>
      </w:r>
      <w:r>
        <w:rPr>
          <w:snapToGrid w:val="0"/>
        </w:rPr>
        <w:t>.</w:t>
      </w:r>
      <w:r>
        <w:rPr>
          <w:snapToGrid w:val="0"/>
        </w:rPr>
        <w:tab/>
        <w:t>Restriction on sandalwood trees that may be pulled, etc.</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subregulation (2), a licence does not authorize the pulling or removal of living sandalwood on or from Crown land where —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authorize the pulling or removal of living sandalwood on or from any part of land to which subregulation (1) applies if lawful authority has been given under any written law to clear that part of land.</w:t>
      </w:r>
    </w:p>
    <w:p>
      <w:pPr>
        <w:pStyle w:val="Footnotesection"/>
      </w:pPr>
      <w:r>
        <w:tab/>
        <w:t>[Regulation 8 amended in Gazette 3 May 1996 p.1916.]</w:t>
      </w:r>
    </w:p>
    <w:p>
      <w:pPr>
        <w:pStyle w:val="Ednotesection"/>
      </w:pPr>
      <w:r>
        <w:t>[</w:t>
      </w:r>
      <w:r>
        <w:rPr>
          <w:b/>
        </w:rPr>
        <w:t>9.</w:t>
      </w:r>
      <w:r>
        <w:rPr>
          <w:b/>
        </w:rPr>
        <w:tab/>
      </w:r>
      <w:r>
        <w:t xml:space="preserve">Regulation 9 repealed in Gazette 3 May 1996 p.1916.]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 w:name="_Toc160272751"/>
      <w:bookmarkStart w:id="26" w:name="_Toc160272765"/>
      <w:bookmarkStart w:id="27" w:name="_Toc160333238"/>
      <w:bookmarkStart w:id="28" w:name="_Toc170216325"/>
      <w:r>
        <w:t>Notes</w:t>
      </w:r>
      <w:bookmarkEnd w:id="25"/>
      <w:bookmarkEnd w:id="26"/>
      <w:bookmarkEnd w:id="27"/>
      <w:bookmarkEnd w:id="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Sandalwood Regulations 1993</w:t>
      </w:r>
      <w:r>
        <w:rPr>
          <w:snapToGrid w:val="0"/>
        </w:rPr>
        <w:t xml:space="preserve"> and includes the amendments made by the other written laws referred to in the following table.</w:t>
      </w:r>
    </w:p>
    <w:p>
      <w:pPr>
        <w:pStyle w:val="nHeading3"/>
        <w:rPr>
          <w:snapToGrid w:val="0"/>
        </w:rPr>
      </w:pPr>
      <w:bookmarkStart w:id="29" w:name="_Toc160333239"/>
      <w:bookmarkStart w:id="30" w:name="_Toc170216326"/>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Sandalwood Regulations 1993</w:t>
            </w:r>
          </w:p>
        </w:tc>
        <w:tc>
          <w:tcPr>
            <w:tcW w:w="1276" w:type="dxa"/>
          </w:tcPr>
          <w:p>
            <w:pPr>
              <w:pStyle w:val="nTable"/>
              <w:spacing w:after="40"/>
              <w:rPr>
                <w:sz w:val="19"/>
              </w:rPr>
            </w:pPr>
            <w:r>
              <w:rPr>
                <w:sz w:val="19"/>
              </w:rPr>
              <w:t>9 Feb 1993 p. 1100-02</w:t>
            </w:r>
          </w:p>
        </w:tc>
        <w:tc>
          <w:tcPr>
            <w:tcW w:w="2693" w:type="dxa"/>
          </w:tcPr>
          <w:p>
            <w:pPr>
              <w:pStyle w:val="nTable"/>
              <w:spacing w:after="40"/>
              <w:rPr>
                <w:sz w:val="19"/>
              </w:rPr>
            </w:pPr>
            <w:r>
              <w:rPr>
                <w:sz w:val="19"/>
              </w:rPr>
              <w:t>9 Feb 1993</w:t>
            </w:r>
          </w:p>
        </w:tc>
      </w:tr>
      <w:tr>
        <w:tc>
          <w:tcPr>
            <w:tcW w:w="3118" w:type="dxa"/>
          </w:tcPr>
          <w:p>
            <w:pPr>
              <w:pStyle w:val="nTable"/>
              <w:spacing w:after="40"/>
              <w:rPr>
                <w:i/>
                <w:sz w:val="19"/>
              </w:rPr>
            </w:pPr>
            <w:r>
              <w:rPr>
                <w:i/>
                <w:sz w:val="19"/>
              </w:rPr>
              <w:t>Sandalwood Amendment Regulations 1996</w:t>
            </w:r>
          </w:p>
        </w:tc>
        <w:tc>
          <w:tcPr>
            <w:tcW w:w="1276" w:type="dxa"/>
          </w:tcPr>
          <w:p>
            <w:pPr>
              <w:pStyle w:val="nTable"/>
              <w:spacing w:after="40"/>
              <w:rPr>
                <w:sz w:val="19"/>
              </w:rPr>
            </w:pPr>
            <w:r>
              <w:rPr>
                <w:sz w:val="19"/>
              </w:rPr>
              <w:t>3 May 1996 p. 1915-16</w:t>
            </w:r>
          </w:p>
        </w:tc>
        <w:tc>
          <w:tcPr>
            <w:tcW w:w="2693" w:type="dxa"/>
          </w:tcPr>
          <w:p>
            <w:pPr>
              <w:pStyle w:val="nTable"/>
              <w:spacing w:after="40"/>
              <w:rPr>
                <w:sz w:val="19"/>
              </w:rPr>
            </w:pPr>
            <w:r>
              <w:rPr>
                <w:sz w:val="19"/>
              </w:rPr>
              <w:t>3 May 1996</w:t>
            </w:r>
          </w:p>
        </w:tc>
      </w:tr>
      <w:tr>
        <w:tc>
          <w:tcPr>
            <w:tcW w:w="3118" w:type="dxa"/>
            <w:tcBorders>
              <w:bottom w:val="single" w:sz="8" w:space="0" w:color="auto"/>
            </w:tcBorders>
          </w:tcPr>
          <w:p>
            <w:pPr>
              <w:pStyle w:val="nTable"/>
              <w:spacing w:after="40"/>
              <w:rPr>
                <w:i/>
                <w:sz w:val="19"/>
              </w:rPr>
            </w:pPr>
            <w:bookmarkStart w:id="31" w:name="UpToHere"/>
            <w:r>
              <w:rPr>
                <w:i/>
                <w:sz w:val="19"/>
              </w:rPr>
              <w:t>Sandalwood Amendment Regulations 2007</w:t>
            </w:r>
          </w:p>
        </w:tc>
        <w:tc>
          <w:tcPr>
            <w:tcW w:w="1276" w:type="dxa"/>
            <w:tcBorders>
              <w:bottom w:val="single" w:sz="8" w:space="0" w:color="auto"/>
            </w:tcBorders>
          </w:tcPr>
          <w:p>
            <w:pPr>
              <w:pStyle w:val="nTable"/>
              <w:spacing w:after="40"/>
              <w:rPr>
                <w:sz w:val="19"/>
              </w:rPr>
            </w:pPr>
            <w:r>
              <w:rPr>
                <w:sz w:val="19"/>
              </w:rPr>
              <w:t>27 Feb 2007 p. 626-7</w:t>
            </w:r>
          </w:p>
        </w:tc>
        <w:tc>
          <w:tcPr>
            <w:tcW w:w="2693" w:type="dxa"/>
            <w:tcBorders>
              <w:bottom w:val="single" w:sz="8" w:space="0" w:color="auto"/>
            </w:tcBorders>
          </w:tcPr>
          <w:p>
            <w:pPr>
              <w:pStyle w:val="nTable"/>
              <w:spacing w:after="40"/>
              <w:rPr>
                <w:sz w:val="19"/>
              </w:rPr>
            </w:pPr>
            <w:r>
              <w:rPr>
                <w:sz w:val="19"/>
              </w:rPr>
              <w:t>27 Feb 2007</w:t>
            </w:r>
          </w:p>
        </w:tc>
      </w:tr>
    </w:tbl>
    <w:bookmarkEnd w:id="31"/>
    <w:p>
      <w:pPr>
        <w:pStyle w:val="nSubsection"/>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Sandalwood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Sandalwood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Sandalwood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r>
            <w:fldChar w:fldCharType="begin"/>
          </w:r>
          <w:r>
            <w:instrText xml:space="preserve"> styleref CharSectno </w:instrText>
          </w:r>
          <w:r>
            <w:fldChar w:fldCharType="end"/>
          </w:r>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Sandalwood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Sandalwood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Sandalwood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B04C6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79445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951"/>
    <w:docVar w:name="WAFER_20151209142951" w:val="RemoveTrackChanges"/>
    <w:docVar w:name="WAFER_20151209142951_GUID" w:val="056c685e-7959-49aa-ae39-5e9e71ccb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1419</Words>
  <Characters>6897</Characters>
  <Application>Microsoft Office Word</Application>
  <DocSecurity>0</DocSecurity>
  <Lines>222</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1993 - 00-b0-04</dc:title>
  <dc:subject/>
  <dc:creator/>
  <cp:keywords/>
  <dc:description/>
  <cp:lastModifiedBy>svcMRProcess</cp:lastModifiedBy>
  <cp:revision>4</cp:revision>
  <cp:lastPrinted>1998-12-14T23:49:00Z</cp:lastPrinted>
  <dcterms:created xsi:type="dcterms:W3CDTF">2015-12-11T03:31:00Z</dcterms:created>
  <dcterms:modified xsi:type="dcterms:W3CDTF">2015-12-11T03:31:00Z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CommencementDate">
    <vt:lpwstr>20070227</vt:lpwstr>
  </property>
  <property fmtid="{D5CDD505-2E9C-101B-9397-08002B2CF9AE}" pid="4" name="DocumentType">
    <vt:lpwstr>Reg</vt:lpwstr>
  </property>
  <property fmtid="{D5CDD505-2E9C-101B-9397-08002B2CF9AE}" pid="5" name="OwlsUID">
    <vt:i4>4766</vt:i4>
  </property>
  <property fmtid="{D5CDD505-2E9C-101B-9397-08002B2CF9AE}" pid="6" name="AsAtDate">
    <vt:lpwstr>27 Feb 2007</vt:lpwstr>
  </property>
  <property fmtid="{D5CDD505-2E9C-101B-9397-08002B2CF9AE}" pid="7" name="Suffix">
    <vt:lpwstr>00-b0-04</vt:lpwstr>
  </property>
</Properties>
</file>