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Security and Related Activities (Control) Regulations 1997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Security and Related Activities (Control) Regulations 1997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_Toc120077202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_Toc120077203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_Toc120077204 \h </w:instrText>
      </w:r>
      <w:r>
        <w:fldChar w:fldCharType="separate"/>
      </w:r>
      <w:r>
        <w:t>1</w:t>
      </w:r>
      <w:r>
        <w:fldChar w:fldCharType="end"/>
      </w:r>
    </w:p>
    <w:p>
      <w:pPr>
        <w:pStyle w:val="TOC2"/>
        <w:tabs>
          <w:tab w:val="right" w:leader="dot" w:pos="7086"/>
        </w:tabs>
        <w:rPr>
          <w:b w:val="0"/>
          <w:sz w:val="24"/>
          <w:szCs w:val="24"/>
        </w:rPr>
      </w:pPr>
      <w:r>
        <w:rPr>
          <w:szCs w:val="30"/>
        </w:rPr>
        <w:t>Part 2 — Exemptions</w:t>
      </w:r>
    </w:p>
    <w:p>
      <w:pPr>
        <w:pStyle w:val="TOC8"/>
        <w:rPr>
          <w:sz w:val="24"/>
          <w:szCs w:val="24"/>
        </w:rPr>
      </w:pPr>
      <w:r>
        <w:rPr>
          <w:szCs w:val="24"/>
        </w:rPr>
        <w:t>4</w:t>
      </w:r>
      <w:r>
        <w:rPr>
          <w:snapToGrid w:val="0"/>
          <w:szCs w:val="24"/>
        </w:rPr>
        <w:t>.</w:t>
      </w:r>
      <w:r>
        <w:rPr>
          <w:snapToGrid w:val="0"/>
          <w:szCs w:val="24"/>
        </w:rPr>
        <w:tab/>
        <w:t>Exemptions from section 37 (crowd controller’s licence)</w:t>
      </w:r>
      <w:r>
        <w:tab/>
      </w:r>
      <w:r>
        <w:fldChar w:fldCharType="begin"/>
      </w:r>
      <w:r>
        <w:instrText xml:space="preserve"> PAGEREF _Toc120077206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Exemption for certain casino employees</w:t>
      </w:r>
      <w:r>
        <w:tab/>
      </w:r>
      <w:r>
        <w:fldChar w:fldCharType="begin"/>
      </w:r>
      <w:r>
        <w:instrText xml:space="preserve"> PAGEREF _Toc120077207 \h </w:instrText>
      </w:r>
      <w:r>
        <w:fldChar w:fldCharType="separate"/>
      </w:r>
      <w:r>
        <w:t>3</w:t>
      </w:r>
      <w:r>
        <w:fldChar w:fldCharType="end"/>
      </w:r>
    </w:p>
    <w:p>
      <w:pPr>
        <w:pStyle w:val="TOC8"/>
        <w:rPr>
          <w:sz w:val="24"/>
          <w:szCs w:val="24"/>
        </w:rPr>
      </w:pPr>
      <w:r>
        <w:rPr>
          <w:szCs w:val="24"/>
        </w:rPr>
        <w:t>5A.</w:t>
      </w:r>
      <w:r>
        <w:rPr>
          <w:szCs w:val="24"/>
        </w:rPr>
        <w:tab/>
        <w:t xml:space="preserve">Exemptions in relation to </w:t>
      </w:r>
      <w:r>
        <w:rPr>
          <w:i/>
          <w:szCs w:val="24"/>
        </w:rPr>
        <w:t>Court Security and Custodial Services Act 1999</w:t>
      </w:r>
      <w:r>
        <w:tab/>
      </w:r>
      <w:r>
        <w:fldChar w:fldCharType="begin"/>
      </w:r>
      <w:r>
        <w:instrText xml:space="preserve"> PAGEREF _Toc120077208 \h </w:instrText>
      </w:r>
      <w:r>
        <w:fldChar w:fldCharType="separate"/>
      </w:r>
      <w:r>
        <w:t>4</w:t>
      </w:r>
      <w:r>
        <w:fldChar w:fldCharType="end"/>
      </w:r>
    </w:p>
    <w:p>
      <w:pPr>
        <w:pStyle w:val="TOC8"/>
        <w:rPr>
          <w:sz w:val="24"/>
          <w:szCs w:val="24"/>
        </w:rPr>
      </w:pPr>
      <w:r>
        <w:rPr>
          <w:szCs w:val="24"/>
        </w:rPr>
        <w:t>5B.</w:t>
      </w:r>
      <w:r>
        <w:rPr>
          <w:szCs w:val="24"/>
        </w:rPr>
        <w:tab/>
        <w:t xml:space="preserve">Exemption in relation to contracts under the </w:t>
      </w:r>
      <w:r>
        <w:rPr>
          <w:i/>
          <w:szCs w:val="24"/>
        </w:rPr>
        <w:t>Prisons Act 1981</w:t>
      </w:r>
      <w:r>
        <w:rPr>
          <w:szCs w:val="24"/>
        </w:rPr>
        <w:t xml:space="preserve"> Part IIIA</w:t>
      </w:r>
      <w:r>
        <w:tab/>
      </w:r>
      <w:r>
        <w:fldChar w:fldCharType="begin"/>
      </w:r>
      <w:r>
        <w:instrText xml:space="preserve"> PAGEREF _Toc120077209 \h </w:instrText>
      </w:r>
      <w:r>
        <w:fldChar w:fldCharType="separate"/>
      </w:r>
      <w:r>
        <w:t>4</w:t>
      </w:r>
      <w:r>
        <w:fldChar w:fldCharType="end"/>
      </w:r>
    </w:p>
    <w:p>
      <w:pPr>
        <w:pStyle w:val="TOC2"/>
        <w:tabs>
          <w:tab w:val="right" w:leader="dot" w:pos="7086"/>
        </w:tabs>
        <w:rPr>
          <w:b w:val="0"/>
          <w:sz w:val="24"/>
          <w:szCs w:val="24"/>
        </w:rPr>
      </w:pPr>
      <w:r>
        <w:rPr>
          <w:szCs w:val="30"/>
        </w:rPr>
        <w:t>Part 3 — Security activities</w:t>
      </w:r>
    </w:p>
    <w:p>
      <w:pPr>
        <w:pStyle w:val="TOC8"/>
        <w:rPr>
          <w:sz w:val="24"/>
          <w:szCs w:val="24"/>
        </w:rPr>
      </w:pPr>
      <w:r>
        <w:rPr>
          <w:szCs w:val="24"/>
        </w:rPr>
        <w:t>6</w:t>
      </w:r>
      <w:r>
        <w:rPr>
          <w:snapToGrid w:val="0"/>
          <w:szCs w:val="24"/>
        </w:rPr>
        <w:t>.</w:t>
      </w:r>
      <w:r>
        <w:rPr>
          <w:snapToGrid w:val="0"/>
          <w:szCs w:val="24"/>
        </w:rPr>
        <w:tab/>
        <w:t>Locks prescribed for section 14</w:t>
      </w:r>
      <w:r>
        <w:tab/>
      </w:r>
      <w:r>
        <w:fldChar w:fldCharType="begin"/>
      </w:r>
      <w:r>
        <w:instrText xml:space="preserve"> PAGEREF _Toc120077211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Security doors prescribed for section 14</w:t>
      </w:r>
      <w:r>
        <w:tab/>
      </w:r>
      <w:r>
        <w:fldChar w:fldCharType="begin"/>
      </w:r>
      <w:r>
        <w:instrText xml:space="preserve"> PAGEREF _Toc120077212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Equipment or devices prescribed for section 14</w:t>
      </w:r>
      <w:r>
        <w:tab/>
      </w:r>
      <w:r>
        <w:fldChar w:fldCharType="begin"/>
      </w:r>
      <w:r>
        <w:instrText xml:space="preserve"> PAGEREF _Toc120077213 \h </w:instrText>
      </w:r>
      <w:r>
        <w:fldChar w:fldCharType="separate"/>
      </w:r>
      <w:r>
        <w:t>6</w:t>
      </w:r>
      <w:r>
        <w:fldChar w:fldCharType="end"/>
      </w:r>
    </w:p>
    <w:p>
      <w:pPr>
        <w:pStyle w:val="TOC8"/>
        <w:rPr>
          <w:sz w:val="24"/>
          <w:szCs w:val="24"/>
        </w:rPr>
      </w:pPr>
      <w:r>
        <w:rPr>
          <w:szCs w:val="24"/>
        </w:rPr>
        <w:t>9.</w:t>
      </w:r>
      <w:r>
        <w:rPr>
          <w:szCs w:val="24"/>
        </w:rPr>
        <w:tab/>
        <w:t>Activities prescribed for section 24</w:t>
      </w:r>
      <w:r>
        <w:tab/>
      </w:r>
      <w:r>
        <w:fldChar w:fldCharType="begin"/>
      </w:r>
      <w:r>
        <w:instrText xml:space="preserve"> PAGEREF _Toc120077214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Application for endorsement under section 24</w:t>
      </w:r>
      <w:r>
        <w:tab/>
      </w:r>
      <w:r>
        <w:fldChar w:fldCharType="begin"/>
      </w:r>
      <w:r>
        <w:instrText xml:space="preserve"> PAGEREF _Toc120077215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Annual medical examination prescribed for section 24</w:t>
      </w:r>
      <w:r>
        <w:tab/>
      </w:r>
      <w:r>
        <w:fldChar w:fldCharType="begin"/>
      </w:r>
      <w:r>
        <w:instrText xml:space="preserve"> PAGEREF _Toc120077216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Application for permit under section 25</w:t>
      </w:r>
      <w:r>
        <w:tab/>
      </w:r>
      <w:r>
        <w:fldChar w:fldCharType="begin"/>
      </w:r>
      <w:r>
        <w:instrText xml:space="preserve"> PAGEREF _Toc120077217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Application for endorsement under section 26</w:t>
      </w:r>
      <w:r>
        <w:tab/>
      </w:r>
      <w:r>
        <w:fldChar w:fldCharType="begin"/>
      </w:r>
      <w:r>
        <w:instrText xml:space="preserve"> PAGEREF _Toc120077218 \h </w:instrText>
      </w:r>
      <w:r>
        <w:fldChar w:fldCharType="separate"/>
      </w:r>
      <w:r>
        <w:t>8</w:t>
      </w:r>
      <w:r>
        <w:fldChar w:fldCharType="end"/>
      </w:r>
    </w:p>
    <w:p>
      <w:pPr>
        <w:pStyle w:val="TOC2"/>
        <w:tabs>
          <w:tab w:val="right" w:leader="dot" w:pos="7086"/>
        </w:tabs>
        <w:rPr>
          <w:b w:val="0"/>
          <w:sz w:val="24"/>
          <w:szCs w:val="24"/>
        </w:rPr>
      </w:pPr>
      <w:r>
        <w:rPr>
          <w:szCs w:val="30"/>
        </w:rPr>
        <w:t>Part 3A — Inquiry activities</w:t>
      </w:r>
    </w:p>
    <w:p>
      <w:pPr>
        <w:pStyle w:val="TOC8"/>
        <w:rPr>
          <w:sz w:val="24"/>
          <w:szCs w:val="24"/>
        </w:rPr>
      </w:pPr>
      <w:r>
        <w:rPr>
          <w:szCs w:val="24"/>
        </w:rPr>
        <w:t>13A.</w:t>
      </w:r>
      <w:r>
        <w:rPr>
          <w:szCs w:val="24"/>
        </w:rPr>
        <w:tab/>
        <w:t>Definition of “</w:t>
      </w:r>
      <w:r>
        <w:rPr>
          <w:bCs/>
          <w:szCs w:val="24"/>
        </w:rPr>
        <w:t>investigator</w:t>
      </w:r>
      <w:r>
        <w:rPr>
          <w:szCs w:val="24"/>
        </w:rPr>
        <w:t>” (section 28)</w:t>
      </w:r>
      <w:r>
        <w:tab/>
      </w:r>
      <w:r>
        <w:fldChar w:fldCharType="begin"/>
      </w:r>
      <w:r>
        <w:instrText xml:space="preserve"> PAGEREF _Toc120077220 \h </w:instrText>
      </w:r>
      <w:r>
        <w:fldChar w:fldCharType="separate"/>
      </w:r>
      <w:r>
        <w:t>9</w:t>
      </w:r>
      <w:r>
        <w:fldChar w:fldCharType="end"/>
      </w:r>
    </w:p>
    <w:p>
      <w:pPr>
        <w:pStyle w:val="TOC2"/>
        <w:tabs>
          <w:tab w:val="right" w:leader="dot" w:pos="7086"/>
        </w:tabs>
        <w:rPr>
          <w:b w:val="0"/>
          <w:sz w:val="24"/>
          <w:szCs w:val="24"/>
        </w:rPr>
      </w:pPr>
      <w:r>
        <w:rPr>
          <w:szCs w:val="30"/>
        </w:rPr>
        <w:t>Part 4 — Licensing procedures</w:t>
      </w:r>
    </w:p>
    <w:p>
      <w:pPr>
        <w:pStyle w:val="TOC8"/>
        <w:rPr>
          <w:sz w:val="24"/>
          <w:szCs w:val="24"/>
        </w:rPr>
      </w:pPr>
      <w:r>
        <w:rPr>
          <w:szCs w:val="24"/>
        </w:rPr>
        <w:t>14</w:t>
      </w:r>
      <w:r>
        <w:rPr>
          <w:snapToGrid w:val="0"/>
          <w:szCs w:val="24"/>
        </w:rPr>
        <w:t>.</w:t>
      </w:r>
      <w:r>
        <w:rPr>
          <w:snapToGrid w:val="0"/>
          <w:szCs w:val="24"/>
        </w:rPr>
        <w:tab/>
        <w:t>Application for the issue of a licence</w:t>
      </w:r>
      <w:r>
        <w:tab/>
      </w:r>
      <w:r>
        <w:fldChar w:fldCharType="begin"/>
      </w:r>
      <w:r>
        <w:instrText xml:space="preserve"> PAGEREF _Toc120077222 \h </w:instrText>
      </w:r>
      <w:r>
        <w:fldChar w:fldCharType="separate"/>
      </w:r>
      <w:r>
        <w:t>10</w:t>
      </w:r>
      <w:r>
        <w:fldChar w:fldCharType="end"/>
      </w:r>
    </w:p>
    <w:p>
      <w:pPr>
        <w:pStyle w:val="TOC8"/>
        <w:rPr>
          <w:sz w:val="24"/>
          <w:szCs w:val="24"/>
        </w:rPr>
      </w:pPr>
      <w:r>
        <w:rPr>
          <w:szCs w:val="24"/>
        </w:rPr>
        <w:t>15</w:t>
      </w:r>
      <w:r>
        <w:rPr>
          <w:rFonts w:ascii="Times" w:hAnsi="Times"/>
          <w:spacing w:val="-4"/>
          <w:szCs w:val="24"/>
        </w:rPr>
        <w:t>.</w:t>
      </w:r>
      <w:r>
        <w:rPr>
          <w:rFonts w:ascii="Times" w:hAnsi="Times"/>
          <w:spacing w:val="-4"/>
          <w:szCs w:val="24"/>
        </w:rPr>
        <w:tab/>
        <w:t>Medical examination prescribed for security officers with authority to be in possession of a firearm</w:t>
      </w:r>
      <w:r>
        <w:tab/>
      </w:r>
      <w:r>
        <w:fldChar w:fldCharType="begin"/>
      </w:r>
      <w:r>
        <w:instrText xml:space="preserve"> PAGEREF _Toc120077223 \h </w:instrText>
      </w:r>
      <w:r>
        <w:fldChar w:fldCharType="separate"/>
      </w:r>
      <w:r>
        <w:t>10</w:t>
      </w:r>
      <w:r>
        <w:fldChar w:fldCharType="end"/>
      </w:r>
    </w:p>
    <w:p>
      <w:pPr>
        <w:pStyle w:val="TOC8"/>
        <w:rPr>
          <w:sz w:val="24"/>
          <w:szCs w:val="24"/>
        </w:rPr>
      </w:pPr>
      <w:r>
        <w:rPr>
          <w:szCs w:val="24"/>
        </w:rPr>
        <w:t>16</w:t>
      </w:r>
      <w:r>
        <w:rPr>
          <w:snapToGrid w:val="0"/>
          <w:szCs w:val="24"/>
        </w:rPr>
        <w:t>.</w:t>
      </w:r>
      <w:r>
        <w:rPr>
          <w:snapToGrid w:val="0"/>
          <w:szCs w:val="24"/>
        </w:rPr>
        <w:tab/>
        <w:t>Training courses prescribed for sections 47, 52 and 53</w:t>
      </w:r>
      <w:r>
        <w:tab/>
      </w:r>
      <w:r>
        <w:fldChar w:fldCharType="begin"/>
      </w:r>
      <w:r>
        <w:instrText xml:space="preserve"> PAGEREF _Toc120077224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Examinations prescribed for sections 47 and 52</w:t>
      </w:r>
      <w:r>
        <w:tab/>
      </w:r>
      <w:r>
        <w:fldChar w:fldCharType="begin"/>
      </w:r>
      <w:r>
        <w:instrText xml:space="preserve"> PAGEREF _Toc120077225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Other evidence prescribed for sections 47 and 52</w:t>
      </w:r>
      <w:r>
        <w:tab/>
      </w:r>
      <w:r>
        <w:fldChar w:fldCharType="begin"/>
      </w:r>
      <w:r>
        <w:instrText xml:space="preserve"> PAGEREF _Toc120077226 \h </w:instrText>
      </w:r>
      <w:r>
        <w:fldChar w:fldCharType="separate"/>
      </w:r>
      <w:r>
        <w:t>13</w:t>
      </w:r>
      <w:r>
        <w:fldChar w:fldCharType="end"/>
      </w:r>
    </w:p>
    <w:p>
      <w:pPr>
        <w:pStyle w:val="TOC8"/>
        <w:rPr>
          <w:sz w:val="24"/>
          <w:szCs w:val="24"/>
        </w:rPr>
      </w:pPr>
      <w:r>
        <w:rPr>
          <w:szCs w:val="24"/>
        </w:rPr>
        <w:t>19.</w:t>
      </w:r>
      <w:r>
        <w:rPr>
          <w:szCs w:val="24"/>
        </w:rPr>
        <w:tab/>
        <w:t>Application for renewal of licence</w:t>
      </w:r>
      <w:r>
        <w:tab/>
      </w:r>
      <w:r>
        <w:fldChar w:fldCharType="begin"/>
      </w:r>
      <w:r>
        <w:instrText xml:space="preserve"> PAGEREF _Toc120077227 \h </w:instrText>
      </w:r>
      <w:r>
        <w:fldChar w:fldCharType="separate"/>
      </w:r>
      <w:r>
        <w:t>13</w:t>
      </w:r>
      <w:r>
        <w:fldChar w:fldCharType="end"/>
      </w:r>
    </w:p>
    <w:p>
      <w:pPr>
        <w:pStyle w:val="TOC8"/>
        <w:rPr>
          <w:sz w:val="24"/>
          <w:szCs w:val="24"/>
        </w:rPr>
      </w:pPr>
      <w:r>
        <w:rPr>
          <w:szCs w:val="24"/>
        </w:rPr>
        <w:t>20</w:t>
      </w:r>
      <w:r>
        <w:rPr>
          <w:snapToGrid w:val="0"/>
          <w:szCs w:val="24"/>
        </w:rPr>
        <w:t>.</w:t>
      </w:r>
      <w:r>
        <w:rPr>
          <w:snapToGrid w:val="0"/>
          <w:szCs w:val="24"/>
        </w:rPr>
        <w:tab/>
        <w:t>Material to support application for renewal of licence</w:t>
      </w:r>
      <w:r>
        <w:tab/>
      </w:r>
      <w:r>
        <w:fldChar w:fldCharType="begin"/>
      </w:r>
      <w:r>
        <w:instrText xml:space="preserve"> PAGEREF _Toc120077228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Prescribed conditions and restrictions on licences</w:t>
      </w:r>
      <w:r>
        <w:tab/>
      </w:r>
      <w:r>
        <w:fldChar w:fldCharType="begin"/>
      </w:r>
      <w:r>
        <w:instrText xml:space="preserve"> PAGEREF _Toc120077229 \h </w:instrText>
      </w:r>
      <w:r>
        <w:fldChar w:fldCharType="separate"/>
      </w:r>
      <w:r>
        <w:t>14</w:t>
      </w:r>
      <w:r>
        <w:fldChar w:fldCharType="end"/>
      </w:r>
    </w:p>
    <w:p>
      <w:pPr>
        <w:pStyle w:val="TOC2"/>
        <w:tabs>
          <w:tab w:val="right" w:leader="dot" w:pos="7086"/>
        </w:tabs>
        <w:rPr>
          <w:b w:val="0"/>
          <w:sz w:val="24"/>
          <w:szCs w:val="24"/>
        </w:rPr>
      </w:pPr>
      <w:r>
        <w:rPr>
          <w:szCs w:val="30"/>
        </w:rPr>
        <w:t>Part 6 — Records</w:t>
      </w:r>
    </w:p>
    <w:p>
      <w:pPr>
        <w:pStyle w:val="TOC8"/>
        <w:rPr>
          <w:sz w:val="24"/>
          <w:szCs w:val="24"/>
        </w:rPr>
      </w:pPr>
      <w:r>
        <w:rPr>
          <w:szCs w:val="24"/>
        </w:rPr>
        <w:t>35</w:t>
      </w:r>
      <w:r>
        <w:rPr>
          <w:snapToGrid w:val="0"/>
          <w:szCs w:val="24"/>
        </w:rPr>
        <w:t>.</w:t>
      </w:r>
      <w:r>
        <w:rPr>
          <w:snapToGrid w:val="0"/>
          <w:szCs w:val="24"/>
        </w:rPr>
        <w:tab/>
        <w:t>Prescribed records for a security agent</w:t>
      </w:r>
      <w:r>
        <w:tab/>
      </w:r>
      <w:r>
        <w:fldChar w:fldCharType="begin"/>
      </w:r>
      <w:r>
        <w:instrText xml:space="preserve"> PAGEREF _Toc120077231 \h </w:instrText>
      </w:r>
      <w:r>
        <w:fldChar w:fldCharType="separate"/>
      </w:r>
      <w:r>
        <w:t>15</w:t>
      </w:r>
      <w:r>
        <w:fldChar w:fldCharType="end"/>
      </w:r>
    </w:p>
    <w:p>
      <w:pPr>
        <w:pStyle w:val="TOC8"/>
        <w:rPr>
          <w:sz w:val="24"/>
          <w:szCs w:val="24"/>
        </w:rPr>
      </w:pPr>
      <w:r>
        <w:rPr>
          <w:szCs w:val="24"/>
        </w:rPr>
        <w:t>36</w:t>
      </w:r>
      <w:r>
        <w:rPr>
          <w:snapToGrid w:val="0"/>
          <w:szCs w:val="24"/>
        </w:rPr>
        <w:t>.</w:t>
      </w:r>
      <w:r>
        <w:rPr>
          <w:snapToGrid w:val="0"/>
          <w:szCs w:val="24"/>
        </w:rPr>
        <w:tab/>
        <w:t>Firearms register</w:t>
      </w:r>
      <w:r>
        <w:tab/>
      </w:r>
      <w:r>
        <w:fldChar w:fldCharType="begin"/>
      </w:r>
      <w:r>
        <w:instrText xml:space="preserve"> PAGEREF _Toc120077232 \h </w:instrText>
      </w:r>
      <w:r>
        <w:fldChar w:fldCharType="separate"/>
      </w:r>
      <w:r>
        <w:t>15</w:t>
      </w:r>
      <w:r>
        <w:fldChar w:fldCharType="end"/>
      </w:r>
    </w:p>
    <w:p>
      <w:pPr>
        <w:pStyle w:val="TOC8"/>
        <w:rPr>
          <w:sz w:val="24"/>
          <w:szCs w:val="24"/>
        </w:rPr>
      </w:pPr>
      <w:r>
        <w:rPr>
          <w:szCs w:val="24"/>
        </w:rPr>
        <w:t>37</w:t>
      </w:r>
      <w:r>
        <w:rPr>
          <w:snapToGrid w:val="0"/>
          <w:szCs w:val="24"/>
        </w:rPr>
        <w:t>.</w:t>
      </w:r>
      <w:r>
        <w:rPr>
          <w:snapToGrid w:val="0"/>
          <w:szCs w:val="24"/>
        </w:rPr>
        <w:tab/>
        <w:t>Alarm surveillance register</w:t>
      </w:r>
      <w:r>
        <w:tab/>
      </w:r>
      <w:r>
        <w:fldChar w:fldCharType="begin"/>
      </w:r>
      <w:r>
        <w:instrText xml:space="preserve"> PAGEREF _Toc120077233 \h </w:instrText>
      </w:r>
      <w:r>
        <w:fldChar w:fldCharType="separate"/>
      </w:r>
      <w:r>
        <w:t>16</w:t>
      </w:r>
      <w:r>
        <w:fldChar w:fldCharType="end"/>
      </w:r>
    </w:p>
    <w:p>
      <w:pPr>
        <w:pStyle w:val="TOC8"/>
        <w:rPr>
          <w:sz w:val="24"/>
          <w:szCs w:val="24"/>
        </w:rPr>
      </w:pPr>
      <w:r>
        <w:rPr>
          <w:szCs w:val="24"/>
        </w:rPr>
        <w:t>38</w:t>
      </w:r>
      <w:r>
        <w:rPr>
          <w:snapToGrid w:val="0"/>
          <w:szCs w:val="24"/>
        </w:rPr>
        <w:t>.</w:t>
      </w:r>
      <w:r>
        <w:rPr>
          <w:snapToGrid w:val="0"/>
          <w:szCs w:val="24"/>
        </w:rPr>
        <w:tab/>
        <w:t>General records of security agent</w:t>
      </w:r>
      <w:r>
        <w:tab/>
      </w:r>
      <w:r>
        <w:fldChar w:fldCharType="begin"/>
      </w:r>
      <w:r>
        <w:instrText xml:space="preserve"> PAGEREF _Toc120077234 \h </w:instrText>
      </w:r>
      <w:r>
        <w:fldChar w:fldCharType="separate"/>
      </w:r>
      <w:r>
        <w:t>18</w:t>
      </w:r>
      <w:r>
        <w:fldChar w:fldCharType="end"/>
      </w:r>
    </w:p>
    <w:p>
      <w:pPr>
        <w:pStyle w:val="TOC8"/>
        <w:rPr>
          <w:sz w:val="24"/>
          <w:szCs w:val="24"/>
        </w:rPr>
      </w:pPr>
      <w:r>
        <w:rPr>
          <w:szCs w:val="24"/>
        </w:rPr>
        <w:t>39</w:t>
      </w:r>
      <w:r>
        <w:rPr>
          <w:snapToGrid w:val="0"/>
          <w:szCs w:val="24"/>
        </w:rPr>
        <w:t>.</w:t>
      </w:r>
      <w:r>
        <w:rPr>
          <w:snapToGrid w:val="0"/>
          <w:szCs w:val="24"/>
        </w:rPr>
        <w:tab/>
        <w:t>Prescribed records for a crowd control agent</w:t>
      </w:r>
      <w:r>
        <w:tab/>
      </w:r>
      <w:r>
        <w:fldChar w:fldCharType="begin"/>
      </w:r>
      <w:r>
        <w:instrText xml:space="preserve"> PAGEREF _Toc120077235 \h </w:instrText>
      </w:r>
      <w:r>
        <w:fldChar w:fldCharType="separate"/>
      </w:r>
      <w:r>
        <w:t>18</w:t>
      </w:r>
      <w:r>
        <w:fldChar w:fldCharType="end"/>
      </w:r>
    </w:p>
    <w:p>
      <w:pPr>
        <w:pStyle w:val="TOC8"/>
        <w:rPr>
          <w:sz w:val="24"/>
          <w:szCs w:val="24"/>
        </w:rPr>
      </w:pPr>
      <w:r>
        <w:rPr>
          <w:szCs w:val="24"/>
        </w:rPr>
        <w:t>40</w:t>
      </w:r>
      <w:r>
        <w:rPr>
          <w:snapToGrid w:val="0"/>
          <w:szCs w:val="24"/>
        </w:rPr>
        <w:t>.</w:t>
      </w:r>
      <w:r>
        <w:rPr>
          <w:snapToGrid w:val="0"/>
          <w:szCs w:val="24"/>
        </w:rPr>
        <w:tab/>
        <w:t>Incident register</w:t>
      </w:r>
      <w:r>
        <w:tab/>
      </w:r>
      <w:r>
        <w:fldChar w:fldCharType="begin"/>
      </w:r>
      <w:r>
        <w:instrText xml:space="preserve"> PAGEREF _Toc120077236 \h </w:instrText>
      </w:r>
      <w:r>
        <w:fldChar w:fldCharType="separate"/>
      </w:r>
      <w:r>
        <w:t>19</w:t>
      </w:r>
      <w:r>
        <w:fldChar w:fldCharType="end"/>
      </w:r>
    </w:p>
    <w:p>
      <w:pPr>
        <w:pStyle w:val="TOC8"/>
        <w:rPr>
          <w:sz w:val="24"/>
          <w:szCs w:val="24"/>
        </w:rPr>
      </w:pPr>
      <w:r>
        <w:rPr>
          <w:szCs w:val="24"/>
        </w:rPr>
        <w:t>41</w:t>
      </w:r>
      <w:r>
        <w:rPr>
          <w:snapToGrid w:val="0"/>
          <w:szCs w:val="24"/>
        </w:rPr>
        <w:t>.</w:t>
      </w:r>
      <w:r>
        <w:rPr>
          <w:snapToGrid w:val="0"/>
          <w:szCs w:val="24"/>
        </w:rPr>
        <w:tab/>
        <w:t>General records of crowd control agent</w:t>
      </w:r>
      <w:r>
        <w:tab/>
      </w:r>
      <w:r>
        <w:fldChar w:fldCharType="begin"/>
      </w:r>
      <w:r>
        <w:instrText xml:space="preserve"> PAGEREF _Toc120077237 \h </w:instrText>
      </w:r>
      <w:r>
        <w:fldChar w:fldCharType="separate"/>
      </w:r>
      <w:r>
        <w:t>20</w:t>
      </w:r>
      <w:r>
        <w:fldChar w:fldCharType="end"/>
      </w:r>
    </w:p>
    <w:p>
      <w:pPr>
        <w:pStyle w:val="TOC8"/>
        <w:rPr>
          <w:sz w:val="24"/>
          <w:szCs w:val="24"/>
        </w:rPr>
      </w:pPr>
      <w:r>
        <w:rPr>
          <w:szCs w:val="24"/>
        </w:rPr>
        <w:t>42</w:t>
      </w:r>
      <w:r>
        <w:rPr>
          <w:snapToGrid w:val="0"/>
          <w:szCs w:val="24"/>
        </w:rPr>
        <w:t>.</w:t>
      </w:r>
      <w:r>
        <w:rPr>
          <w:snapToGrid w:val="0"/>
          <w:szCs w:val="24"/>
        </w:rPr>
        <w:tab/>
        <w:t>Records to be kept by inquiry agent</w:t>
      </w:r>
      <w:r>
        <w:tab/>
      </w:r>
      <w:r>
        <w:fldChar w:fldCharType="begin"/>
      </w:r>
      <w:r>
        <w:instrText xml:space="preserve"> PAGEREF _Toc120077238 \h </w:instrText>
      </w:r>
      <w:r>
        <w:fldChar w:fldCharType="separate"/>
      </w:r>
      <w:r>
        <w:t>21</w:t>
      </w:r>
      <w:r>
        <w:fldChar w:fldCharType="end"/>
      </w:r>
    </w:p>
    <w:p>
      <w:pPr>
        <w:pStyle w:val="TOC8"/>
        <w:rPr>
          <w:sz w:val="24"/>
          <w:szCs w:val="24"/>
        </w:rPr>
      </w:pPr>
      <w:r>
        <w:rPr>
          <w:szCs w:val="24"/>
        </w:rPr>
        <w:t>43</w:t>
      </w:r>
      <w:r>
        <w:rPr>
          <w:snapToGrid w:val="0"/>
          <w:szCs w:val="24"/>
        </w:rPr>
        <w:t>.</w:t>
      </w:r>
      <w:r>
        <w:rPr>
          <w:snapToGrid w:val="0"/>
          <w:szCs w:val="24"/>
        </w:rPr>
        <w:tab/>
        <w:t>Records to be kept by person who engages a crowd control agent</w:t>
      </w:r>
      <w:r>
        <w:tab/>
      </w:r>
      <w:r>
        <w:fldChar w:fldCharType="begin"/>
      </w:r>
      <w:r>
        <w:instrText xml:space="preserve"> PAGEREF _Toc120077239 \h </w:instrText>
      </w:r>
      <w:r>
        <w:fldChar w:fldCharType="separate"/>
      </w:r>
      <w:r>
        <w:t>21</w:t>
      </w:r>
      <w:r>
        <w:fldChar w:fldCharType="end"/>
      </w:r>
    </w:p>
    <w:p>
      <w:pPr>
        <w:pStyle w:val="TOC2"/>
        <w:tabs>
          <w:tab w:val="right" w:leader="dot" w:pos="7086"/>
        </w:tabs>
        <w:rPr>
          <w:b w:val="0"/>
          <w:sz w:val="24"/>
          <w:szCs w:val="24"/>
        </w:rPr>
      </w:pPr>
      <w:r>
        <w:rPr>
          <w:szCs w:val="30"/>
        </w:rPr>
        <w:t>Part 7 — Drug testing</w:t>
      </w:r>
    </w:p>
    <w:p>
      <w:pPr>
        <w:pStyle w:val="TOC8"/>
        <w:rPr>
          <w:sz w:val="24"/>
          <w:szCs w:val="24"/>
        </w:rPr>
      </w:pPr>
      <w:r>
        <w:rPr>
          <w:szCs w:val="24"/>
        </w:rPr>
        <w:t>44</w:t>
      </w:r>
      <w:r>
        <w:rPr>
          <w:snapToGrid w:val="0"/>
          <w:szCs w:val="24"/>
        </w:rPr>
        <w:t>.</w:t>
      </w:r>
      <w:r>
        <w:rPr>
          <w:snapToGrid w:val="0"/>
          <w:szCs w:val="24"/>
        </w:rPr>
        <w:tab/>
        <w:t>Definitions</w:t>
      </w:r>
      <w:r>
        <w:tab/>
      </w:r>
      <w:r>
        <w:fldChar w:fldCharType="begin"/>
      </w:r>
      <w:r>
        <w:instrText xml:space="preserve"> PAGEREF _Toc120077241 \h </w:instrText>
      </w:r>
      <w:r>
        <w:fldChar w:fldCharType="separate"/>
      </w:r>
      <w:r>
        <w:t>22</w:t>
      </w:r>
      <w:r>
        <w:fldChar w:fldCharType="end"/>
      </w:r>
    </w:p>
    <w:p>
      <w:pPr>
        <w:pStyle w:val="TOC8"/>
        <w:rPr>
          <w:sz w:val="24"/>
          <w:szCs w:val="24"/>
        </w:rPr>
      </w:pPr>
      <w:r>
        <w:rPr>
          <w:szCs w:val="24"/>
        </w:rPr>
        <w:t>45</w:t>
      </w:r>
      <w:r>
        <w:rPr>
          <w:snapToGrid w:val="0"/>
          <w:szCs w:val="24"/>
        </w:rPr>
        <w:t>.</w:t>
      </w:r>
      <w:r>
        <w:rPr>
          <w:snapToGrid w:val="0"/>
          <w:szCs w:val="24"/>
        </w:rPr>
        <w:tab/>
        <w:t>Prescribed drugs</w:t>
      </w:r>
      <w:r>
        <w:tab/>
      </w:r>
      <w:r>
        <w:fldChar w:fldCharType="begin"/>
      </w:r>
      <w:r>
        <w:instrText xml:space="preserve"> PAGEREF _Toc120077242 \h </w:instrText>
      </w:r>
      <w:r>
        <w:fldChar w:fldCharType="separate"/>
      </w:r>
      <w:r>
        <w:t>22</w:t>
      </w:r>
      <w:r>
        <w:fldChar w:fldCharType="end"/>
      </w:r>
    </w:p>
    <w:p>
      <w:pPr>
        <w:pStyle w:val="TOC8"/>
        <w:rPr>
          <w:sz w:val="24"/>
          <w:szCs w:val="24"/>
        </w:rPr>
      </w:pPr>
      <w:r>
        <w:rPr>
          <w:szCs w:val="24"/>
        </w:rPr>
        <w:t>46</w:t>
      </w:r>
      <w:r>
        <w:rPr>
          <w:snapToGrid w:val="0"/>
          <w:szCs w:val="24"/>
        </w:rPr>
        <w:t>.</w:t>
      </w:r>
      <w:r>
        <w:rPr>
          <w:snapToGrid w:val="0"/>
          <w:szCs w:val="24"/>
        </w:rPr>
        <w:tab/>
        <w:t>Approval of technologists, sample collectors and analysts</w:t>
      </w:r>
      <w:r>
        <w:tab/>
      </w:r>
      <w:r>
        <w:fldChar w:fldCharType="begin"/>
      </w:r>
      <w:r>
        <w:instrText xml:space="preserve"> PAGEREF _Toc120077243 \h </w:instrText>
      </w:r>
      <w:r>
        <w:fldChar w:fldCharType="separate"/>
      </w:r>
      <w:r>
        <w:t>22</w:t>
      </w:r>
      <w:r>
        <w:fldChar w:fldCharType="end"/>
      </w:r>
    </w:p>
    <w:p>
      <w:pPr>
        <w:pStyle w:val="TOC8"/>
        <w:rPr>
          <w:sz w:val="24"/>
          <w:szCs w:val="24"/>
        </w:rPr>
      </w:pPr>
      <w:r>
        <w:rPr>
          <w:szCs w:val="24"/>
        </w:rPr>
        <w:t>47</w:t>
      </w:r>
      <w:r>
        <w:rPr>
          <w:snapToGrid w:val="0"/>
          <w:szCs w:val="24"/>
        </w:rPr>
        <w:t>.</w:t>
      </w:r>
      <w:r>
        <w:rPr>
          <w:snapToGrid w:val="0"/>
          <w:szCs w:val="24"/>
        </w:rPr>
        <w:tab/>
        <w:t>Prescribed sampling equipment</w:t>
      </w:r>
      <w:r>
        <w:tab/>
      </w:r>
      <w:r>
        <w:fldChar w:fldCharType="begin"/>
      </w:r>
      <w:r>
        <w:instrText xml:space="preserve"> PAGEREF _Toc120077244 \h </w:instrText>
      </w:r>
      <w:r>
        <w:fldChar w:fldCharType="separate"/>
      </w:r>
      <w:r>
        <w:t>23</w:t>
      </w:r>
      <w:r>
        <w:fldChar w:fldCharType="end"/>
      </w:r>
    </w:p>
    <w:p>
      <w:pPr>
        <w:pStyle w:val="TOC8"/>
        <w:rPr>
          <w:sz w:val="24"/>
          <w:szCs w:val="24"/>
        </w:rPr>
      </w:pPr>
      <w:r>
        <w:rPr>
          <w:szCs w:val="24"/>
        </w:rPr>
        <w:t>48</w:t>
      </w:r>
      <w:r>
        <w:rPr>
          <w:snapToGrid w:val="0"/>
          <w:szCs w:val="24"/>
        </w:rPr>
        <w:t>.</w:t>
      </w:r>
      <w:r>
        <w:rPr>
          <w:snapToGrid w:val="0"/>
          <w:szCs w:val="24"/>
        </w:rPr>
        <w:tab/>
        <w:t>Preparation and use of sampling equipment</w:t>
      </w:r>
      <w:r>
        <w:tab/>
      </w:r>
      <w:r>
        <w:fldChar w:fldCharType="begin"/>
      </w:r>
      <w:r>
        <w:instrText xml:space="preserve"> PAGEREF _Toc120077245 \h </w:instrText>
      </w:r>
      <w:r>
        <w:fldChar w:fldCharType="separate"/>
      </w:r>
      <w:r>
        <w:t>24</w:t>
      </w:r>
      <w:r>
        <w:fldChar w:fldCharType="end"/>
      </w:r>
    </w:p>
    <w:p>
      <w:pPr>
        <w:pStyle w:val="TOC8"/>
        <w:rPr>
          <w:sz w:val="24"/>
          <w:szCs w:val="24"/>
        </w:rPr>
      </w:pPr>
      <w:r>
        <w:rPr>
          <w:szCs w:val="24"/>
        </w:rPr>
        <w:t>48A.</w:t>
      </w:r>
      <w:r>
        <w:rPr>
          <w:szCs w:val="24"/>
        </w:rPr>
        <w:tab/>
        <w:t>Identity card to be produced when blood, urine collected</w:t>
      </w:r>
      <w:r>
        <w:tab/>
      </w:r>
      <w:r>
        <w:fldChar w:fldCharType="begin"/>
      </w:r>
      <w:r>
        <w:instrText xml:space="preserve"> PAGEREF _Toc120077246 \h </w:instrText>
      </w:r>
      <w:r>
        <w:fldChar w:fldCharType="separate"/>
      </w:r>
      <w:r>
        <w:t>25</w:t>
      </w:r>
      <w:r>
        <w:fldChar w:fldCharType="end"/>
      </w:r>
    </w:p>
    <w:p>
      <w:pPr>
        <w:pStyle w:val="TOC8"/>
        <w:rPr>
          <w:sz w:val="24"/>
          <w:szCs w:val="24"/>
        </w:rPr>
      </w:pPr>
      <w:r>
        <w:rPr>
          <w:szCs w:val="24"/>
        </w:rPr>
        <w:t>49</w:t>
      </w:r>
      <w:r>
        <w:rPr>
          <w:snapToGrid w:val="0"/>
          <w:szCs w:val="24"/>
        </w:rPr>
        <w:t>.</w:t>
      </w:r>
      <w:r>
        <w:rPr>
          <w:snapToGrid w:val="0"/>
          <w:szCs w:val="24"/>
        </w:rPr>
        <w:tab/>
        <w:t>Method of collecting blood</w:t>
      </w:r>
      <w:r>
        <w:tab/>
      </w:r>
      <w:r>
        <w:fldChar w:fldCharType="begin"/>
      </w:r>
      <w:r>
        <w:instrText xml:space="preserve"> PAGEREF _Toc120077247 \h </w:instrText>
      </w:r>
      <w:r>
        <w:fldChar w:fldCharType="separate"/>
      </w:r>
      <w:r>
        <w:t>25</w:t>
      </w:r>
      <w:r>
        <w:fldChar w:fldCharType="end"/>
      </w:r>
    </w:p>
    <w:p>
      <w:pPr>
        <w:pStyle w:val="TOC8"/>
        <w:rPr>
          <w:sz w:val="24"/>
          <w:szCs w:val="24"/>
        </w:rPr>
      </w:pPr>
      <w:r>
        <w:rPr>
          <w:szCs w:val="24"/>
        </w:rPr>
        <w:t>50</w:t>
      </w:r>
      <w:r>
        <w:rPr>
          <w:snapToGrid w:val="0"/>
          <w:szCs w:val="24"/>
        </w:rPr>
        <w:t>.</w:t>
      </w:r>
      <w:r>
        <w:rPr>
          <w:snapToGrid w:val="0"/>
          <w:szCs w:val="24"/>
        </w:rPr>
        <w:tab/>
        <w:t>Method of collecting urine</w:t>
      </w:r>
      <w:r>
        <w:tab/>
      </w:r>
      <w:r>
        <w:fldChar w:fldCharType="begin"/>
      </w:r>
      <w:r>
        <w:instrText xml:space="preserve"> PAGEREF _Toc120077248 \h </w:instrText>
      </w:r>
      <w:r>
        <w:fldChar w:fldCharType="separate"/>
      </w:r>
      <w:r>
        <w:t>26</w:t>
      </w:r>
      <w:r>
        <w:fldChar w:fldCharType="end"/>
      </w:r>
    </w:p>
    <w:p>
      <w:pPr>
        <w:pStyle w:val="TOC8"/>
        <w:rPr>
          <w:sz w:val="24"/>
          <w:szCs w:val="24"/>
        </w:rPr>
      </w:pPr>
      <w:r>
        <w:rPr>
          <w:szCs w:val="24"/>
        </w:rPr>
        <w:t>51</w:t>
      </w:r>
      <w:r>
        <w:rPr>
          <w:snapToGrid w:val="0"/>
          <w:szCs w:val="24"/>
        </w:rPr>
        <w:t>.</w:t>
      </w:r>
      <w:r>
        <w:rPr>
          <w:snapToGrid w:val="0"/>
          <w:szCs w:val="24"/>
        </w:rPr>
        <w:tab/>
        <w:t>Analysis of samples</w:t>
      </w:r>
      <w:r>
        <w:tab/>
      </w:r>
      <w:r>
        <w:fldChar w:fldCharType="begin"/>
      </w:r>
      <w:r>
        <w:instrText xml:space="preserve"> PAGEREF _Toc120077249 \h </w:instrText>
      </w:r>
      <w:r>
        <w:fldChar w:fldCharType="separate"/>
      </w:r>
      <w:r>
        <w:t>27</w:t>
      </w:r>
      <w:r>
        <w:fldChar w:fldCharType="end"/>
      </w:r>
    </w:p>
    <w:p>
      <w:pPr>
        <w:pStyle w:val="TOC8"/>
        <w:rPr>
          <w:sz w:val="24"/>
          <w:szCs w:val="24"/>
        </w:rPr>
      </w:pPr>
      <w:r>
        <w:rPr>
          <w:szCs w:val="24"/>
        </w:rPr>
        <w:t>52</w:t>
      </w:r>
      <w:r>
        <w:rPr>
          <w:snapToGrid w:val="0"/>
          <w:szCs w:val="24"/>
        </w:rPr>
        <w:t>.</w:t>
      </w:r>
      <w:r>
        <w:rPr>
          <w:snapToGrid w:val="0"/>
          <w:szCs w:val="24"/>
        </w:rPr>
        <w:tab/>
        <w:t>Definition of non</w:t>
      </w:r>
      <w:r>
        <w:rPr>
          <w:snapToGrid w:val="0"/>
          <w:szCs w:val="24"/>
        </w:rPr>
        <w:noBreakHyphen/>
        <w:t>complying sample</w:t>
      </w:r>
      <w:r>
        <w:tab/>
      </w:r>
      <w:r>
        <w:fldChar w:fldCharType="begin"/>
      </w:r>
      <w:r>
        <w:instrText xml:space="preserve"> PAGEREF _Toc120077250 \h </w:instrText>
      </w:r>
      <w:r>
        <w:fldChar w:fldCharType="separate"/>
      </w:r>
      <w:r>
        <w:t>27</w:t>
      </w:r>
      <w:r>
        <w:fldChar w:fldCharType="end"/>
      </w:r>
    </w:p>
    <w:p>
      <w:pPr>
        <w:pStyle w:val="TOC8"/>
        <w:rPr>
          <w:sz w:val="24"/>
          <w:szCs w:val="24"/>
        </w:rPr>
      </w:pPr>
      <w:r>
        <w:rPr>
          <w:szCs w:val="24"/>
        </w:rPr>
        <w:t>53</w:t>
      </w:r>
      <w:r>
        <w:rPr>
          <w:snapToGrid w:val="0"/>
          <w:szCs w:val="24"/>
        </w:rPr>
        <w:t>.</w:t>
      </w:r>
      <w:r>
        <w:rPr>
          <w:snapToGrid w:val="0"/>
          <w:szCs w:val="24"/>
        </w:rPr>
        <w:tab/>
        <w:t>Certificate evidence</w:t>
      </w:r>
      <w:r>
        <w:tab/>
      </w:r>
      <w:r>
        <w:fldChar w:fldCharType="begin"/>
      </w:r>
      <w:r>
        <w:instrText xml:space="preserve"> PAGEREF _Toc120077251 \h </w:instrText>
      </w:r>
      <w:r>
        <w:fldChar w:fldCharType="separate"/>
      </w:r>
      <w:r>
        <w:t>27</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54</w:t>
      </w:r>
      <w:r>
        <w:rPr>
          <w:snapToGrid w:val="0"/>
          <w:szCs w:val="24"/>
        </w:rPr>
        <w:t>.</w:t>
      </w:r>
      <w:r>
        <w:rPr>
          <w:snapToGrid w:val="0"/>
          <w:szCs w:val="24"/>
        </w:rPr>
        <w:tab/>
        <w:t>Fees</w:t>
      </w:r>
      <w:r>
        <w:tab/>
      </w:r>
      <w:r>
        <w:fldChar w:fldCharType="begin"/>
      </w:r>
      <w:r>
        <w:instrText xml:space="preserve"> PAGEREF _Toc120077253 \h </w:instrText>
      </w:r>
      <w:r>
        <w:fldChar w:fldCharType="separate"/>
      </w:r>
      <w:r>
        <w:t>29</w:t>
      </w:r>
      <w:r>
        <w:fldChar w:fldCharType="end"/>
      </w:r>
    </w:p>
    <w:p>
      <w:pPr>
        <w:pStyle w:val="TOC8"/>
        <w:rPr>
          <w:sz w:val="24"/>
          <w:szCs w:val="24"/>
        </w:rPr>
      </w:pPr>
      <w:r>
        <w:rPr>
          <w:szCs w:val="24"/>
        </w:rPr>
        <w:t>54A.</w:t>
      </w:r>
      <w:r>
        <w:rPr>
          <w:szCs w:val="24"/>
        </w:rPr>
        <w:tab/>
        <w:t>Codes of conduct</w:t>
      </w:r>
      <w:r>
        <w:tab/>
      </w:r>
      <w:r>
        <w:fldChar w:fldCharType="begin"/>
      </w:r>
      <w:r>
        <w:instrText xml:space="preserve"> PAGEREF _Toc120077254 \h </w:instrText>
      </w:r>
      <w:r>
        <w:fldChar w:fldCharType="separate"/>
      </w:r>
      <w:r>
        <w:t>29</w:t>
      </w:r>
      <w:r>
        <w:fldChar w:fldCharType="end"/>
      </w:r>
    </w:p>
    <w:p>
      <w:pPr>
        <w:pStyle w:val="TOC2"/>
        <w:tabs>
          <w:tab w:val="right" w:leader="dot" w:pos="7086"/>
        </w:tabs>
        <w:rPr>
          <w:b w:val="0"/>
          <w:sz w:val="24"/>
          <w:szCs w:val="24"/>
        </w:rPr>
      </w:pPr>
      <w:r>
        <w:rPr>
          <w:szCs w:val="30"/>
        </w:rPr>
        <w:t>Part 9 — Transitional provisions</w:t>
      </w:r>
    </w:p>
    <w:p>
      <w:pPr>
        <w:pStyle w:val="TOC8"/>
        <w:rPr>
          <w:sz w:val="24"/>
          <w:szCs w:val="24"/>
        </w:rPr>
      </w:pPr>
      <w:r>
        <w:rPr>
          <w:szCs w:val="24"/>
        </w:rPr>
        <w:t>55</w:t>
      </w:r>
      <w:r>
        <w:rPr>
          <w:snapToGrid w:val="0"/>
          <w:szCs w:val="24"/>
        </w:rPr>
        <w:t>.</w:t>
      </w:r>
      <w:r>
        <w:rPr>
          <w:snapToGrid w:val="0"/>
          <w:szCs w:val="24"/>
        </w:rPr>
        <w:tab/>
        <w:t>Existing licences</w:t>
      </w:r>
      <w:r>
        <w:tab/>
      </w:r>
      <w:r>
        <w:fldChar w:fldCharType="begin"/>
      </w:r>
      <w:r>
        <w:instrText xml:space="preserve"> PAGEREF _Toc120077256 \h </w:instrText>
      </w:r>
      <w:r>
        <w:fldChar w:fldCharType="separate"/>
      </w:r>
      <w:r>
        <w:t>30</w:t>
      </w:r>
      <w:r>
        <w:fldChar w:fldCharType="end"/>
      </w:r>
    </w:p>
    <w:p>
      <w:pPr>
        <w:pStyle w:val="TOC8"/>
        <w:rPr>
          <w:sz w:val="24"/>
          <w:szCs w:val="24"/>
        </w:rPr>
      </w:pPr>
      <w:r>
        <w:rPr>
          <w:szCs w:val="24"/>
        </w:rPr>
        <w:t>56</w:t>
      </w:r>
      <w:r>
        <w:rPr>
          <w:snapToGrid w:val="0"/>
          <w:szCs w:val="24"/>
        </w:rPr>
        <w:t>.</w:t>
      </w:r>
      <w:r>
        <w:rPr>
          <w:snapToGrid w:val="0"/>
          <w:szCs w:val="24"/>
        </w:rPr>
        <w:tab/>
        <w:t>Continuation of conditions</w:t>
      </w:r>
      <w:r>
        <w:tab/>
      </w:r>
      <w:r>
        <w:fldChar w:fldCharType="begin"/>
      </w:r>
      <w:r>
        <w:instrText xml:space="preserve"> PAGEREF _Toc120077257 \h </w:instrText>
      </w:r>
      <w:r>
        <w:fldChar w:fldCharType="separate"/>
      </w:r>
      <w:r>
        <w:t>30</w:t>
      </w:r>
      <w:r>
        <w:fldChar w:fldCharType="end"/>
      </w:r>
    </w:p>
    <w:p>
      <w:pPr>
        <w:pStyle w:val="TOC8"/>
        <w:rPr>
          <w:sz w:val="24"/>
          <w:szCs w:val="24"/>
        </w:rPr>
      </w:pPr>
      <w:r>
        <w:rPr>
          <w:szCs w:val="24"/>
        </w:rPr>
        <w:t>57</w:t>
      </w:r>
      <w:r>
        <w:rPr>
          <w:snapToGrid w:val="0"/>
          <w:szCs w:val="24"/>
        </w:rPr>
        <w:t>.</w:t>
      </w:r>
      <w:r>
        <w:rPr>
          <w:snapToGrid w:val="0"/>
          <w:szCs w:val="24"/>
        </w:rPr>
        <w:tab/>
        <w:t>Uniforms and vehicle markings</w:t>
      </w:r>
      <w:r>
        <w:tab/>
      </w:r>
      <w:r>
        <w:fldChar w:fldCharType="begin"/>
      </w:r>
      <w:r>
        <w:instrText xml:space="preserve"> PAGEREF _Toc120077258 \h </w:instrText>
      </w:r>
      <w:r>
        <w:fldChar w:fldCharType="separate"/>
      </w:r>
      <w:r>
        <w:t>30</w:t>
      </w:r>
      <w:r>
        <w:fldChar w:fldCharType="end"/>
      </w:r>
    </w:p>
    <w:p>
      <w:pPr>
        <w:pStyle w:val="TOC2"/>
        <w:tabs>
          <w:tab w:val="right" w:leader="dot" w:pos="7086"/>
        </w:tabs>
        <w:rPr>
          <w:b w:val="0"/>
          <w:sz w:val="24"/>
          <w:szCs w:val="24"/>
        </w:rPr>
      </w:pPr>
      <w:r>
        <w:rPr>
          <w:szCs w:val="28"/>
        </w:rPr>
        <w:t>Schedule 1 — Conditions and restrictions attached to licences</w:t>
      </w:r>
    </w:p>
    <w:p>
      <w:pPr>
        <w:pStyle w:val="TOC4"/>
        <w:tabs>
          <w:tab w:val="right" w:leader="dot" w:pos="7086"/>
        </w:tabs>
        <w:rPr>
          <w:b w:val="0"/>
          <w:sz w:val="24"/>
          <w:szCs w:val="24"/>
        </w:rPr>
      </w:pPr>
      <w:r>
        <w:rPr>
          <w:szCs w:val="24"/>
        </w:rPr>
        <w:t>Division 1</w:t>
      </w:r>
      <w:r>
        <w:rPr>
          <w:snapToGrid w:val="0"/>
          <w:szCs w:val="24"/>
        </w:rPr>
        <w:t> — </w:t>
      </w:r>
      <w:r>
        <w:rPr>
          <w:szCs w:val="24"/>
        </w:rPr>
        <w:t>Security agent’s licence</w:t>
      </w:r>
    </w:p>
    <w:p>
      <w:pPr>
        <w:pStyle w:val="TOC8"/>
        <w:rPr>
          <w:sz w:val="24"/>
          <w:szCs w:val="24"/>
        </w:rPr>
      </w:pPr>
      <w:r>
        <w:rPr>
          <w:szCs w:val="22"/>
        </w:rPr>
        <w:t>1</w:t>
      </w:r>
      <w:r>
        <w:rPr>
          <w:snapToGrid w:val="0"/>
          <w:szCs w:val="22"/>
        </w:rPr>
        <w:t>.</w:t>
      </w:r>
      <w:r>
        <w:rPr>
          <w:snapToGrid w:val="0"/>
          <w:szCs w:val="22"/>
        </w:rPr>
        <w:tab/>
        <w:t>Notification of change of personnel</w:t>
      </w:r>
      <w:r>
        <w:tab/>
      </w:r>
      <w:r>
        <w:fldChar w:fldCharType="begin"/>
      </w:r>
      <w:r>
        <w:instrText xml:space="preserve"> PAGEREF _Toc120077261 \h </w:instrText>
      </w:r>
      <w:r>
        <w:fldChar w:fldCharType="separate"/>
      </w:r>
      <w:r>
        <w:t>32</w:t>
      </w:r>
      <w:r>
        <w:fldChar w:fldCharType="end"/>
      </w:r>
    </w:p>
    <w:p>
      <w:pPr>
        <w:pStyle w:val="TOC8"/>
        <w:rPr>
          <w:sz w:val="24"/>
          <w:szCs w:val="24"/>
        </w:rPr>
      </w:pPr>
      <w:r>
        <w:rPr>
          <w:szCs w:val="22"/>
        </w:rPr>
        <w:t>2</w:t>
      </w:r>
      <w:r>
        <w:rPr>
          <w:bCs/>
          <w:szCs w:val="22"/>
        </w:rPr>
        <w:t>.</w:t>
      </w:r>
      <w:r>
        <w:rPr>
          <w:bCs/>
          <w:szCs w:val="22"/>
        </w:rPr>
        <w:tab/>
        <w:t>Uniforms</w:t>
      </w:r>
      <w:r>
        <w:tab/>
      </w:r>
      <w:r>
        <w:fldChar w:fldCharType="begin"/>
      </w:r>
      <w:r>
        <w:instrText xml:space="preserve"> PAGEREF _Toc120077262 \h </w:instrText>
      </w:r>
      <w:r>
        <w:fldChar w:fldCharType="separate"/>
      </w:r>
      <w:r>
        <w:t>32</w:t>
      </w:r>
      <w:r>
        <w:fldChar w:fldCharType="end"/>
      </w:r>
    </w:p>
    <w:p>
      <w:pPr>
        <w:pStyle w:val="TOC8"/>
        <w:rPr>
          <w:sz w:val="24"/>
          <w:szCs w:val="24"/>
        </w:rPr>
      </w:pPr>
      <w:r>
        <w:rPr>
          <w:szCs w:val="22"/>
        </w:rPr>
        <w:t>3</w:t>
      </w:r>
      <w:r>
        <w:rPr>
          <w:bCs/>
          <w:szCs w:val="22"/>
        </w:rPr>
        <w:t>.</w:t>
      </w:r>
      <w:r>
        <w:rPr>
          <w:bCs/>
          <w:szCs w:val="22"/>
        </w:rPr>
        <w:tab/>
        <w:t>Vehicle markings</w:t>
      </w:r>
      <w:r>
        <w:tab/>
      </w:r>
      <w:r>
        <w:fldChar w:fldCharType="begin"/>
      </w:r>
      <w:r>
        <w:instrText xml:space="preserve"> PAGEREF _Toc120077263 \h </w:instrText>
      </w:r>
      <w:r>
        <w:fldChar w:fldCharType="separate"/>
      </w:r>
      <w:r>
        <w:t>33</w:t>
      </w:r>
      <w:r>
        <w:fldChar w:fldCharType="end"/>
      </w:r>
    </w:p>
    <w:p>
      <w:pPr>
        <w:pStyle w:val="TOC8"/>
        <w:rPr>
          <w:sz w:val="24"/>
          <w:szCs w:val="24"/>
        </w:rPr>
      </w:pPr>
      <w:r>
        <w:rPr>
          <w:szCs w:val="22"/>
        </w:rPr>
        <w:t>4</w:t>
      </w:r>
      <w:r>
        <w:rPr>
          <w:snapToGrid w:val="0"/>
          <w:szCs w:val="22"/>
        </w:rPr>
        <w:t>.</w:t>
      </w:r>
      <w:r>
        <w:rPr>
          <w:snapToGrid w:val="0"/>
          <w:szCs w:val="22"/>
        </w:rPr>
        <w:tab/>
        <w:t>Armed security officers</w:t>
      </w:r>
      <w:r>
        <w:tab/>
      </w:r>
      <w:r>
        <w:fldChar w:fldCharType="begin"/>
      </w:r>
      <w:r>
        <w:instrText xml:space="preserve"> PAGEREF _Toc120077264 \h </w:instrText>
      </w:r>
      <w:r>
        <w:fldChar w:fldCharType="separate"/>
      </w:r>
      <w:r>
        <w:t>33</w:t>
      </w:r>
      <w:r>
        <w:fldChar w:fldCharType="end"/>
      </w:r>
    </w:p>
    <w:p>
      <w:pPr>
        <w:pStyle w:val="TOC8"/>
        <w:rPr>
          <w:sz w:val="24"/>
          <w:szCs w:val="24"/>
        </w:rPr>
      </w:pPr>
      <w:r>
        <w:rPr>
          <w:szCs w:val="22"/>
        </w:rPr>
        <w:t>5</w:t>
      </w:r>
      <w:r>
        <w:rPr>
          <w:snapToGrid w:val="0"/>
          <w:szCs w:val="22"/>
        </w:rPr>
        <w:t>.</w:t>
      </w:r>
      <w:r>
        <w:rPr>
          <w:snapToGrid w:val="0"/>
          <w:szCs w:val="22"/>
        </w:rPr>
        <w:tab/>
        <w:t>Firearm security</w:t>
      </w:r>
      <w:r>
        <w:tab/>
      </w:r>
      <w:r>
        <w:fldChar w:fldCharType="begin"/>
      </w:r>
      <w:r>
        <w:instrText xml:space="preserve"> PAGEREF _Toc120077265 \h </w:instrText>
      </w:r>
      <w:r>
        <w:fldChar w:fldCharType="separate"/>
      </w:r>
      <w:r>
        <w:t>33</w:t>
      </w:r>
      <w:r>
        <w:fldChar w:fldCharType="end"/>
      </w:r>
    </w:p>
    <w:p>
      <w:pPr>
        <w:pStyle w:val="TOC8"/>
        <w:rPr>
          <w:sz w:val="24"/>
          <w:szCs w:val="24"/>
        </w:rPr>
      </w:pPr>
      <w:r>
        <w:rPr>
          <w:szCs w:val="22"/>
        </w:rPr>
        <w:t>6.</w:t>
      </w:r>
      <w:r>
        <w:rPr>
          <w:szCs w:val="22"/>
        </w:rPr>
        <w:tab/>
        <w:t>Weapons training</w:t>
      </w:r>
      <w:r>
        <w:tab/>
      </w:r>
      <w:r>
        <w:fldChar w:fldCharType="begin"/>
      </w:r>
      <w:r>
        <w:instrText xml:space="preserve"> PAGEREF _Toc120077266 \h </w:instrText>
      </w:r>
      <w:r>
        <w:fldChar w:fldCharType="separate"/>
      </w:r>
      <w:r>
        <w:t>34</w:t>
      </w:r>
      <w:r>
        <w:fldChar w:fldCharType="end"/>
      </w:r>
    </w:p>
    <w:p>
      <w:pPr>
        <w:pStyle w:val="TOC4"/>
        <w:tabs>
          <w:tab w:val="right" w:leader="dot" w:pos="7086"/>
        </w:tabs>
        <w:rPr>
          <w:b w:val="0"/>
          <w:sz w:val="24"/>
          <w:szCs w:val="24"/>
        </w:rPr>
      </w:pPr>
      <w:r>
        <w:rPr>
          <w:szCs w:val="24"/>
        </w:rPr>
        <w:t>Division 2</w:t>
      </w:r>
      <w:r>
        <w:rPr>
          <w:snapToGrid w:val="0"/>
          <w:szCs w:val="24"/>
        </w:rPr>
        <w:t> — </w:t>
      </w:r>
      <w:r>
        <w:rPr>
          <w:szCs w:val="24"/>
        </w:rPr>
        <w:t>Security officer’s licence</w:t>
      </w:r>
    </w:p>
    <w:p>
      <w:pPr>
        <w:pStyle w:val="TOC8"/>
        <w:rPr>
          <w:sz w:val="24"/>
          <w:szCs w:val="24"/>
        </w:rPr>
      </w:pPr>
      <w:r>
        <w:rPr>
          <w:szCs w:val="22"/>
        </w:rPr>
        <w:t>7</w:t>
      </w:r>
      <w:r>
        <w:rPr>
          <w:snapToGrid w:val="0"/>
          <w:szCs w:val="22"/>
        </w:rPr>
        <w:t>.</w:t>
      </w:r>
      <w:r>
        <w:rPr>
          <w:snapToGrid w:val="0"/>
          <w:szCs w:val="22"/>
        </w:rPr>
        <w:tab/>
        <w:t>Uniforms</w:t>
      </w:r>
      <w:r>
        <w:tab/>
      </w:r>
      <w:r>
        <w:fldChar w:fldCharType="begin"/>
      </w:r>
      <w:r>
        <w:instrText xml:space="preserve"> PAGEREF _Toc120077268 \h </w:instrText>
      </w:r>
      <w:r>
        <w:fldChar w:fldCharType="separate"/>
      </w:r>
      <w:r>
        <w:t>34</w:t>
      </w:r>
      <w:r>
        <w:fldChar w:fldCharType="end"/>
      </w:r>
    </w:p>
    <w:p>
      <w:pPr>
        <w:pStyle w:val="TOC8"/>
        <w:rPr>
          <w:sz w:val="24"/>
          <w:szCs w:val="24"/>
        </w:rPr>
      </w:pPr>
      <w:r>
        <w:rPr>
          <w:szCs w:val="22"/>
        </w:rPr>
        <w:t>8</w:t>
      </w:r>
      <w:r>
        <w:rPr>
          <w:bCs/>
          <w:szCs w:val="22"/>
        </w:rPr>
        <w:t>.</w:t>
      </w:r>
      <w:r>
        <w:rPr>
          <w:bCs/>
          <w:szCs w:val="22"/>
        </w:rPr>
        <w:tab/>
        <w:t>Vehicle markings</w:t>
      </w:r>
      <w:r>
        <w:tab/>
      </w:r>
      <w:r>
        <w:fldChar w:fldCharType="begin"/>
      </w:r>
      <w:r>
        <w:instrText xml:space="preserve"> PAGEREF _Toc120077269 \h </w:instrText>
      </w:r>
      <w:r>
        <w:fldChar w:fldCharType="separate"/>
      </w:r>
      <w:r>
        <w:t>35</w:t>
      </w:r>
      <w:r>
        <w:fldChar w:fldCharType="end"/>
      </w:r>
    </w:p>
    <w:p>
      <w:pPr>
        <w:pStyle w:val="TOC8"/>
        <w:rPr>
          <w:sz w:val="24"/>
          <w:szCs w:val="24"/>
        </w:rPr>
      </w:pPr>
      <w:r>
        <w:rPr>
          <w:szCs w:val="22"/>
        </w:rPr>
        <w:t>9</w:t>
      </w:r>
      <w:r>
        <w:rPr>
          <w:snapToGrid w:val="0"/>
          <w:szCs w:val="22"/>
        </w:rPr>
        <w:t>.</w:t>
      </w:r>
      <w:r>
        <w:rPr>
          <w:snapToGrid w:val="0"/>
          <w:szCs w:val="22"/>
        </w:rPr>
        <w:tab/>
        <w:t>Carrying of weapons</w:t>
      </w:r>
      <w:r>
        <w:tab/>
      </w:r>
      <w:r>
        <w:fldChar w:fldCharType="begin"/>
      </w:r>
      <w:r>
        <w:instrText xml:space="preserve"> PAGEREF _Toc120077270 \h </w:instrText>
      </w:r>
      <w:r>
        <w:fldChar w:fldCharType="separate"/>
      </w:r>
      <w:r>
        <w:t>35</w:t>
      </w:r>
      <w:r>
        <w:fldChar w:fldCharType="end"/>
      </w:r>
    </w:p>
    <w:p>
      <w:pPr>
        <w:pStyle w:val="TOC8"/>
        <w:rPr>
          <w:sz w:val="24"/>
          <w:szCs w:val="24"/>
        </w:rPr>
      </w:pPr>
      <w:r>
        <w:rPr>
          <w:szCs w:val="22"/>
        </w:rPr>
        <w:t>10</w:t>
      </w:r>
      <w:r>
        <w:rPr>
          <w:snapToGrid w:val="0"/>
          <w:szCs w:val="22"/>
        </w:rPr>
        <w:t>.</w:t>
      </w:r>
      <w:r>
        <w:rPr>
          <w:snapToGrid w:val="0"/>
          <w:szCs w:val="22"/>
        </w:rPr>
        <w:tab/>
        <w:t>Firearm security</w:t>
      </w:r>
      <w:r>
        <w:tab/>
      </w:r>
      <w:r>
        <w:fldChar w:fldCharType="begin"/>
      </w:r>
      <w:r>
        <w:instrText xml:space="preserve"> PAGEREF _Toc120077271 \h </w:instrText>
      </w:r>
      <w:r>
        <w:fldChar w:fldCharType="separate"/>
      </w:r>
      <w:r>
        <w:t>36</w:t>
      </w:r>
      <w:r>
        <w:fldChar w:fldCharType="end"/>
      </w:r>
    </w:p>
    <w:p>
      <w:pPr>
        <w:pStyle w:val="TOC8"/>
        <w:rPr>
          <w:sz w:val="24"/>
          <w:szCs w:val="24"/>
        </w:rPr>
      </w:pPr>
      <w:r>
        <w:rPr>
          <w:szCs w:val="22"/>
        </w:rPr>
        <w:t>11.</w:t>
      </w:r>
      <w:r>
        <w:rPr>
          <w:szCs w:val="22"/>
        </w:rPr>
        <w:tab/>
        <w:t>Weapons training</w:t>
      </w:r>
      <w:r>
        <w:tab/>
      </w:r>
      <w:r>
        <w:fldChar w:fldCharType="begin"/>
      </w:r>
      <w:r>
        <w:instrText xml:space="preserve"> PAGEREF _Toc120077272 \h </w:instrText>
      </w:r>
      <w:r>
        <w:fldChar w:fldCharType="separate"/>
      </w:r>
      <w:r>
        <w:t>36</w:t>
      </w:r>
      <w:r>
        <w:fldChar w:fldCharType="end"/>
      </w:r>
    </w:p>
    <w:p>
      <w:pPr>
        <w:pStyle w:val="TOC4"/>
        <w:tabs>
          <w:tab w:val="right" w:leader="dot" w:pos="7086"/>
        </w:tabs>
        <w:rPr>
          <w:b w:val="0"/>
          <w:sz w:val="24"/>
          <w:szCs w:val="24"/>
        </w:rPr>
      </w:pPr>
      <w:r>
        <w:rPr>
          <w:szCs w:val="24"/>
        </w:rPr>
        <w:t>Division 3</w:t>
      </w:r>
      <w:r>
        <w:rPr>
          <w:snapToGrid w:val="0"/>
          <w:szCs w:val="24"/>
        </w:rPr>
        <w:t> — </w:t>
      </w:r>
      <w:r>
        <w:rPr>
          <w:szCs w:val="24"/>
        </w:rPr>
        <w:t>Inquiry agent’s licence</w:t>
      </w:r>
    </w:p>
    <w:p>
      <w:pPr>
        <w:pStyle w:val="TOC8"/>
        <w:rPr>
          <w:sz w:val="24"/>
          <w:szCs w:val="24"/>
        </w:rPr>
      </w:pPr>
      <w:r>
        <w:rPr>
          <w:szCs w:val="22"/>
        </w:rPr>
        <w:t>12</w:t>
      </w:r>
      <w:r>
        <w:rPr>
          <w:snapToGrid w:val="0"/>
          <w:szCs w:val="22"/>
        </w:rPr>
        <w:t>.</w:t>
      </w:r>
      <w:r>
        <w:rPr>
          <w:snapToGrid w:val="0"/>
          <w:szCs w:val="22"/>
        </w:rPr>
        <w:tab/>
        <w:t>Notification of change of personnel</w:t>
      </w:r>
      <w:r>
        <w:tab/>
      </w:r>
      <w:r>
        <w:fldChar w:fldCharType="begin"/>
      </w:r>
      <w:r>
        <w:instrText xml:space="preserve"> PAGEREF _Toc120077274 \h </w:instrText>
      </w:r>
      <w:r>
        <w:fldChar w:fldCharType="separate"/>
      </w:r>
      <w:r>
        <w:t>37</w:t>
      </w:r>
      <w:r>
        <w:fldChar w:fldCharType="end"/>
      </w:r>
    </w:p>
    <w:p>
      <w:pPr>
        <w:pStyle w:val="TOC4"/>
        <w:tabs>
          <w:tab w:val="right" w:leader="dot" w:pos="7086"/>
        </w:tabs>
        <w:rPr>
          <w:b w:val="0"/>
          <w:sz w:val="24"/>
          <w:szCs w:val="24"/>
        </w:rPr>
      </w:pPr>
      <w:r>
        <w:rPr>
          <w:szCs w:val="24"/>
        </w:rPr>
        <w:t>Division 4</w:t>
      </w:r>
      <w:r>
        <w:rPr>
          <w:snapToGrid w:val="0"/>
          <w:szCs w:val="24"/>
        </w:rPr>
        <w:t> — </w:t>
      </w:r>
      <w:r>
        <w:rPr>
          <w:szCs w:val="24"/>
        </w:rPr>
        <w:t>Crowd control agent’s licence</w:t>
      </w:r>
    </w:p>
    <w:p>
      <w:pPr>
        <w:pStyle w:val="TOC8"/>
        <w:rPr>
          <w:sz w:val="24"/>
          <w:szCs w:val="24"/>
        </w:rPr>
      </w:pPr>
      <w:r>
        <w:rPr>
          <w:szCs w:val="22"/>
        </w:rPr>
        <w:t>13</w:t>
      </w:r>
      <w:r>
        <w:rPr>
          <w:snapToGrid w:val="0"/>
          <w:szCs w:val="22"/>
        </w:rPr>
        <w:t>.</w:t>
      </w:r>
      <w:r>
        <w:rPr>
          <w:snapToGrid w:val="0"/>
          <w:szCs w:val="22"/>
        </w:rPr>
        <w:tab/>
        <w:t>Notification of change of personnel</w:t>
      </w:r>
      <w:r>
        <w:tab/>
      </w:r>
      <w:r>
        <w:fldChar w:fldCharType="begin"/>
      </w:r>
      <w:r>
        <w:instrText xml:space="preserve"> PAGEREF _Toc120077276 \h </w:instrText>
      </w:r>
      <w:r>
        <w:fldChar w:fldCharType="separate"/>
      </w:r>
      <w:r>
        <w:t>37</w:t>
      </w:r>
      <w:r>
        <w:fldChar w:fldCharType="end"/>
      </w:r>
    </w:p>
    <w:p>
      <w:pPr>
        <w:pStyle w:val="TOC8"/>
        <w:rPr>
          <w:sz w:val="24"/>
          <w:szCs w:val="24"/>
        </w:rPr>
      </w:pPr>
      <w:r>
        <w:rPr>
          <w:szCs w:val="22"/>
        </w:rPr>
        <w:t>14</w:t>
      </w:r>
      <w:r>
        <w:rPr>
          <w:snapToGrid w:val="0"/>
          <w:szCs w:val="22"/>
        </w:rPr>
        <w:t>.</w:t>
      </w:r>
      <w:r>
        <w:rPr>
          <w:snapToGrid w:val="0"/>
          <w:szCs w:val="22"/>
        </w:rPr>
        <w:tab/>
        <w:t>Wearing of identification cards</w:t>
      </w:r>
      <w:r>
        <w:tab/>
      </w:r>
      <w:r>
        <w:fldChar w:fldCharType="begin"/>
      </w:r>
      <w:r>
        <w:instrText xml:space="preserve"> PAGEREF _Toc120077277 \h </w:instrText>
      </w:r>
      <w:r>
        <w:fldChar w:fldCharType="separate"/>
      </w:r>
      <w:r>
        <w:t>37</w:t>
      </w:r>
      <w:r>
        <w:fldChar w:fldCharType="end"/>
      </w:r>
    </w:p>
    <w:p>
      <w:pPr>
        <w:pStyle w:val="TOC8"/>
        <w:rPr>
          <w:sz w:val="24"/>
          <w:szCs w:val="24"/>
        </w:rPr>
      </w:pPr>
      <w:r>
        <w:rPr>
          <w:szCs w:val="22"/>
        </w:rPr>
        <w:t>15</w:t>
      </w:r>
      <w:r>
        <w:rPr>
          <w:snapToGrid w:val="0"/>
          <w:szCs w:val="22"/>
        </w:rPr>
        <w:t>.</w:t>
      </w:r>
      <w:r>
        <w:rPr>
          <w:snapToGrid w:val="0"/>
          <w:szCs w:val="22"/>
        </w:rPr>
        <w:tab/>
        <w:t>Information to clients</w:t>
      </w:r>
      <w:r>
        <w:tab/>
      </w:r>
      <w:r>
        <w:fldChar w:fldCharType="begin"/>
      </w:r>
      <w:r>
        <w:instrText xml:space="preserve"> PAGEREF _Toc120077278 \h </w:instrText>
      </w:r>
      <w:r>
        <w:fldChar w:fldCharType="separate"/>
      </w:r>
      <w:r>
        <w:t>38</w:t>
      </w:r>
      <w:r>
        <w:fldChar w:fldCharType="end"/>
      </w:r>
    </w:p>
    <w:p>
      <w:pPr>
        <w:pStyle w:val="TOC8"/>
        <w:rPr>
          <w:sz w:val="24"/>
          <w:szCs w:val="24"/>
        </w:rPr>
      </w:pPr>
      <w:r>
        <w:rPr>
          <w:szCs w:val="22"/>
        </w:rPr>
        <w:t>16</w:t>
      </w:r>
      <w:r>
        <w:rPr>
          <w:snapToGrid w:val="0"/>
          <w:szCs w:val="22"/>
        </w:rPr>
        <w:t>.</w:t>
      </w:r>
      <w:r>
        <w:rPr>
          <w:snapToGrid w:val="0"/>
          <w:szCs w:val="22"/>
        </w:rPr>
        <w:tab/>
        <w:t>No weapons to be carried by crowd controllers</w:t>
      </w:r>
      <w:r>
        <w:tab/>
      </w:r>
      <w:r>
        <w:fldChar w:fldCharType="begin"/>
      </w:r>
      <w:r>
        <w:instrText xml:space="preserve"> PAGEREF _Toc120077279 \h </w:instrText>
      </w:r>
      <w:r>
        <w:fldChar w:fldCharType="separate"/>
      </w:r>
      <w:r>
        <w:t>38</w:t>
      </w:r>
      <w:r>
        <w:fldChar w:fldCharType="end"/>
      </w:r>
    </w:p>
    <w:p>
      <w:pPr>
        <w:pStyle w:val="TOC8"/>
        <w:rPr>
          <w:sz w:val="24"/>
          <w:szCs w:val="24"/>
        </w:rPr>
      </w:pPr>
      <w:r>
        <w:rPr>
          <w:szCs w:val="22"/>
        </w:rPr>
        <w:t>16A.</w:t>
      </w:r>
      <w:r>
        <w:rPr>
          <w:szCs w:val="22"/>
        </w:rPr>
        <w:tab/>
      </w:r>
      <w:r>
        <w:rPr>
          <w:bCs/>
          <w:szCs w:val="22"/>
        </w:rPr>
        <w:t>Incident register</w:t>
      </w:r>
      <w:r>
        <w:tab/>
      </w:r>
      <w:r>
        <w:fldChar w:fldCharType="begin"/>
      </w:r>
      <w:r>
        <w:instrText xml:space="preserve"> PAGEREF _Toc120077280 \h </w:instrText>
      </w:r>
      <w:r>
        <w:fldChar w:fldCharType="separate"/>
      </w:r>
      <w:r>
        <w:t>38</w:t>
      </w:r>
      <w:r>
        <w:fldChar w:fldCharType="end"/>
      </w:r>
    </w:p>
    <w:p>
      <w:pPr>
        <w:pStyle w:val="TOC4"/>
        <w:tabs>
          <w:tab w:val="right" w:leader="dot" w:pos="7086"/>
        </w:tabs>
        <w:rPr>
          <w:b w:val="0"/>
          <w:sz w:val="24"/>
          <w:szCs w:val="24"/>
        </w:rPr>
      </w:pPr>
      <w:r>
        <w:rPr>
          <w:szCs w:val="24"/>
        </w:rPr>
        <w:t>Division 5</w:t>
      </w:r>
      <w:r>
        <w:rPr>
          <w:snapToGrid w:val="0"/>
          <w:szCs w:val="24"/>
        </w:rPr>
        <w:t> — </w:t>
      </w:r>
      <w:r>
        <w:rPr>
          <w:szCs w:val="24"/>
        </w:rPr>
        <w:t>Crowd controller’s licence</w:t>
      </w:r>
    </w:p>
    <w:p>
      <w:pPr>
        <w:pStyle w:val="TOC8"/>
        <w:rPr>
          <w:sz w:val="24"/>
          <w:szCs w:val="24"/>
        </w:rPr>
      </w:pPr>
      <w:r>
        <w:rPr>
          <w:szCs w:val="22"/>
        </w:rPr>
        <w:t>17</w:t>
      </w:r>
      <w:r>
        <w:rPr>
          <w:snapToGrid w:val="0"/>
          <w:szCs w:val="22"/>
        </w:rPr>
        <w:t>.</w:t>
      </w:r>
      <w:r>
        <w:rPr>
          <w:snapToGrid w:val="0"/>
          <w:szCs w:val="22"/>
        </w:rPr>
        <w:tab/>
        <w:t>Wearing of identification card</w:t>
      </w:r>
      <w:r>
        <w:tab/>
      </w:r>
      <w:r>
        <w:fldChar w:fldCharType="begin"/>
      </w:r>
      <w:r>
        <w:instrText xml:space="preserve"> PAGEREF _Toc120077282 \h </w:instrText>
      </w:r>
      <w:r>
        <w:fldChar w:fldCharType="separate"/>
      </w:r>
      <w:r>
        <w:t>39</w:t>
      </w:r>
      <w:r>
        <w:fldChar w:fldCharType="end"/>
      </w:r>
    </w:p>
    <w:p>
      <w:pPr>
        <w:pStyle w:val="TOC8"/>
        <w:rPr>
          <w:sz w:val="24"/>
          <w:szCs w:val="24"/>
        </w:rPr>
      </w:pPr>
      <w:r>
        <w:rPr>
          <w:szCs w:val="22"/>
        </w:rPr>
        <w:t>18</w:t>
      </w:r>
      <w:r>
        <w:rPr>
          <w:snapToGrid w:val="0"/>
          <w:szCs w:val="22"/>
        </w:rPr>
        <w:t>.</w:t>
      </w:r>
      <w:r>
        <w:rPr>
          <w:snapToGrid w:val="0"/>
          <w:szCs w:val="22"/>
        </w:rPr>
        <w:tab/>
        <w:t>No weapons to be carried by crowd controller</w:t>
      </w:r>
      <w:r>
        <w:tab/>
      </w:r>
      <w:r>
        <w:fldChar w:fldCharType="begin"/>
      </w:r>
      <w:r>
        <w:instrText xml:space="preserve"> PAGEREF _Toc120077283 \h </w:instrText>
      </w:r>
      <w:r>
        <w:fldChar w:fldCharType="separate"/>
      </w:r>
      <w:r>
        <w:t>39</w:t>
      </w:r>
      <w:r>
        <w:fldChar w:fldCharType="end"/>
      </w:r>
    </w:p>
    <w:p>
      <w:pPr>
        <w:pStyle w:val="TOC8"/>
        <w:rPr>
          <w:sz w:val="24"/>
          <w:szCs w:val="24"/>
        </w:rPr>
      </w:pPr>
      <w:r>
        <w:rPr>
          <w:szCs w:val="22"/>
        </w:rPr>
        <w:t>19.</w:t>
      </w:r>
      <w:r>
        <w:rPr>
          <w:szCs w:val="22"/>
        </w:rPr>
        <w:tab/>
      </w:r>
      <w:r>
        <w:rPr>
          <w:bCs/>
          <w:szCs w:val="22"/>
        </w:rPr>
        <w:t>Incident register</w:t>
      </w:r>
      <w:r>
        <w:tab/>
      </w:r>
      <w:r>
        <w:fldChar w:fldCharType="begin"/>
      </w:r>
      <w:r>
        <w:instrText xml:space="preserve"> PAGEREF _Toc120077284 \h </w:instrText>
      </w:r>
      <w:r>
        <w:fldChar w:fldCharType="separate"/>
      </w:r>
      <w:r>
        <w:t>40</w:t>
      </w:r>
      <w:r>
        <w:fldChar w:fldCharType="end"/>
      </w:r>
    </w:p>
    <w:p>
      <w:pPr>
        <w:pStyle w:val="TOC4"/>
        <w:tabs>
          <w:tab w:val="right" w:leader="dot" w:pos="7086"/>
        </w:tabs>
        <w:rPr>
          <w:b w:val="0"/>
          <w:sz w:val="24"/>
          <w:szCs w:val="24"/>
        </w:rPr>
      </w:pPr>
      <w:r>
        <w:rPr>
          <w:szCs w:val="24"/>
        </w:rPr>
        <w:t>Division 6</w:t>
      </w:r>
      <w:r>
        <w:rPr>
          <w:b w:val="0"/>
          <w:szCs w:val="24"/>
        </w:rPr>
        <w:t> — </w:t>
      </w:r>
      <w:r>
        <w:rPr>
          <w:szCs w:val="24"/>
        </w:rPr>
        <w:t>All licences</w:t>
      </w:r>
    </w:p>
    <w:p>
      <w:pPr>
        <w:pStyle w:val="TOC8"/>
        <w:rPr>
          <w:sz w:val="24"/>
          <w:szCs w:val="24"/>
        </w:rPr>
      </w:pPr>
      <w:r>
        <w:rPr>
          <w:szCs w:val="22"/>
        </w:rPr>
        <w:t>20.</w:t>
      </w:r>
      <w:r>
        <w:rPr>
          <w:szCs w:val="22"/>
        </w:rPr>
        <w:tab/>
        <w:t>Identity cards</w:t>
      </w:r>
      <w:r>
        <w:tab/>
      </w:r>
      <w:r>
        <w:fldChar w:fldCharType="begin"/>
      </w:r>
      <w:r>
        <w:instrText xml:space="preserve"> PAGEREF _Toc120077286 \h </w:instrText>
      </w:r>
      <w:r>
        <w:fldChar w:fldCharType="separate"/>
      </w:r>
      <w:r>
        <w:t>40</w:t>
      </w:r>
      <w:r>
        <w:fldChar w:fldCharType="end"/>
      </w:r>
    </w:p>
    <w:p>
      <w:pPr>
        <w:pStyle w:val="TOC2"/>
        <w:tabs>
          <w:tab w:val="right" w:leader="dot" w:pos="7086"/>
        </w:tabs>
        <w:rPr>
          <w:b w:val="0"/>
          <w:sz w:val="24"/>
          <w:szCs w:val="24"/>
        </w:rPr>
      </w:pPr>
      <w:r>
        <w:rPr>
          <w:szCs w:val="28"/>
        </w:rPr>
        <w:t>Schedule 3 — Prescribed drugs</w:t>
      </w:r>
    </w:p>
    <w:p>
      <w:pPr>
        <w:pStyle w:val="TOC2"/>
        <w:tabs>
          <w:tab w:val="right" w:leader="dot" w:pos="7086"/>
        </w:tabs>
        <w:rPr>
          <w:b w:val="0"/>
          <w:sz w:val="24"/>
          <w:szCs w:val="24"/>
        </w:rPr>
      </w:pPr>
      <w:r>
        <w:rPr>
          <w:szCs w:val="28"/>
        </w:rPr>
        <w:t>Schedule 4 — Fees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_Toc120077290 \h </w:instrText>
      </w:r>
      <w:r>
        <w:fldChar w:fldCharType="separate"/>
      </w:r>
      <w:r>
        <w:t>45</w:t>
      </w:r>
      <w:r>
        <w:fldChar w:fldCharType="end"/>
      </w:r>
    </w:p>
    <w:p>
      <w:pPr>
        <w:pStyle w:val="TOC2"/>
        <w:tabs>
          <w:tab w:val="right" w:leader="dot" w:pos="7086"/>
        </w:tabs>
      </w:pPr>
      <w:r>
        <w:fldChar w:fldCharType="end"/>
      </w:r>
      <w:r>
        <w:fldChar w:fldCharType="begin"/>
      </w:r>
      <w:r>
        <w:instrText xml:space="preserve"> </w:instrText>
      </w: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p>
    <w:p>
      <w:pPr>
        <w:pStyle w:val="TOC2"/>
        <w:tabs>
          <w:tab w:val="right" w:leader="dot" w:pos="7086"/>
        </w:tabs>
        <w:rPr>
          <w:b w:val="0"/>
          <w:sz w:val="24"/>
          <w:szCs w:val="24"/>
        </w:rPr>
      </w:pPr>
      <w:r>
        <w:rPr>
          <w:szCs w:val="30"/>
        </w:rPr>
        <w:instrText>Part 1 — Preliminary</w:instrText>
      </w:r>
    </w:p>
    <w:p>
      <w:pPr>
        <w:pStyle w:val="TOC8"/>
        <w:rPr>
          <w:sz w:val="24"/>
          <w:szCs w:val="24"/>
        </w:rPr>
      </w:pPr>
      <w:r>
        <w:rPr>
          <w:szCs w:val="24"/>
        </w:rPr>
        <w:instrText>1</w:instrText>
      </w:r>
      <w:r>
        <w:rPr>
          <w:snapToGrid w:val="0"/>
          <w:szCs w:val="24"/>
        </w:rPr>
        <w:instrText>.</w:instrText>
      </w:r>
      <w:r>
        <w:rPr>
          <w:snapToGrid w:val="0"/>
          <w:szCs w:val="24"/>
        </w:rPr>
        <w:tab/>
        <w:instrText>Citation</w:instrText>
      </w:r>
      <w:r>
        <w:tab/>
      </w:r>
      <w:r>
        <w:fldChar w:fldCharType="begin"/>
      </w:r>
      <w:r>
        <w:instrText xml:space="preserve"> PAGEREF _Toc117913921 \h </w:instrText>
      </w:r>
      <w:r>
        <w:fldChar w:fldCharType="separate"/>
      </w:r>
      <w:r>
        <w:instrText>1</w:instrText>
      </w:r>
      <w:r>
        <w:fldChar w:fldCharType="end"/>
      </w:r>
    </w:p>
    <w:p>
      <w:pPr>
        <w:pStyle w:val="TOC8"/>
        <w:rPr>
          <w:sz w:val="24"/>
          <w:szCs w:val="24"/>
        </w:rPr>
      </w:pPr>
      <w:r>
        <w:rPr>
          <w:szCs w:val="24"/>
        </w:rPr>
        <w:instrText>2</w:instrText>
      </w:r>
      <w:r>
        <w:rPr>
          <w:snapToGrid w:val="0"/>
          <w:szCs w:val="24"/>
        </w:rPr>
        <w:instrText>.</w:instrText>
      </w:r>
      <w:r>
        <w:rPr>
          <w:snapToGrid w:val="0"/>
          <w:szCs w:val="24"/>
        </w:rPr>
        <w:tab/>
        <w:instrText>Commencement</w:instrText>
      </w:r>
      <w:r>
        <w:tab/>
      </w:r>
      <w:r>
        <w:fldChar w:fldCharType="begin"/>
      </w:r>
      <w:r>
        <w:instrText xml:space="preserve"> PAGEREF _Toc117913922 \h </w:instrText>
      </w:r>
      <w:r>
        <w:fldChar w:fldCharType="separate"/>
      </w:r>
      <w:r>
        <w:instrText>1</w:instrText>
      </w:r>
      <w:r>
        <w:fldChar w:fldCharType="end"/>
      </w:r>
    </w:p>
    <w:p>
      <w:pPr>
        <w:pStyle w:val="TOC8"/>
        <w:rPr>
          <w:sz w:val="24"/>
          <w:szCs w:val="24"/>
        </w:rPr>
      </w:pPr>
      <w:r>
        <w:rPr>
          <w:szCs w:val="24"/>
        </w:rPr>
        <w:instrText>3</w:instrText>
      </w:r>
      <w:r>
        <w:rPr>
          <w:snapToGrid w:val="0"/>
          <w:szCs w:val="24"/>
        </w:rPr>
        <w:instrText>.</w:instrText>
      </w:r>
      <w:r>
        <w:rPr>
          <w:snapToGrid w:val="0"/>
          <w:szCs w:val="24"/>
        </w:rPr>
        <w:tab/>
        <w:instrText>Interpretation</w:instrText>
      </w:r>
      <w:r>
        <w:tab/>
      </w:r>
      <w:r>
        <w:fldChar w:fldCharType="begin"/>
      </w:r>
      <w:r>
        <w:instrText xml:space="preserve"> PAGEREF _Toc117913923 \h </w:instrText>
      </w:r>
      <w:r>
        <w:fldChar w:fldCharType="separate"/>
      </w:r>
      <w:r>
        <w:instrText>1</w:instrText>
      </w:r>
      <w:r>
        <w:fldChar w:fldCharType="end"/>
      </w:r>
    </w:p>
    <w:p>
      <w:pPr>
        <w:pStyle w:val="TOC2"/>
        <w:tabs>
          <w:tab w:val="right" w:leader="dot" w:pos="7086"/>
        </w:tabs>
        <w:rPr>
          <w:b w:val="0"/>
          <w:sz w:val="24"/>
          <w:szCs w:val="24"/>
        </w:rPr>
      </w:pPr>
      <w:r>
        <w:rPr>
          <w:szCs w:val="30"/>
        </w:rPr>
        <w:instrText>Part 2 — Exemptions</w:instrText>
      </w:r>
    </w:p>
    <w:p>
      <w:pPr>
        <w:pStyle w:val="TOC8"/>
        <w:rPr>
          <w:sz w:val="24"/>
          <w:szCs w:val="24"/>
        </w:rPr>
      </w:pPr>
      <w:r>
        <w:rPr>
          <w:szCs w:val="24"/>
        </w:rPr>
        <w:instrText>4</w:instrText>
      </w:r>
      <w:r>
        <w:rPr>
          <w:snapToGrid w:val="0"/>
          <w:szCs w:val="24"/>
        </w:rPr>
        <w:instrText>.</w:instrText>
      </w:r>
      <w:r>
        <w:rPr>
          <w:snapToGrid w:val="0"/>
          <w:szCs w:val="24"/>
        </w:rPr>
        <w:tab/>
        <w:instrText>Exemptions from section 37 (crowd controller’s licence)</w:instrText>
      </w:r>
      <w:r>
        <w:tab/>
      </w:r>
      <w:r>
        <w:fldChar w:fldCharType="begin"/>
      </w:r>
      <w:r>
        <w:instrText xml:space="preserve"> PAGEREF _Toc117913925 \h </w:instrText>
      </w:r>
      <w:r>
        <w:fldChar w:fldCharType="separate"/>
      </w:r>
      <w:r>
        <w:instrText>3</w:instrText>
      </w:r>
      <w:r>
        <w:fldChar w:fldCharType="end"/>
      </w:r>
    </w:p>
    <w:p>
      <w:pPr>
        <w:pStyle w:val="TOC8"/>
        <w:rPr>
          <w:sz w:val="24"/>
          <w:szCs w:val="24"/>
        </w:rPr>
      </w:pPr>
      <w:r>
        <w:rPr>
          <w:szCs w:val="24"/>
        </w:rPr>
        <w:instrText>5</w:instrText>
      </w:r>
      <w:r>
        <w:rPr>
          <w:snapToGrid w:val="0"/>
          <w:szCs w:val="24"/>
        </w:rPr>
        <w:instrText>.</w:instrText>
      </w:r>
      <w:r>
        <w:rPr>
          <w:snapToGrid w:val="0"/>
          <w:szCs w:val="24"/>
        </w:rPr>
        <w:tab/>
        <w:instrText>Exemption for certain casino employees</w:instrText>
      </w:r>
      <w:r>
        <w:tab/>
      </w:r>
      <w:r>
        <w:fldChar w:fldCharType="begin"/>
      </w:r>
      <w:r>
        <w:instrText xml:space="preserve"> PAGEREF _Toc117913926 \h </w:instrText>
      </w:r>
      <w:r>
        <w:fldChar w:fldCharType="separate"/>
      </w:r>
      <w:r>
        <w:instrText>3</w:instrText>
      </w:r>
      <w:r>
        <w:fldChar w:fldCharType="end"/>
      </w:r>
    </w:p>
    <w:p>
      <w:pPr>
        <w:pStyle w:val="TOC8"/>
        <w:rPr>
          <w:sz w:val="24"/>
          <w:szCs w:val="24"/>
        </w:rPr>
      </w:pPr>
      <w:r>
        <w:rPr>
          <w:szCs w:val="24"/>
        </w:rPr>
        <w:instrText>5A.</w:instrText>
      </w:r>
      <w:r>
        <w:rPr>
          <w:szCs w:val="24"/>
        </w:rPr>
        <w:tab/>
        <w:instrText xml:space="preserve">Exemptions in relation to </w:instrText>
      </w:r>
      <w:r>
        <w:rPr>
          <w:i/>
          <w:szCs w:val="24"/>
        </w:rPr>
        <w:instrText>Court Security and Custodial Services Act 1999</w:instrText>
      </w:r>
      <w:r>
        <w:tab/>
      </w:r>
      <w:r>
        <w:fldChar w:fldCharType="begin"/>
      </w:r>
      <w:r>
        <w:instrText xml:space="preserve"> PAGEREF _Toc117913927 \h </w:instrText>
      </w:r>
      <w:r>
        <w:fldChar w:fldCharType="separate"/>
      </w:r>
      <w:r>
        <w:instrText>4</w:instrText>
      </w:r>
      <w:r>
        <w:fldChar w:fldCharType="end"/>
      </w:r>
    </w:p>
    <w:p>
      <w:pPr>
        <w:pStyle w:val="TOC8"/>
        <w:rPr>
          <w:sz w:val="24"/>
          <w:szCs w:val="24"/>
        </w:rPr>
      </w:pPr>
      <w:r>
        <w:rPr>
          <w:szCs w:val="24"/>
        </w:rPr>
        <w:instrText>5B.</w:instrText>
      </w:r>
      <w:r>
        <w:rPr>
          <w:szCs w:val="24"/>
        </w:rPr>
        <w:tab/>
        <w:instrText xml:space="preserve">Exemption in relation to contracts under the </w:instrText>
      </w:r>
      <w:r>
        <w:rPr>
          <w:i/>
          <w:szCs w:val="24"/>
        </w:rPr>
        <w:instrText>Prisons Act 1981</w:instrText>
      </w:r>
      <w:r>
        <w:rPr>
          <w:szCs w:val="24"/>
        </w:rPr>
        <w:instrText xml:space="preserve"> Part IIIA</w:instrText>
      </w:r>
      <w:r>
        <w:tab/>
      </w:r>
      <w:r>
        <w:fldChar w:fldCharType="begin"/>
      </w:r>
      <w:r>
        <w:instrText xml:space="preserve"> PAGEREF _Toc117913928 \h </w:instrText>
      </w:r>
      <w:r>
        <w:fldChar w:fldCharType="separate"/>
      </w:r>
      <w:r>
        <w:instrText>4</w:instrText>
      </w:r>
      <w:r>
        <w:fldChar w:fldCharType="end"/>
      </w:r>
    </w:p>
    <w:p>
      <w:pPr>
        <w:pStyle w:val="TOC2"/>
        <w:tabs>
          <w:tab w:val="right" w:leader="dot" w:pos="7086"/>
        </w:tabs>
        <w:rPr>
          <w:b w:val="0"/>
          <w:sz w:val="24"/>
          <w:szCs w:val="24"/>
        </w:rPr>
      </w:pPr>
      <w:r>
        <w:rPr>
          <w:szCs w:val="30"/>
        </w:rPr>
        <w:instrText>Part 3 — Security activities</w:instrText>
      </w:r>
    </w:p>
    <w:p>
      <w:pPr>
        <w:pStyle w:val="TOC8"/>
        <w:rPr>
          <w:sz w:val="24"/>
          <w:szCs w:val="24"/>
        </w:rPr>
      </w:pPr>
      <w:r>
        <w:rPr>
          <w:szCs w:val="24"/>
        </w:rPr>
        <w:instrText>6</w:instrText>
      </w:r>
      <w:r>
        <w:rPr>
          <w:snapToGrid w:val="0"/>
          <w:szCs w:val="24"/>
        </w:rPr>
        <w:instrText>.</w:instrText>
      </w:r>
      <w:r>
        <w:rPr>
          <w:snapToGrid w:val="0"/>
          <w:szCs w:val="24"/>
        </w:rPr>
        <w:tab/>
        <w:instrText>Locks prescribed for section 14</w:instrText>
      </w:r>
      <w:r>
        <w:tab/>
      </w:r>
      <w:r>
        <w:fldChar w:fldCharType="begin"/>
      </w:r>
      <w:r>
        <w:instrText xml:space="preserve"> PAGEREF _Toc117913930 \h </w:instrText>
      </w:r>
      <w:r>
        <w:fldChar w:fldCharType="separate"/>
      </w:r>
      <w:r>
        <w:instrText>6</w:instrText>
      </w:r>
      <w:r>
        <w:fldChar w:fldCharType="end"/>
      </w:r>
    </w:p>
    <w:p>
      <w:pPr>
        <w:pStyle w:val="TOC8"/>
        <w:rPr>
          <w:sz w:val="24"/>
          <w:szCs w:val="24"/>
        </w:rPr>
      </w:pPr>
      <w:r>
        <w:rPr>
          <w:szCs w:val="24"/>
        </w:rPr>
        <w:instrText>7</w:instrText>
      </w:r>
      <w:r>
        <w:rPr>
          <w:snapToGrid w:val="0"/>
          <w:szCs w:val="24"/>
        </w:rPr>
        <w:instrText>.</w:instrText>
      </w:r>
      <w:r>
        <w:rPr>
          <w:snapToGrid w:val="0"/>
          <w:szCs w:val="24"/>
        </w:rPr>
        <w:tab/>
        <w:instrText>Security doors prescribed for section 14</w:instrText>
      </w:r>
      <w:r>
        <w:tab/>
      </w:r>
      <w:r>
        <w:fldChar w:fldCharType="begin"/>
      </w:r>
      <w:r>
        <w:instrText xml:space="preserve"> PAGEREF _Toc117913931 \h </w:instrText>
      </w:r>
      <w:r>
        <w:fldChar w:fldCharType="separate"/>
      </w:r>
      <w:r>
        <w:instrText>6</w:instrText>
      </w:r>
      <w:r>
        <w:fldChar w:fldCharType="end"/>
      </w:r>
    </w:p>
    <w:p>
      <w:pPr>
        <w:pStyle w:val="TOC8"/>
        <w:rPr>
          <w:sz w:val="24"/>
          <w:szCs w:val="24"/>
        </w:rPr>
      </w:pPr>
      <w:r>
        <w:rPr>
          <w:szCs w:val="24"/>
        </w:rPr>
        <w:instrText>8</w:instrText>
      </w:r>
      <w:r>
        <w:rPr>
          <w:snapToGrid w:val="0"/>
          <w:szCs w:val="24"/>
        </w:rPr>
        <w:instrText>.</w:instrText>
      </w:r>
      <w:r>
        <w:rPr>
          <w:snapToGrid w:val="0"/>
          <w:szCs w:val="24"/>
        </w:rPr>
        <w:tab/>
        <w:instrText>Equipment or devices prescribed for section 14</w:instrText>
      </w:r>
      <w:r>
        <w:tab/>
      </w:r>
      <w:r>
        <w:fldChar w:fldCharType="begin"/>
      </w:r>
      <w:r>
        <w:instrText xml:space="preserve"> PAGEREF _Toc117913932 \h </w:instrText>
      </w:r>
      <w:r>
        <w:fldChar w:fldCharType="separate"/>
      </w:r>
      <w:r>
        <w:instrText>6</w:instrText>
      </w:r>
      <w:r>
        <w:fldChar w:fldCharType="end"/>
      </w:r>
    </w:p>
    <w:p>
      <w:pPr>
        <w:pStyle w:val="TOC8"/>
        <w:rPr>
          <w:sz w:val="24"/>
          <w:szCs w:val="24"/>
        </w:rPr>
      </w:pPr>
      <w:r>
        <w:rPr>
          <w:szCs w:val="24"/>
        </w:rPr>
        <w:instrText>9.</w:instrText>
      </w:r>
      <w:r>
        <w:rPr>
          <w:szCs w:val="24"/>
        </w:rPr>
        <w:tab/>
        <w:instrText>Activities prescribed for section 24</w:instrText>
      </w:r>
      <w:r>
        <w:tab/>
      </w:r>
      <w:r>
        <w:fldChar w:fldCharType="begin"/>
      </w:r>
      <w:r>
        <w:instrText xml:space="preserve"> PAGEREF _Toc117913933 \h </w:instrText>
      </w:r>
      <w:r>
        <w:fldChar w:fldCharType="separate"/>
      </w:r>
      <w:r>
        <w:instrText>7</w:instrText>
      </w:r>
      <w:r>
        <w:fldChar w:fldCharType="end"/>
      </w:r>
    </w:p>
    <w:p>
      <w:pPr>
        <w:pStyle w:val="TOC8"/>
        <w:rPr>
          <w:sz w:val="24"/>
          <w:szCs w:val="24"/>
        </w:rPr>
      </w:pPr>
      <w:r>
        <w:rPr>
          <w:szCs w:val="24"/>
        </w:rPr>
        <w:instrText>10</w:instrText>
      </w:r>
      <w:r>
        <w:rPr>
          <w:snapToGrid w:val="0"/>
          <w:szCs w:val="24"/>
        </w:rPr>
        <w:instrText>.</w:instrText>
      </w:r>
      <w:r>
        <w:rPr>
          <w:snapToGrid w:val="0"/>
          <w:szCs w:val="24"/>
        </w:rPr>
        <w:tab/>
        <w:instrText>Application for endorsement under section 24</w:instrText>
      </w:r>
      <w:r>
        <w:tab/>
      </w:r>
      <w:r>
        <w:fldChar w:fldCharType="begin"/>
      </w:r>
      <w:r>
        <w:instrText xml:space="preserve"> PAGEREF _Toc117913934 \h </w:instrText>
      </w:r>
      <w:r>
        <w:fldChar w:fldCharType="separate"/>
      </w:r>
      <w:r>
        <w:instrText>7</w:instrText>
      </w:r>
      <w:r>
        <w:fldChar w:fldCharType="end"/>
      </w:r>
    </w:p>
    <w:p>
      <w:pPr>
        <w:pStyle w:val="TOC8"/>
        <w:rPr>
          <w:sz w:val="24"/>
          <w:szCs w:val="24"/>
        </w:rPr>
      </w:pPr>
      <w:r>
        <w:rPr>
          <w:szCs w:val="24"/>
        </w:rPr>
        <w:instrText>11</w:instrText>
      </w:r>
      <w:r>
        <w:rPr>
          <w:snapToGrid w:val="0"/>
          <w:szCs w:val="24"/>
        </w:rPr>
        <w:instrText>.</w:instrText>
      </w:r>
      <w:r>
        <w:rPr>
          <w:snapToGrid w:val="0"/>
          <w:szCs w:val="24"/>
        </w:rPr>
        <w:tab/>
        <w:instrText>Annual medical examination prescribed for section 24</w:instrText>
      </w:r>
      <w:r>
        <w:tab/>
      </w:r>
      <w:r>
        <w:fldChar w:fldCharType="begin"/>
      </w:r>
      <w:r>
        <w:instrText xml:space="preserve"> PAGEREF _Toc117913935 \h </w:instrText>
      </w:r>
      <w:r>
        <w:fldChar w:fldCharType="separate"/>
      </w:r>
      <w:r>
        <w:instrText>7</w:instrText>
      </w:r>
      <w:r>
        <w:fldChar w:fldCharType="end"/>
      </w:r>
    </w:p>
    <w:p>
      <w:pPr>
        <w:pStyle w:val="TOC8"/>
        <w:rPr>
          <w:sz w:val="24"/>
          <w:szCs w:val="24"/>
        </w:rPr>
      </w:pPr>
      <w:r>
        <w:rPr>
          <w:szCs w:val="24"/>
        </w:rPr>
        <w:instrText>12</w:instrText>
      </w:r>
      <w:r>
        <w:rPr>
          <w:snapToGrid w:val="0"/>
          <w:szCs w:val="24"/>
        </w:rPr>
        <w:instrText>.</w:instrText>
      </w:r>
      <w:r>
        <w:rPr>
          <w:snapToGrid w:val="0"/>
          <w:szCs w:val="24"/>
        </w:rPr>
        <w:tab/>
        <w:instrText>Application for permit under section 25</w:instrText>
      </w:r>
      <w:r>
        <w:tab/>
      </w:r>
      <w:r>
        <w:fldChar w:fldCharType="begin"/>
      </w:r>
      <w:r>
        <w:instrText xml:space="preserve"> PAGEREF _Toc117913936 \h </w:instrText>
      </w:r>
      <w:r>
        <w:fldChar w:fldCharType="separate"/>
      </w:r>
      <w:r>
        <w:instrText>8</w:instrText>
      </w:r>
      <w:r>
        <w:fldChar w:fldCharType="end"/>
      </w:r>
    </w:p>
    <w:p>
      <w:pPr>
        <w:pStyle w:val="TOC8"/>
        <w:rPr>
          <w:sz w:val="24"/>
          <w:szCs w:val="24"/>
        </w:rPr>
      </w:pPr>
      <w:r>
        <w:rPr>
          <w:szCs w:val="24"/>
        </w:rPr>
        <w:instrText>13</w:instrText>
      </w:r>
      <w:r>
        <w:rPr>
          <w:snapToGrid w:val="0"/>
          <w:szCs w:val="24"/>
        </w:rPr>
        <w:instrText>.</w:instrText>
      </w:r>
      <w:r>
        <w:rPr>
          <w:snapToGrid w:val="0"/>
          <w:szCs w:val="24"/>
        </w:rPr>
        <w:tab/>
        <w:instrText>Application for endorsement under section 26</w:instrText>
      </w:r>
      <w:r>
        <w:tab/>
      </w:r>
      <w:r>
        <w:fldChar w:fldCharType="begin"/>
      </w:r>
      <w:r>
        <w:instrText xml:space="preserve"> PAGEREF _Toc117913937 \h </w:instrText>
      </w:r>
      <w:r>
        <w:fldChar w:fldCharType="separate"/>
      </w:r>
      <w:r>
        <w:instrText>8</w:instrText>
      </w:r>
      <w:r>
        <w:fldChar w:fldCharType="end"/>
      </w:r>
    </w:p>
    <w:p>
      <w:pPr>
        <w:pStyle w:val="TOC2"/>
        <w:tabs>
          <w:tab w:val="right" w:leader="dot" w:pos="7086"/>
        </w:tabs>
        <w:rPr>
          <w:b w:val="0"/>
          <w:sz w:val="24"/>
          <w:szCs w:val="24"/>
        </w:rPr>
      </w:pPr>
      <w:r>
        <w:rPr>
          <w:szCs w:val="30"/>
        </w:rPr>
        <w:instrText>Part 3A — Inquiry activities</w:instrText>
      </w:r>
    </w:p>
    <w:p>
      <w:pPr>
        <w:pStyle w:val="TOC8"/>
        <w:rPr>
          <w:sz w:val="24"/>
          <w:szCs w:val="24"/>
        </w:rPr>
      </w:pPr>
      <w:r>
        <w:rPr>
          <w:szCs w:val="24"/>
        </w:rPr>
        <w:instrText>13A.</w:instrText>
      </w:r>
      <w:r>
        <w:rPr>
          <w:szCs w:val="24"/>
        </w:rPr>
        <w:tab/>
        <w:instrText>Definition of “</w:instrText>
      </w:r>
      <w:r>
        <w:rPr>
          <w:bCs/>
          <w:szCs w:val="24"/>
        </w:rPr>
        <w:instrText>investigator</w:instrText>
      </w:r>
      <w:r>
        <w:rPr>
          <w:szCs w:val="24"/>
        </w:rPr>
        <w:instrText>” (section 28)</w:instrText>
      </w:r>
      <w:r>
        <w:tab/>
      </w:r>
      <w:r>
        <w:fldChar w:fldCharType="begin"/>
      </w:r>
      <w:r>
        <w:instrText xml:space="preserve"> PAGEREF _Toc117913939 \h </w:instrText>
      </w:r>
      <w:r>
        <w:fldChar w:fldCharType="separate"/>
      </w:r>
      <w:r>
        <w:instrText>9</w:instrText>
      </w:r>
      <w:r>
        <w:fldChar w:fldCharType="end"/>
      </w:r>
    </w:p>
    <w:p>
      <w:pPr>
        <w:pStyle w:val="TOC2"/>
        <w:tabs>
          <w:tab w:val="right" w:leader="dot" w:pos="7086"/>
        </w:tabs>
        <w:rPr>
          <w:b w:val="0"/>
          <w:sz w:val="24"/>
          <w:szCs w:val="24"/>
        </w:rPr>
      </w:pPr>
      <w:r>
        <w:rPr>
          <w:szCs w:val="30"/>
        </w:rPr>
        <w:instrText>Part 4 — Licensing procedures</w:instrText>
      </w:r>
    </w:p>
    <w:p>
      <w:pPr>
        <w:pStyle w:val="TOC8"/>
        <w:rPr>
          <w:sz w:val="24"/>
          <w:szCs w:val="24"/>
        </w:rPr>
      </w:pPr>
      <w:r>
        <w:rPr>
          <w:szCs w:val="24"/>
        </w:rPr>
        <w:instrText>14</w:instrText>
      </w:r>
      <w:r>
        <w:rPr>
          <w:snapToGrid w:val="0"/>
          <w:szCs w:val="24"/>
        </w:rPr>
        <w:instrText>.</w:instrText>
      </w:r>
      <w:r>
        <w:rPr>
          <w:snapToGrid w:val="0"/>
          <w:szCs w:val="24"/>
        </w:rPr>
        <w:tab/>
        <w:instrText>Application for the issue of a licence</w:instrText>
      </w:r>
      <w:r>
        <w:tab/>
      </w:r>
      <w:r>
        <w:fldChar w:fldCharType="begin"/>
      </w:r>
      <w:r>
        <w:instrText xml:space="preserve"> PAGEREF _Toc117913941 \h </w:instrText>
      </w:r>
      <w:r>
        <w:fldChar w:fldCharType="separate"/>
      </w:r>
      <w:r>
        <w:instrText>10</w:instrText>
      </w:r>
      <w:r>
        <w:fldChar w:fldCharType="end"/>
      </w:r>
    </w:p>
    <w:p>
      <w:pPr>
        <w:pStyle w:val="TOC8"/>
        <w:rPr>
          <w:sz w:val="24"/>
          <w:szCs w:val="24"/>
        </w:rPr>
      </w:pPr>
      <w:r>
        <w:rPr>
          <w:szCs w:val="24"/>
        </w:rPr>
        <w:instrText>15</w:instrText>
      </w:r>
      <w:r>
        <w:rPr>
          <w:rFonts w:ascii="Times" w:hAnsi="Times"/>
          <w:spacing w:val="-4"/>
          <w:szCs w:val="24"/>
        </w:rPr>
        <w:instrText>.</w:instrText>
      </w:r>
      <w:r>
        <w:rPr>
          <w:rFonts w:ascii="Times" w:hAnsi="Times"/>
          <w:spacing w:val="-4"/>
          <w:szCs w:val="24"/>
        </w:rPr>
        <w:tab/>
        <w:instrText>Medical examination prescribed for security officers with authority to be in possession of a firearm</w:instrText>
      </w:r>
      <w:r>
        <w:tab/>
      </w:r>
      <w:r>
        <w:fldChar w:fldCharType="begin"/>
      </w:r>
      <w:r>
        <w:instrText xml:space="preserve"> PAGEREF _Toc117913942 \h </w:instrText>
      </w:r>
      <w:r>
        <w:fldChar w:fldCharType="separate"/>
      </w:r>
      <w:r>
        <w:instrText>10</w:instrText>
      </w:r>
      <w:r>
        <w:fldChar w:fldCharType="end"/>
      </w:r>
    </w:p>
    <w:p>
      <w:pPr>
        <w:pStyle w:val="TOC8"/>
        <w:rPr>
          <w:sz w:val="24"/>
          <w:szCs w:val="24"/>
        </w:rPr>
      </w:pPr>
      <w:r>
        <w:rPr>
          <w:szCs w:val="24"/>
        </w:rPr>
        <w:instrText>16</w:instrText>
      </w:r>
      <w:r>
        <w:rPr>
          <w:snapToGrid w:val="0"/>
          <w:szCs w:val="24"/>
        </w:rPr>
        <w:instrText>.</w:instrText>
      </w:r>
      <w:r>
        <w:rPr>
          <w:snapToGrid w:val="0"/>
          <w:szCs w:val="24"/>
        </w:rPr>
        <w:tab/>
        <w:instrText>Training courses prescribed for sections 47, 52 and 53</w:instrText>
      </w:r>
      <w:r>
        <w:tab/>
      </w:r>
      <w:r>
        <w:fldChar w:fldCharType="begin"/>
      </w:r>
      <w:r>
        <w:instrText xml:space="preserve"> PAGEREF _Toc117913943 \h </w:instrText>
      </w:r>
      <w:r>
        <w:fldChar w:fldCharType="separate"/>
      </w:r>
      <w:r>
        <w:instrText>10</w:instrText>
      </w:r>
      <w:r>
        <w:fldChar w:fldCharType="end"/>
      </w:r>
    </w:p>
    <w:p>
      <w:pPr>
        <w:pStyle w:val="TOC8"/>
        <w:rPr>
          <w:sz w:val="24"/>
          <w:szCs w:val="24"/>
        </w:rPr>
      </w:pPr>
      <w:r>
        <w:rPr>
          <w:szCs w:val="24"/>
        </w:rPr>
        <w:instrText>17</w:instrText>
      </w:r>
      <w:r>
        <w:rPr>
          <w:snapToGrid w:val="0"/>
          <w:szCs w:val="24"/>
        </w:rPr>
        <w:instrText>.</w:instrText>
      </w:r>
      <w:r>
        <w:rPr>
          <w:snapToGrid w:val="0"/>
          <w:szCs w:val="24"/>
        </w:rPr>
        <w:tab/>
        <w:instrText>Examinations prescribed for sections 47 and 52</w:instrText>
      </w:r>
      <w:r>
        <w:tab/>
      </w:r>
      <w:r>
        <w:fldChar w:fldCharType="begin"/>
      </w:r>
      <w:r>
        <w:instrText xml:space="preserve"> PAGEREF _Toc117913944 \h </w:instrText>
      </w:r>
      <w:r>
        <w:fldChar w:fldCharType="separate"/>
      </w:r>
      <w:r>
        <w:instrText>12</w:instrText>
      </w:r>
      <w:r>
        <w:fldChar w:fldCharType="end"/>
      </w:r>
    </w:p>
    <w:p>
      <w:pPr>
        <w:pStyle w:val="TOC8"/>
        <w:rPr>
          <w:sz w:val="24"/>
          <w:szCs w:val="24"/>
        </w:rPr>
      </w:pPr>
      <w:r>
        <w:rPr>
          <w:szCs w:val="24"/>
        </w:rPr>
        <w:instrText>18</w:instrText>
      </w:r>
      <w:r>
        <w:rPr>
          <w:snapToGrid w:val="0"/>
          <w:szCs w:val="24"/>
        </w:rPr>
        <w:instrText>.</w:instrText>
      </w:r>
      <w:r>
        <w:rPr>
          <w:snapToGrid w:val="0"/>
          <w:szCs w:val="24"/>
        </w:rPr>
        <w:tab/>
        <w:instrText>Other evidence prescribed for sections 47 and 52</w:instrText>
      </w:r>
      <w:r>
        <w:tab/>
      </w:r>
      <w:r>
        <w:fldChar w:fldCharType="begin"/>
      </w:r>
      <w:r>
        <w:instrText xml:space="preserve"> PAGEREF _Toc117913945 \h </w:instrText>
      </w:r>
      <w:r>
        <w:fldChar w:fldCharType="separate"/>
      </w:r>
      <w:r>
        <w:instrText>13</w:instrText>
      </w:r>
      <w:r>
        <w:fldChar w:fldCharType="end"/>
      </w:r>
    </w:p>
    <w:p>
      <w:pPr>
        <w:pStyle w:val="TOC8"/>
        <w:rPr>
          <w:sz w:val="24"/>
          <w:szCs w:val="24"/>
        </w:rPr>
      </w:pPr>
      <w:r>
        <w:rPr>
          <w:szCs w:val="24"/>
        </w:rPr>
        <w:instrText>19.</w:instrText>
      </w:r>
      <w:r>
        <w:rPr>
          <w:szCs w:val="24"/>
        </w:rPr>
        <w:tab/>
        <w:instrText>Application for renewal of licence</w:instrText>
      </w:r>
      <w:r>
        <w:tab/>
      </w:r>
      <w:r>
        <w:fldChar w:fldCharType="begin"/>
      </w:r>
      <w:r>
        <w:instrText xml:space="preserve"> PAGEREF _Toc117913946 \h </w:instrText>
      </w:r>
      <w:r>
        <w:fldChar w:fldCharType="separate"/>
      </w:r>
      <w:r>
        <w:instrText>13</w:instrText>
      </w:r>
      <w:r>
        <w:fldChar w:fldCharType="end"/>
      </w:r>
    </w:p>
    <w:p>
      <w:pPr>
        <w:pStyle w:val="TOC8"/>
        <w:rPr>
          <w:sz w:val="24"/>
          <w:szCs w:val="24"/>
        </w:rPr>
      </w:pPr>
      <w:r>
        <w:rPr>
          <w:szCs w:val="24"/>
        </w:rPr>
        <w:instrText>20</w:instrText>
      </w:r>
      <w:r>
        <w:rPr>
          <w:snapToGrid w:val="0"/>
          <w:szCs w:val="24"/>
        </w:rPr>
        <w:instrText>.</w:instrText>
      </w:r>
      <w:r>
        <w:rPr>
          <w:snapToGrid w:val="0"/>
          <w:szCs w:val="24"/>
        </w:rPr>
        <w:tab/>
        <w:instrText>Material to support application for renewal of licence</w:instrText>
      </w:r>
      <w:r>
        <w:tab/>
      </w:r>
      <w:r>
        <w:fldChar w:fldCharType="begin"/>
      </w:r>
      <w:r>
        <w:instrText xml:space="preserve"> PAGEREF _Toc117913947 \h </w:instrText>
      </w:r>
      <w:r>
        <w:fldChar w:fldCharType="separate"/>
      </w:r>
      <w:r>
        <w:instrText>14</w:instrText>
      </w:r>
      <w:r>
        <w:fldChar w:fldCharType="end"/>
      </w:r>
    </w:p>
    <w:p>
      <w:pPr>
        <w:pStyle w:val="TOC8"/>
        <w:rPr>
          <w:sz w:val="24"/>
          <w:szCs w:val="24"/>
        </w:rPr>
      </w:pPr>
      <w:r>
        <w:rPr>
          <w:szCs w:val="24"/>
        </w:rPr>
        <w:instrText>21</w:instrText>
      </w:r>
      <w:r>
        <w:rPr>
          <w:snapToGrid w:val="0"/>
          <w:szCs w:val="24"/>
        </w:rPr>
        <w:instrText>.</w:instrText>
      </w:r>
      <w:r>
        <w:rPr>
          <w:snapToGrid w:val="0"/>
          <w:szCs w:val="24"/>
        </w:rPr>
        <w:tab/>
        <w:instrText>Prescribed conditions and restrictions on licences</w:instrText>
      </w:r>
      <w:r>
        <w:tab/>
      </w:r>
      <w:r>
        <w:fldChar w:fldCharType="begin"/>
      </w:r>
      <w:r>
        <w:instrText xml:space="preserve"> PAGEREF _Toc117913948 \h </w:instrText>
      </w:r>
      <w:r>
        <w:fldChar w:fldCharType="separate"/>
      </w:r>
      <w:r>
        <w:instrText>14</w:instrText>
      </w:r>
      <w:r>
        <w:fldChar w:fldCharType="end"/>
      </w:r>
    </w:p>
    <w:p>
      <w:pPr>
        <w:pStyle w:val="TOC2"/>
        <w:tabs>
          <w:tab w:val="right" w:leader="dot" w:pos="7086"/>
        </w:tabs>
        <w:rPr>
          <w:b w:val="0"/>
          <w:sz w:val="24"/>
          <w:szCs w:val="24"/>
        </w:rPr>
      </w:pPr>
      <w:r>
        <w:rPr>
          <w:szCs w:val="30"/>
        </w:rPr>
        <w:instrText>Part 6 — Records</w:instrText>
      </w:r>
    </w:p>
    <w:p>
      <w:pPr>
        <w:pStyle w:val="TOC8"/>
        <w:rPr>
          <w:sz w:val="24"/>
          <w:szCs w:val="24"/>
        </w:rPr>
      </w:pPr>
      <w:r>
        <w:rPr>
          <w:szCs w:val="24"/>
        </w:rPr>
        <w:instrText>35</w:instrText>
      </w:r>
      <w:r>
        <w:rPr>
          <w:snapToGrid w:val="0"/>
          <w:szCs w:val="24"/>
        </w:rPr>
        <w:instrText>.</w:instrText>
      </w:r>
      <w:r>
        <w:rPr>
          <w:snapToGrid w:val="0"/>
          <w:szCs w:val="24"/>
        </w:rPr>
        <w:tab/>
        <w:instrText>Prescribed records for a security agent</w:instrText>
      </w:r>
      <w:r>
        <w:tab/>
      </w:r>
      <w:r>
        <w:fldChar w:fldCharType="begin"/>
      </w:r>
      <w:r>
        <w:instrText xml:space="preserve"> PAGEREF _Toc117913950 \h </w:instrText>
      </w:r>
      <w:r>
        <w:fldChar w:fldCharType="separate"/>
      </w:r>
      <w:r>
        <w:instrText>15</w:instrText>
      </w:r>
      <w:r>
        <w:fldChar w:fldCharType="end"/>
      </w:r>
    </w:p>
    <w:p>
      <w:pPr>
        <w:pStyle w:val="TOC8"/>
        <w:rPr>
          <w:sz w:val="24"/>
          <w:szCs w:val="24"/>
        </w:rPr>
      </w:pPr>
      <w:r>
        <w:rPr>
          <w:szCs w:val="24"/>
        </w:rPr>
        <w:instrText>36</w:instrText>
      </w:r>
      <w:r>
        <w:rPr>
          <w:snapToGrid w:val="0"/>
          <w:szCs w:val="24"/>
        </w:rPr>
        <w:instrText>.</w:instrText>
      </w:r>
      <w:r>
        <w:rPr>
          <w:snapToGrid w:val="0"/>
          <w:szCs w:val="24"/>
        </w:rPr>
        <w:tab/>
        <w:instrText>Firearms register</w:instrText>
      </w:r>
      <w:r>
        <w:tab/>
      </w:r>
      <w:r>
        <w:fldChar w:fldCharType="begin"/>
      </w:r>
      <w:r>
        <w:instrText xml:space="preserve"> PAGEREF _Toc117913951 \h </w:instrText>
      </w:r>
      <w:r>
        <w:fldChar w:fldCharType="separate"/>
      </w:r>
      <w:r>
        <w:instrText>15</w:instrText>
      </w:r>
      <w:r>
        <w:fldChar w:fldCharType="end"/>
      </w:r>
    </w:p>
    <w:p>
      <w:pPr>
        <w:pStyle w:val="TOC8"/>
        <w:rPr>
          <w:sz w:val="24"/>
          <w:szCs w:val="24"/>
        </w:rPr>
      </w:pPr>
      <w:r>
        <w:rPr>
          <w:szCs w:val="24"/>
        </w:rPr>
        <w:instrText>37</w:instrText>
      </w:r>
      <w:r>
        <w:rPr>
          <w:snapToGrid w:val="0"/>
          <w:szCs w:val="24"/>
        </w:rPr>
        <w:instrText>.</w:instrText>
      </w:r>
      <w:r>
        <w:rPr>
          <w:snapToGrid w:val="0"/>
          <w:szCs w:val="24"/>
        </w:rPr>
        <w:tab/>
        <w:instrText>Alarm surveillance register</w:instrText>
      </w:r>
      <w:r>
        <w:tab/>
      </w:r>
      <w:r>
        <w:fldChar w:fldCharType="begin"/>
      </w:r>
      <w:r>
        <w:instrText xml:space="preserve"> PAGEREF _Toc117913952 \h </w:instrText>
      </w:r>
      <w:r>
        <w:fldChar w:fldCharType="separate"/>
      </w:r>
      <w:r>
        <w:instrText>16</w:instrText>
      </w:r>
      <w:r>
        <w:fldChar w:fldCharType="end"/>
      </w:r>
    </w:p>
    <w:p>
      <w:pPr>
        <w:pStyle w:val="TOC8"/>
        <w:rPr>
          <w:sz w:val="24"/>
          <w:szCs w:val="24"/>
        </w:rPr>
      </w:pPr>
      <w:r>
        <w:rPr>
          <w:szCs w:val="24"/>
        </w:rPr>
        <w:instrText>38</w:instrText>
      </w:r>
      <w:r>
        <w:rPr>
          <w:snapToGrid w:val="0"/>
          <w:szCs w:val="24"/>
        </w:rPr>
        <w:instrText>.</w:instrText>
      </w:r>
      <w:r>
        <w:rPr>
          <w:snapToGrid w:val="0"/>
          <w:szCs w:val="24"/>
        </w:rPr>
        <w:tab/>
        <w:instrText>General records of security agent</w:instrText>
      </w:r>
      <w:r>
        <w:tab/>
      </w:r>
      <w:r>
        <w:fldChar w:fldCharType="begin"/>
      </w:r>
      <w:r>
        <w:instrText xml:space="preserve"> PAGEREF _Toc117913953 \h </w:instrText>
      </w:r>
      <w:r>
        <w:fldChar w:fldCharType="separate"/>
      </w:r>
      <w:r>
        <w:instrText>18</w:instrText>
      </w:r>
      <w:r>
        <w:fldChar w:fldCharType="end"/>
      </w:r>
    </w:p>
    <w:p>
      <w:pPr>
        <w:pStyle w:val="TOC8"/>
        <w:rPr>
          <w:sz w:val="24"/>
          <w:szCs w:val="24"/>
        </w:rPr>
      </w:pPr>
      <w:r>
        <w:rPr>
          <w:szCs w:val="24"/>
        </w:rPr>
        <w:instrText>39</w:instrText>
      </w:r>
      <w:r>
        <w:rPr>
          <w:snapToGrid w:val="0"/>
          <w:szCs w:val="24"/>
        </w:rPr>
        <w:instrText>.</w:instrText>
      </w:r>
      <w:r>
        <w:rPr>
          <w:snapToGrid w:val="0"/>
          <w:szCs w:val="24"/>
        </w:rPr>
        <w:tab/>
        <w:instrText>Prescribed records for a crowd control agent</w:instrText>
      </w:r>
      <w:r>
        <w:tab/>
      </w:r>
      <w:r>
        <w:fldChar w:fldCharType="begin"/>
      </w:r>
      <w:r>
        <w:instrText xml:space="preserve"> PAGEREF _Toc117913954 \h </w:instrText>
      </w:r>
      <w:r>
        <w:fldChar w:fldCharType="separate"/>
      </w:r>
      <w:r>
        <w:instrText>18</w:instrText>
      </w:r>
      <w:r>
        <w:fldChar w:fldCharType="end"/>
      </w:r>
    </w:p>
    <w:p>
      <w:pPr>
        <w:pStyle w:val="TOC8"/>
        <w:rPr>
          <w:sz w:val="24"/>
          <w:szCs w:val="24"/>
        </w:rPr>
      </w:pPr>
      <w:r>
        <w:rPr>
          <w:szCs w:val="24"/>
        </w:rPr>
        <w:instrText>40</w:instrText>
      </w:r>
      <w:r>
        <w:rPr>
          <w:snapToGrid w:val="0"/>
          <w:szCs w:val="24"/>
        </w:rPr>
        <w:instrText>.</w:instrText>
      </w:r>
      <w:r>
        <w:rPr>
          <w:snapToGrid w:val="0"/>
          <w:szCs w:val="24"/>
        </w:rPr>
        <w:tab/>
        <w:instrText>Incident register</w:instrText>
      </w:r>
      <w:r>
        <w:tab/>
      </w:r>
      <w:r>
        <w:fldChar w:fldCharType="begin"/>
      </w:r>
      <w:r>
        <w:instrText xml:space="preserve"> PAGEREF _Toc117913955 \h </w:instrText>
      </w:r>
      <w:r>
        <w:fldChar w:fldCharType="separate"/>
      </w:r>
      <w:r>
        <w:instrText>19</w:instrText>
      </w:r>
      <w:r>
        <w:fldChar w:fldCharType="end"/>
      </w:r>
    </w:p>
    <w:p>
      <w:pPr>
        <w:pStyle w:val="TOC8"/>
        <w:rPr>
          <w:sz w:val="24"/>
          <w:szCs w:val="24"/>
        </w:rPr>
      </w:pPr>
      <w:r>
        <w:rPr>
          <w:szCs w:val="24"/>
        </w:rPr>
        <w:instrText>41</w:instrText>
      </w:r>
      <w:r>
        <w:rPr>
          <w:snapToGrid w:val="0"/>
          <w:szCs w:val="24"/>
        </w:rPr>
        <w:instrText>.</w:instrText>
      </w:r>
      <w:r>
        <w:rPr>
          <w:snapToGrid w:val="0"/>
          <w:szCs w:val="24"/>
        </w:rPr>
        <w:tab/>
        <w:instrText>General records of crowd control agent</w:instrText>
      </w:r>
      <w:r>
        <w:tab/>
      </w:r>
      <w:r>
        <w:fldChar w:fldCharType="begin"/>
      </w:r>
      <w:r>
        <w:instrText xml:space="preserve"> PAGEREF _Toc117913956 \h </w:instrText>
      </w:r>
      <w:r>
        <w:fldChar w:fldCharType="separate"/>
      </w:r>
      <w:r>
        <w:instrText>20</w:instrText>
      </w:r>
      <w:r>
        <w:fldChar w:fldCharType="end"/>
      </w:r>
    </w:p>
    <w:p>
      <w:pPr>
        <w:pStyle w:val="TOC8"/>
        <w:rPr>
          <w:sz w:val="24"/>
          <w:szCs w:val="24"/>
        </w:rPr>
      </w:pPr>
      <w:r>
        <w:rPr>
          <w:szCs w:val="24"/>
        </w:rPr>
        <w:instrText>42</w:instrText>
      </w:r>
      <w:r>
        <w:rPr>
          <w:snapToGrid w:val="0"/>
          <w:szCs w:val="24"/>
        </w:rPr>
        <w:instrText>.</w:instrText>
      </w:r>
      <w:r>
        <w:rPr>
          <w:snapToGrid w:val="0"/>
          <w:szCs w:val="24"/>
        </w:rPr>
        <w:tab/>
        <w:instrText>Records to be kept by inquiry agent</w:instrText>
      </w:r>
      <w:r>
        <w:tab/>
      </w:r>
      <w:r>
        <w:fldChar w:fldCharType="begin"/>
      </w:r>
      <w:r>
        <w:instrText xml:space="preserve"> PAGEREF _Toc117913957 \h </w:instrText>
      </w:r>
      <w:r>
        <w:fldChar w:fldCharType="separate"/>
      </w:r>
      <w:r>
        <w:instrText>21</w:instrText>
      </w:r>
      <w:r>
        <w:fldChar w:fldCharType="end"/>
      </w:r>
    </w:p>
    <w:p>
      <w:pPr>
        <w:pStyle w:val="TOC8"/>
        <w:rPr>
          <w:sz w:val="24"/>
          <w:szCs w:val="24"/>
        </w:rPr>
      </w:pPr>
      <w:r>
        <w:rPr>
          <w:szCs w:val="24"/>
        </w:rPr>
        <w:instrText>43</w:instrText>
      </w:r>
      <w:r>
        <w:rPr>
          <w:snapToGrid w:val="0"/>
          <w:szCs w:val="24"/>
        </w:rPr>
        <w:instrText>.</w:instrText>
      </w:r>
      <w:r>
        <w:rPr>
          <w:snapToGrid w:val="0"/>
          <w:szCs w:val="24"/>
        </w:rPr>
        <w:tab/>
        <w:instrText>Records to be kept by person who engages a crowd control agent</w:instrText>
      </w:r>
      <w:r>
        <w:tab/>
      </w:r>
      <w:r>
        <w:fldChar w:fldCharType="begin"/>
      </w:r>
      <w:r>
        <w:instrText xml:space="preserve"> PAGEREF _Toc117913958 \h </w:instrText>
      </w:r>
      <w:r>
        <w:fldChar w:fldCharType="separate"/>
      </w:r>
      <w:r>
        <w:instrText>21</w:instrText>
      </w:r>
      <w:r>
        <w:fldChar w:fldCharType="end"/>
      </w:r>
    </w:p>
    <w:p>
      <w:pPr>
        <w:pStyle w:val="TOC2"/>
        <w:tabs>
          <w:tab w:val="right" w:leader="dot" w:pos="7086"/>
        </w:tabs>
        <w:rPr>
          <w:b w:val="0"/>
          <w:sz w:val="24"/>
          <w:szCs w:val="24"/>
        </w:rPr>
      </w:pPr>
      <w:r>
        <w:rPr>
          <w:szCs w:val="30"/>
        </w:rPr>
        <w:instrText>Part 7 — Drug testing</w:instrText>
      </w:r>
    </w:p>
    <w:p>
      <w:pPr>
        <w:pStyle w:val="TOC8"/>
        <w:rPr>
          <w:sz w:val="24"/>
          <w:szCs w:val="24"/>
        </w:rPr>
      </w:pPr>
      <w:r>
        <w:rPr>
          <w:szCs w:val="24"/>
        </w:rPr>
        <w:instrText>44</w:instrText>
      </w:r>
      <w:r>
        <w:rPr>
          <w:snapToGrid w:val="0"/>
          <w:szCs w:val="24"/>
        </w:rPr>
        <w:instrText>.</w:instrText>
      </w:r>
      <w:r>
        <w:rPr>
          <w:snapToGrid w:val="0"/>
          <w:szCs w:val="24"/>
        </w:rPr>
        <w:tab/>
        <w:instrText>Definitions</w:instrText>
      </w:r>
      <w:r>
        <w:tab/>
      </w:r>
      <w:r>
        <w:fldChar w:fldCharType="begin"/>
      </w:r>
      <w:r>
        <w:instrText xml:space="preserve"> PAGEREF _Toc117913960 \h </w:instrText>
      </w:r>
      <w:r>
        <w:fldChar w:fldCharType="separate"/>
      </w:r>
      <w:r>
        <w:instrText>22</w:instrText>
      </w:r>
      <w:r>
        <w:fldChar w:fldCharType="end"/>
      </w:r>
    </w:p>
    <w:p>
      <w:pPr>
        <w:pStyle w:val="TOC8"/>
        <w:rPr>
          <w:sz w:val="24"/>
          <w:szCs w:val="24"/>
        </w:rPr>
      </w:pPr>
      <w:r>
        <w:rPr>
          <w:szCs w:val="24"/>
        </w:rPr>
        <w:instrText>45</w:instrText>
      </w:r>
      <w:r>
        <w:rPr>
          <w:snapToGrid w:val="0"/>
          <w:szCs w:val="24"/>
        </w:rPr>
        <w:instrText>.</w:instrText>
      </w:r>
      <w:r>
        <w:rPr>
          <w:snapToGrid w:val="0"/>
          <w:szCs w:val="24"/>
        </w:rPr>
        <w:tab/>
        <w:instrText>Prescribed drugs</w:instrText>
      </w:r>
      <w:r>
        <w:tab/>
      </w:r>
      <w:r>
        <w:fldChar w:fldCharType="begin"/>
      </w:r>
      <w:r>
        <w:instrText xml:space="preserve"> PAGEREF _Toc117913961 \h </w:instrText>
      </w:r>
      <w:r>
        <w:fldChar w:fldCharType="separate"/>
      </w:r>
      <w:r>
        <w:instrText>22</w:instrText>
      </w:r>
      <w:r>
        <w:fldChar w:fldCharType="end"/>
      </w:r>
    </w:p>
    <w:p>
      <w:pPr>
        <w:pStyle w:val="TOC8"/>
        <w:rPr>
          <w:sz w:val="24"/>
          <w:szCs w:val="24"/>
        </w:rPr>
      </w:pPr>
      <w:r>
        <w:rPr>
          <w:szCs w:val="24"/>
        </w:rPr>
        <w:instrText>46</w:instrText>
      </w:r>
      <w:r>
        <w:rPr>
          <w:snapToGrid w:val="0"/>
          <w:szCs w:val="24"/>
        </w:rPr>
        <w:instrText>.</w:instrText>
      </w:r>
      <w:r>
        <w:rPr>
          <w:snapToGrid w:val="0"/>
          <w:szCs w:val="24"/>
        </w:rPr>
        <w:tab/>
        <w:instrText>Approval of technologists, sample collectors and analysts</w:instrText>
      </w:r>
      <w:r>
        <w:tab/>
      </w:r>
      <w:r>
        <w:fldChar w:fldCharType="begin"/>
      </w:r>
      <w:r>
        <w:instrText xml:space="preserve"> PAGEREF _Toc117913962 \h </w:instrText>
      </w:r>
      <w:r>
        <w:fldChar w:fldCharType="separate"/>
      </w:r>
      <w:r>
        <w:instrText>22</w:instrText>
      </w:r>
      <w:r>
        <w:fldChar w:fldCharType="end"/>
      </w:r>
    </w:p>
    <w:p>
      <w:pPr>
        <w:pStyle w:val="TOC8"/>
        <w:rPr>
          <w:sz w:val="24"/>
          <w:szCs w:val="24"/>
        </w:rPr>
      </w:pPr>
      <w:r>
        <w:rPr>
          <w:szCs w:val="24"/>
        </w:rPr>
        <w:instrText>47</w:instrText>
      </w:r>
      <w:r>
        <w:rPr>
          <w:snapToGrid w:val="0"/>
          <w:szCs w:val="24"/>
        </w:rPr>
        <w:instrText>.</w:instrText>
      </w:r>
      <w:r>
        <w:rPr>
          <w:snapToGrid w:val="0"/>
          <w:szCs w:val="24"/>
        </w:rPr>
        <w:tab/>
        <w:instrText>Prescribed sampling equipment</w:instrText>
      </w:r>
      <w:r>
        <w:tab/>
      </w:r>
      <w:r>
        <w:fldChar w:fldCharType="begin"/>
      </w:r>
      <w:r>
        <w:instrText xml:space="preserve"> PAGEREF _Toc117913963 \h </w:instrText>
      </w:r>
      <w:r>
        <w:fldChar w:fldCharType="separate"/>
      </w:r>
      <w:r>
        <w:instrText>23</w:instrText>
      </w:r>
      <w:r>
        <w:fldChar w:fldCharType="end"/>
      </w:r>
    </w:p>
    <w:p>
      <w:pPr>
        <w:pStyle w:val="TOC8"/>
        <w:rPr>
          <w:sz w:val="24"/>
          <w:szCs w:val="24"/>
        </w:rPr>
      </w:pPr>
      <w:r>
        <w:rPr>
          <w:szCs w:val="24"/>
        </w:rPr>
        <w:instrText>48</w:instrText>
      </w:r>
      <w:r>
        <w:rPr>
          <w:snapToGrid w:val="0"/>
          <w:szCs w:val="24"/>
        </w:rPr>
        <w:instrText>.</w:instrText>
      </w:r>
      <w:r>
        <w:rPr>
          <w:snapToGrid w:val="0"/>
          <w:szCs w:val="24"/>
        </w:rPr>
        <w:tab/>
        <w:instrText>Preparation and use of sampling equipment</w:instrText>
      </w:r>
      <w:r>
        <w:tab/>
      </w:r>
      <w:r>
        <w:fldChar w:fldCharType="begin"/>
      </w:r>
      <w:r>
        <w:instrText xml:space="preserve"> PAGEREF _Toc117913964 \h </w:instrText>
      </w:r>
      <w:r>
        <w:fldChar w:fldCharType="separate"/>
      </w:r>
      <w:r>
        <w:instrText>24</w:instrText>
      </w:r>
      <w:r>
        <w:fldChar w:fldCharType="end"/>
      </w:r>
    </w:p>
    <w:p>
      <w:pPr>
        <w:pStyle w:val="TOC8"/>
        <w:rPr>
          <w:sz w:val="24"/>
          <w:szCs w:val="24"/>
        </w:rPr>
      </w:pPr>
      <w:r>
        <w:rPr>
          <w:szCs w:val="24"/>
        </w:rPr>
        <w:instrText>48A.</w:instrText>
      </w:r>
      <w:r>
        <w:rPr>
          <w:szCs w:val="24"/>
        </w:rPr>
        <w:tab/>
        <w:instrText>Identity card to be produced when blood, urine collected</w:instrText>
      </w:r>
      <w:r>
        <w:tab/>
      </w:r>
      <w:r>
        <w:fldChar w:fldCharType="begin"/>
      </w:r>
      <w:r>
        <w:instrText xml:space="preserve"> PAGEREF _Toc117913965 \h </w:instrText>
      </w:r>
      <w:r>
        <w:fldChar w:fldCharType="separate"/>
      </w:r>
      <w:r>
        <w:instrText>25</w:instrText>
      </w:r>
      <w:r>
        <w:fldChar w:fldCharType="end"/>
      </w:r>
    </w:p>
    <w:p>
      <w:pPr>
        <w:pStyle w:val="TOC8"/>
        <w:rPr>
          <w:sz w:val="24"/>
          <w:szCs w:val="24"/>
        </w:rPr>
      </w:pPr>
      <w:r>
        <w:rPr>
          <w:szCs w:val="24"/>
        </w:rPr>
        <w:instrText>49</w:instrText>
      </w:r>
      <w:r>
        <w:rPr>
          <w:snapToGrid w:val="0"/>
          <w:szCs w:val="24"/>
        </w:rPr>
        <w:instrText>.</w:instrText>
      </w:r>
      <w:r>
        <w:rPr>
          <w:snapToGrid w:val="0"/>
          <w:szCs w:val="24"/>
        </w:rPr>
        <w:tab/>
        <w:instrText>Method of collecting blood</w:instrText>
      </w:r>
      <w:r>
        <w:tab/>
      </w:r>
      <w:r>
        <w:fldChar w:fldCharType="begin"/>
      </w:r>
      <w:r>
        <w:instrText xml:space="preserve"> PAGEREF _Toc117913966 \h </w:instrText>
      </w:r>
      <w:r>
        <w:fldChar w:fldCharType="separate"/>
      </w:r>
      <w:r>
        <w:instrText>25</w:instrText>
      </w:r>
      <w:r>
        <w:fldChar w:fldCharType="end"/>
      </w:r>
    </w:p>
    <w:p>
      <w:pPr>
        <w:pStyle w:val="TOC8"/>
        <w:rPr>
          <w:sz w:val="24"/>
          <w:szCs w:val="24"/>
        </w:rPr>
      </w:pPr>
      <w:r>
        <w:rPr>
          <w:szCs w:val="24"/>
        </w:rPr>
        <w:instrText>50</w:instrText>
      </w:r>
      <w:r>
        <w:rPr>
          <w:snapToGrid w:val="0"/>
          <w:szCs w:val="24"/>
        </w:rPr>
        <w:instrText>.</w:instrText>
      </w:r>
      <w:r>
        <w:rPr>
          <w:snapToGrid w:val="0"/>
          <w:szCs w:val="24"/>
        </w:rPr>
        <w:tab/>
        <w:instrText>Method of collecting urine</w:instrText>
      </w:r>
      <w:r>
        <w:tab/>
      </w:r>
      <w:r>
        <w:fldChar w:fldCharType="begin"/>
      </w:r>
      <w:r>
        <w:instrText xml:space="preserve"> PAGEREF _Toc117913967 \h </w:instrText>
      </w:r>
      <w:r>
        <w:fldChar w:fldCharType="separate"/>
      </w:r>
      <w:r>
        <w:instrText>26</w:instrText>
      </w:r>
      <w:r>
        <w:fldChar w:fldCharType="end"/>
      </w:r>
    </w:p>
    <w:p>
      <w:pPr>
        <w:pStyle w:val="TOC8"/>
        <w:rPr>
          <w:sz w:val="24"/>
          <w:szCs w:val="24"/>
        </w:rPr>
      </w:pPr>
      <w:r>
        <w:rPr>
          <w:szCs w:val="24"/>
        </w:rPr>
        <w:instrText>51</w:instrText>
      </w:r>
      <w:r>
        <w:rPr>
          <w:snapToGrid w:val="0"/>
          <w:szCs w:val="24"/>
        </w:rPr>
        <w:instrText>.</w:instrText>
      </w:r>
      <w:r>
        <w:rPr>
          <w:snapToGrid w:val="0"/>
          <w:szCs w:val="24"/>
        </w:rPr>
        <w:tab/>
        <w:instrText>Analysis of samples</w:instrText>
      </w:r>
      <w:r>
        <w:tab/>
      </w:r>
      <w:r>
        <w:fldChar w:fldCharType="begin"/>
      </w:r>
      <w:r>
        <w:instrText xml:space="preserve"> PAGEREF _Toc117913968 \h </w:instrText>
      </w:r>
      <w:r>
        <w:fldChar w:fldCharType="separate"/>
      </w:r>
      <w:r>
        <w:instrText>27</w:instrText>
      </w:r>
      <w:r>
        <w:fldChar w:fldCharType="end"/>
      </w:r>
    </w:p>
    <w:p>
      <w:pPr>
        <w:pStyle w:val="TOC8"/>
        <w:rPr>
          <w:sz w:val="24"/>
          <w:szCs w:val="24"/>
        </w:rPr>
      </w:pPr>
      <w:r>
        <w:rPr>
          <w:szCs w:val="24"/>
        </w:rPr>
        <w:instrText>52</w:instrText>
      </w:r>
      <w:r>
        <w:rPr>
          <w:snapToGrid w:val="0"/>
          <w:szCs w:val="24"/>
        </w:rPr>
        <w:instrText>.</w:instrText>
      </w:r>
      <w:r>
        <w:rPr>
          <w:snapToGrid w:val="0"/>
          <w:szCs w:val="24"/>
        </w:rPr>
        <w:tab/>
        <w:instrText>Definition of non</w:instrText>
      </w:r>
      <w:r>
        <w:rPr>
          <w:snapToGrid w:val="0"/>
          <w:szCs w:val="24"/>
        </w:rPr>
        <w:noBreakHyphen/>
        <w:instrText>complying sample</w:instrText>
      </w:r>
      <w:r>
        <w:tab/>
      </w:r>
      <w:r>
        <w:fldChar w:fldCharType="begin"/>
      </w:r>
      <w:r>
        <w:instrText xml:space="preserve"> PAGEREF _Toc117913969 \h </w:instrText>
      </w:r>
      <w:r>
        <w:fldChar w:fldCharType="separate"/>
      </w:r>
      <w:r>
        <w:instrText>27</w:instrText>
      </w:r>
      <w:r>
        <w:fldChar w:fldCharType="end"/>
      </w:r>
    </w:p>
    <w:p>
      <w:pPr>
        <w:pStyle w:val="TOC8"/>
        <w:rPr>
          <w:sz w:val="24"/>
          <w:szCs w:val="24"/>
        </w:rPr>
      </w:pPr>
      <w:r>
        <w:rPr>
          <w:szCs w:val="24"/>
        </w:rPr>
        <w:instrText>53</w:instrText>
      </w:r>
      <w:r>
        <w:rPr>
          <w:snapToGrid w:val="0"/>
          <w:szCs w:val="24"/>
        </w:rPr>
        <w:instrText>.</w:instrText>
      </w:r>
      <w:r>
        <w:rPr>
          <w:snapToGrid w:val="0"/>
          <w:szCs w:val="24"/>
        </w:rPr>
        <w:tab/>
        <w:instrText>Certificate evidence</w:instrText>
      </w:r>
      <w:r>
        <w:tab/>
      </w:r>
      <w:r>
        <w:fldChar w:fldCharType="begin"/>
      </w:r>
      <w:r>
        <w:instrText xml:space="preserve"> PAGEREF _Toc117913970 \h </w:instrText>
      </w:r>
      <w:r>
        <w:fldChar w:fldCharType="separate"/>
      </w:r>
      <w:r>
        <w:instrText>27</w:instrText>
      </w:r>
      <w:r>
        <w:fldChar w:fldCharType="end"/>
      </w:r>
    </w:p>
    <w:p>
      <w:pPr>
        <w:pStyle w:val="TOC2"/>
        <w:tabs>
          <w:tab w:val="right" w:leader="dot" w:pos="7086"/>
        </w:tabs>
        <w:rPr>
          <w:b w:val="0"/>
          <w:sz w:val="24"/>
          <w:szCs w:val="24"/>
        </w:rPr>
      </w:pPr>
      <w:r>
        <w:rPr>
          <w:szCs w:val="30"/>
        </w:rPr>
        <w:instrText>Part 8 — Miscellaneous</w:instrText>
      </w:r>
    </w:p>
    <w:p>
      <w:pPr>
        <w:pStyle w:val="TOC8"/>
        <w:rPr>
          <w:sz w:val="24"/>
          <w:szCs w:val="24"/>
        </w:rPr>
      </w:pPr>
      <w:r>
        <w:rPr>
          <w:szCs w:val="24"/>
        </w:rPr>
        <w:instrText>54</w:instrText>
      </w:r>
      <w:r>
        <w:rPr>
          <w:snapToGrid w:val="0"/>
          <w:szCs w:val="24"/>
        </w:rPr>
        <w:instrText>.</w:instrText>
      </w:r>
      <w:r>
        <w:rPr>
          <w:snapToGrid w:val="0"/>
          <w:szCs w:val="24"/>
        </w:rPr>
        <w:tab/>
        <w:instrText>Fees</w:instrText>
      </w:r>
      <w:r>
        <w:tab/>
      </w:r>
      <w:r>
        <w:fldChar w:fldCharType="begin"/>
      </w:r>
      <w:r>
        <w:instrText xml:space="preserve"> PAGEREF _Toc117913972 \h </w:instrText>
      </w:r>
      <w:r>
        <w:fldChar w:fldCharType="separate"/>
      </w:r>
      <w:r>
        <w:instrText>29</w:instrText>
      </w:r>
      <w:r>
        <w:fldChar w:fldCharType="end"/>
      </w:r>
    </w:p>
    <w:p>
      <w:pPr>
        <w:pStyle w:val="TOC8"/>
        <w:rPr>
          <w:sz w:val="24"/>
          <w:szCs w:val="24"/>
        </w:rPr>
      </w:pPr>
      <w:r>
        <w:rPr>
          <w:szCs w:val="24"/>
        </w:rPr>
        <w:instrText>54A.</w:instrText>
      </w:r>
      <w:r>
        <w:rPr>
          <w:szCs w:val="24"/>
        </w:rPr>
        <w:tab/>
        <w:instrText>Codes of conduct</w:instrText>
      </w:r>
      <w:r>
        <w:tab/>
      </w:r>
      <w:r>
        <w:fldChar w:fldCharType="begin"/>
      </w:r>
      <w:r>
        <w:instrText xml:space="preserve"> PAGEREF _Toc117913973 \h </w:instrText>
      </w:r>
      <w:r>
        <w:fldChar w:fldCharType="separate"/>
      </w:r>
      <w:r>
        <w:instrText>29</w:instrText>
      </w:r>
      <w:r>
        <w:fldChar w:fldCharType="end"/>
      </w:r>
    </w:p>
    <w:p>
      <w:pPr>
        <w:pStyle w:val="TOC2"/>
        <w:tabs>
          <w:tab w:val="right" w:leader="dot" w:pos="7086"/>
        </w:tabs>
        <w:rPr>
          <w:b w:val="0"/>
          <w:sz w:val="24"/>
          <w:szCs w:val="24"/>
        </w:rPr>
      </w:pPr>
      <w:r>
        <w:rPr>
          <w:szCs w:val="30"/>
        </w:rPr>
        <w:instrText>Part 9 — Transitional provisions</w:instrText>
      </w:r>
    </w:p>
    <w:p>
      <w:pPr>
        <w:pStyle w:val="TOC8"/>
        <w:rPr>
          <w:sz w:val="24"/>
          <w:szCs w:val="24"/>
        </w:rPr>
      </w:pPr>
      <w:r>
        <w:rPr>
          <w:szCs w:val="24"/>
        </w:rPr>
        <w:instrText>55</w:instrText>
      </w:r>
      <w:r>
        <w:rPr>
          <w:snapToGrid w:val="0"/>
          <w:szCs w:val="24"/>
        </w:rPr>
        <w:instrText>.</w:instrText>
      </w:r>
      <w:r>
        <w:rPr>
          <w:snapToGrid w:val="0"/>
          <w:szCs w:val="24"/>
        </w:rPr>
        <w:tab/>
        <w:instrText>Existing licences</w:instrText>
      </w:r>
      <w:r>
        <w:tab/>
      </w:r>
      <w:r>
        <w:fldChar w:fldCharType="begin"/>
      </w:r>
      <w:r>
        <w:instrText xml:space="preserve"> PAGEREF _Toc117913975 \h </w:instrText>
      </w:r>
      <w:r>
        <w:fldChar w:fldCharType="separate"/>
      </w:r>
      <w:r>
        <w:instrText>30</w:instrText>
      </w:r>
      <w:r>
        <w:fldChar w:fldCharType="end"/>
      </w:r>
    </w:p>
    <w:p>
      <w:pPr>
        <w:pStyle w:val="TOC8"/>
        <w:rPr>
          <w:sz w:val="24"/>
          <w:szCs w:val="24"/>
        </w:rPr>
      </w:pPr>
      <w:r>
        <w:rPr>
          <w:szCs w:val="24"/>
        </w:rPr>
        <w:instrText>56</w:instrText>
      </w:r>
      <w:r>
        <w:rPr>
          <w:snapToGrid w:val="0"/>
          <w:szCs w:val="24"/>
        </w:rPr>
        <w:instrText>.</w:instrText>
      </w:r>
      <w:r>
        <w:rPr>
          <w:snapToGrid w:val="0"/>
          <w:szCs w:val="24"/>
        </w:rPr>
        <w:tab/>
        <w:instrText>Continuation of conditions</w:instrText>
      </w:r>
      <w:r>
        <w:tab/>
      </w:r>
      <w:r>
        <w:fldChar w:fldCharType="begin"/>
      </w:r>
      <w:r>
        <w:instrText xml:space="preserve"> PAGEREF _Toc117913976 \h </w:instrText>
      </w:r>
      <w:r>
        <w:fldChar w:fldCharType="separate"/>
      </w:r>
      <w:r>
        <w:instrText>30</w:instrText>
      </w:r>
      <w:r>
        <w:fldChar w:fldCharType="end"/>
      </w:r>
    </w:p>
    <w:p>
      <w:pPr>
        <w:pStyle w:val="TOC8"/>
        <w:rPr>
          <w:sz w:val="24"/>
          <w:szCs w:val="24"/>
        </w:rPr>
      </w:pPr>
      <w:r>
        <w:rPr>
          <w:szCs w:val="24"/>
        </w:rPr>
        <w:instrText>57</w:instrText>
      </w:r>
      <w:r>
        <w:rPr>
          <w:snapToGrid w:val="0"/>
          <w:szCs w:val="24"/>
        </w:rPr>
        <w:instrText>.</w:instrText>
      </w:r>
      <w:r>
        <w:rPr>
          <w:snapToGrid w:val="0"/>
          <w:szCs w:val="24"/>
        </w:rPr>
        <w:tab/>
        <w:instrText>Uniforms and vehicle markings</w:instrText>
      </w:r>
      <w:r>
        <w:tab/>
      </w:r>
      <w:r>
        <w:fldChar w:fldCharType="begin"/>
      </w:r>
      <w:r>
        <w:instrText xml:space="preserve"> PAGEREF _Toc117913977 \h </w:instrText>
      </w:r>
      <w:r>
        <w:fldChar w:fldCharType="separate"/>
      </w:r>
      <w:r>
        <w:instrText>30</w:instrText>
      </w:r>
      <w:r>
        <w:fldChar w:fldCharType="end"/>
      </w:r>
    </w:p>
    <w:p>
      <w:pPr>
        <w:pStyle w:val="TOC2"/>
        <w:tabs>
          <w:tab w:val="right" w:leader="dot" w:pos="7086"/>
        </w:tabs>
        <w:rPr>
          <w:b w:val="0"/>
          <w:sz w:val="24"/>
          <w:szCs w:val="24"/>
        </w:rPr>
      </w:pPr>
      <w:r>
        <w:rPr>
          <w:szCs w:val="28"/>
        </w:rPr>
        <w:instrText>Schedule 1 — Conditions and restrictions attached to licences</w:instrText>
      </w:r>
    </w:p>
    <w:p>
      <w:pPr>
        <w:pStyle w:val="TOC4"/>
        <w:tabs>
          <w:tab w:val="right" w:leader="dot" w:pos="7086"/>
        </w:tabs>
        <w:rPr>
          <w:b w:val="0"/>
          <w:sz w:val="24"/>
          <w:szCs w:val="24"/>
        </w:rPr>
      </w:pPr>
      <w:r>
        <w:rPr>
          <w:szCs w:val="24"/>
        </w:rPr>
        <w:instrText>Division 1</w:instrText>
      </w:r>
      <w:r>
        <w:rPr>
          <w:snapToGrid w:val="0"/>
          <w:szCs w:val="24"/>
        </w:rPr>
        <w:instrText> — </w:instrText>
      </w:r>
      <w:r>
        <w:rPr>
          <w:szCs w:val="24"/>
        </w:rPr>
        <w:instrText>Security agent’s licence</w:instrText>
      </w:r>
    </w:p>
    <w:p>
      <w:pPr>
        <w:pStyle w:val="TOC8"/>
        <w:rPr>
          <w:sz w:val="24"/>
          <w:szCs w:val="24"/>
        </w:rPr>
      </w:pPr>
      <w:r>
        <w:rPr>
          <w:szCs w:val="22"/>
        </w:rPr>
        <w:instrText>1</w:instrText>
      </w:r>
      <w:r>
        <w:rPr>
          <w:snapToGrid w:val="0"/>
          <w:szCs w:val="22"/>
        </w:rPr>
        <w:instrText>.</w:instrText>
      </w:r>
      <w:r>
        <w:rPr>
          <w:snapToGrid w:val="0"/>
          <w:szCs w:val="22"/>
        </w:rPr>
        <w:tab/>
        <w:instrText>Notification of change of personnel</w:instrText>
      </w:r>
      <w:r>
        <w:tab/>
      </w:r>
      <w:r>
        <w:fldChar w:fldCharType="begin"/>
      </w:r>
      <w:r>
        <w:instrText xml:space="preserve"> PAGEREF _Toc117913980 \h </w:instrText>
      </w:r>
      <w:r>
        <w:fldChar w:fldCharType="separate"/>
      </w:r>
      <w:r>
        <w:instrText>32</w:instrText>
      </w:r>
      <w:r>
        <w:fldChar w:fldCharType="end"/>
      </w:r>
    </w:p>
    <w:p>
      <w:pPr>
        <w:pStyle w:val="TOC8"/>
        <w:rPr>
          <w:sz w:val="24"/>
          <w:szCs w:val="24"/>
        </w:rPr>
      </w:pPr>
      <w:r>
        <w:rPr>
          <w:szCs w:val="22"/>
        </w:rPr>
        <w:instrText>2</w:instrText>
      </w:r>
      <w:r>
        <w:rPr>
          <w:bCs/>
          <w:szCs w:val="22"/>
        </w:rPr>
        <w:instrText>.</w:instrText>
      </w:r>
      <w:r>
        <w:rPr>
          <w:bCs/>
          <w:szCs w:val="22"/>
        </w:rPr>
        <w:tab/>
        <w:instrText>Uniforms</w:instrText>
      </w:r>
      <w:r>
        <w:tab/>
      </w:r>
      <w:r>
        <w:fldChar w:fldCharType="begin"/>
      </w:r>
      <w:r>
        <w:instrText xml:space="preserve"> PAGEREF _Toc117913981 \h </w:instrText>
      </w:r>
      <w:r>
        <w:fldChar w:fldCharType="separate"/>
      </w:r>
      <w:r>
        <w:instrText>32</w:instrText>
      </w:r>
      <w:r>
        <w:fldChar w:fldCharType="end"/>
      </w:r>
    </w:p>
    <w:p>
      <w:pPr>
        <w:pStyle w:val="TOC8"/>
        <w:rPr>
          <w:sz w:val="24"/>
          <w:szCs w:val="24"/>
        </w:rPr>
      </w:pPr>
      <w:r>
        <w:rPr>
          <w:szCs w:val="22"/>
        </w:rPr>
        <w:instrText>3</w:instrText>
      </w:r>
      <w:r>
        <w:rPr>
          <w:bCs/>
          <w:szCs w:val="22"/>
        </w:rPr>
        <w:instrText>.</w:instrText>
      </w:r>
      <w:r>
        <w:rPr>
          <w:bCs/>
          <w:szCs w:val="22"/>
        </w:rPr>
        <w:tab/>
        <w:instrText>Vehicle markings</w:instrText>
      </w:r>
      <w:r>
        <w:tab/>
      </w:r>
      <w:r>
        <w:fldChar w:fldCharType="begin"/>
      </w:r>
      <w:r>
        <w:instrText xml:space="preserve"> PAGEREF _Toc117913982 \h </w:instrText>
      </w:r>
      <w:r>
        <w:fldChar w:fldCharType="separate"/>
      </w:r>
      <w:r>
        <w:instrText>33</w:instrText>
      </w:r>
      <w:r>
        <w:fldChar w:fldCharType="end"/>
      </w:r>
    </w:p>
    <w:p>
      <w:pPr>
        <w:pStyle w:val="TOC8"/>
        <w:rPr>
          <w:sz w:val="24"/>
          <w:szCs w:val="24"/>
        </w:rPr>
      </w:pPr>
      <w:r>
        <w:rPr>
          <w:szCs w:val="22"/>
        </w:rPr>
        <w:instrText>4</w:instrText>
      </w:r>
      <w:r>
        <w:rPr>
          <w:snapToGrid w:val="0"/>
          <w:szCs w:val="22"/>
        </w:rPr>
        <w:instrText>.</w:instrText>
      </w:r>
      <w:r>
        <w:rPr>
          <w:snapToGrid w:val="0"/>
          <w:szCs w:val="22"/>
        </w:rPr>
        <w:tab/>
        <w:instrText>Armed security officers</w:instrText>
      </w:r>
      <w:r>
        <w:tab/>
      </w:r>
      <w:r>
        <w:fldChar w:fldCharType="begin"/>
      </w:r>
      <w:r>
        <w:instrText xml:space="preserve"> PAGEREF _Toc117913983 \h </w:instrText>
      </w:r>
      <w:r>
        <w:fldChar w:fldCharType="separate"/>
      </w:r>
      <w:r>
        <w:instrText>33</w:instrText>
      </w:r>
      <w:r>
        <w:fldChar w:fldCharType="end"/>
      </w:r>
    </w:p>
    <w:p>
      <w:pPr>
        <w:pStyle w:val="TOC8"/>
        <w:rPr>
          <w:sz w:val="24"/>
          <w:szCs w:val="24"/>
        </w:rPr>
      </w:pPr>
      <w:r>
        <w:rPr>
          <w:szCs w:val="22"/>
        </w:rPr>
        <w:instrText>5</w:instrText>
      </w:r>
      <w:r>
        <w:rPr>
          <w:snapToGrid w:val="0"/>
          <w:szCs w:val="22"/>
        </w:rPr>
        <w:instrText>.</w:instrText>
      </w:r>
      <w:r>
        <w:rPr>
          <w:snapToGrid w:val="0"/>
          <w:szCs w:val="22"/>
        </w:rPr>
        <w:tab/>
        <w:instrText>Firearm security</w:instrText>
      </w:r>
      <w:r>
        <w:tab/>
      </w:r>
      <w:r>
        <w:fldChar w:fldCharType="begin"/>
      </w:r>
      <w:r>
        <w:instrText xml:space="preserve"> PAGEREF _Toc117913984 \h </w:instrText>
      </w:r>
      <w:r>
        <w:fldChar w:fldCharType="separate"/>
      </w:r>
      <w:r>
        <w:instrText>33</w:instrText>
      </w:r>
      <w:r>
        <w:fldChar w:fldCharType="end"/>
      </w:r>
    </w:p>
    <w:p>
      <w:pPr>
        <w:pStyle w:val="TOC8"/>
        <w:rPr>
          <w:sz w:val="24"/>
          <w:szCs w:val="24"/>
        </w:rPr>
      </w:pPr>
      <w:r>
        <w:rPr>
          <w:szCs w:val="22"/>
        </w:rPr>
        <w:instrText>6.</w:instrText>
      </w:r>
      <w:r>
        <w:rPr>
          <w:szCs w:val="22"/>
        </w:rPr>
        <w:tab/>
        <w:instrText>Weapons training</w:instrText>
      </w:r>
      <w:r>
        <w:tab/>
      </w:r>
      <w:r>
        <w:fldChar w:fldCharType="begin"/>
      </w:r>
      <w:r>
        <w:instrText xml:space="preserve"> PAGEREF _Toc117913985 \h </w:instrText>
      </w:r>
      <w:r>
        <w:fldChar w:fldCharType="separate"/>
      </w:r>
      <w:r>
        <w:instrText>34</w:instrText>
      </w:r>
      <w:r>
        <w:fldChar w:fldCharType="end"/>
      </w:r>
    </w:p>
    <w:p>
      <w:pPr>
        <w:pStyle w:val="TOC4"/>
        <w:tabs>
          <w:tab w:val="right" w:leader="dot" w:pos="7086"/>
        </w:tabs>
        <w:rPr>
          <w:b w:val="0"/>
          <w:sz w:val="24"/>
          <w:szCs w:val="24"/>
        </w:rPr>
      </w:pPr>
      <w:r>
        <w:rPr>
          <w:szCs w:val="24"/>
        </w:rPr>
        <w:instrText>Division 2</w:instrText>
      </w:r>
      <w:r>
        <w:rPr>
          <w:snapToGrid w:val="0"/>
          <w:szCs w:val="24"/>
        </w:rPr>
        <w:instrText> — </w:instrText>
      </w:r>
      <w:r>
        <w:rPr>
          <w:szCs w:val="24"/>
        </w:rPr>
        <w:instrText>Security officer’s licence</w:instrText>
      </w:r>
    </w:p>
    <w:p>
      <w:pPr>
        <w:pStyle w:val="TOC8"/>
        <w:rPr>
          <w:sz w:val="24"/>
          <w:szCs w:val="24"/>
        </w:rPr>
      </w:pPr>
      <w:r>
        <w:rPr>
          <w:szCs w:val="22"/>
        </w:rPr>
        <w:instrText>7</w:instrText>
      </w:r>
      <w:r>
        <w:rPr>
          <w:snapToGrid w:val="0"/>
          <w:szCs w:val="22"/>
        </w:rPr>
        <w:instrText>.</w:instrText>
      </w:r>
      <w:r>
        <w:rPr>
          <w:snapToGrid w:val="0"/>
          <w:szCs w:val="22"/>
        </w:rPr>
        <w:tab/>
        <w:instrText>Uniforms</w:instrText>
      </w:r>
      <w:r>
        <w:tab/>
      </w:r>
      <w:r>
        <w:fldChar w:fldCharType="begin"/>
      </w:r>
      <w:r>
        <w:instrText xml:space="preserve"> PAGEREF _Toc117913987 \h </w:instrText>
      </w:r>
      <w:r>
        <w:fldChar w:fldCharType="separate"/>
      </w:r>
      <w:r>
        <w:instrText>34</w:instrText>
      </w:r>
      <w:r>
        <w:fldChar w:fldCharType="end"/>
      </w:r>
    </w:p>
    <w:p>
      <w:pPr>
        <w:pStyle w:val="TOC8"/>
        <w:rPr>
          <w:sz w:val="24"/>
          <w:szCs w:val="24"/>
        </w:rPr>
      </w:pPr>
      <w:r>
        <w:rPr>
          <w:szCs w:val="22"/>
        </w:rPr>
        <w:instrText>8</w:instrText>
      </w:r>
      <w:r>
        <w:rPr>
          <w:bCs/>
          <w:szCs w:val="22"/>
        </w:rPr>
        <w:instrText>.</w:instrText>
      </w:r>
      <w:r>
        <w:rPr>
          <w:bCs/>
          <w:szCs w:val="22"/>
        </w:rPr>
        <w:tab/>
        <w:instrText>Vehicle markings</w:instrText>
      </w:r>
      <w:r>
        <w:tab/>
      </w:r>
      <w:r>
        <w:fldChar w:fldCharType="begin"/>
      </w:r>
      <w:r>
        <w:instrText xml:space="preserve"> PAGEREF _Toc117913988 \h </w:instrText>
      </w:r>
      <w:r>
        <w:fldChar w:fldCharType="separate"/>
      </w:r>
      <w:r>
        <w:instrText>35</w:instrText>
      </w:r>
      <w:r>
        <w:fldChar w:fldCharType="end"/>
      </w:r>
    </w:p>
    <w:p>
      <w:pPr>
        <w:pStyle w:val="TOC8"/>
        <w:rPr>
          <w:sz w:val="24"/>
          <w:szCs w:val="24"/>
        </w:rPr>
      </w:pPr>
      <w:r>
        <w:rPr>
          <w:szCs w:val="22"/>
        </w:rPr>
        <w:instrText>9</w:instrText>
      </w:r>
      <w:r>
        <w:rPr>
          <w:snapToGrid w:val="0"/>
          <w:szCs w:val="22"/>
        </w:rPr>
        <w:instrText>.</w:instrText>
      </w:r>
      <w:r>
        <w:rPr>
          <w:snapToGrid w:val="0"/>
          <w:szCs w:val="22"/>
        </w:rPr>
        <w:tab/>
        <w:instrText>Carrying of weapons</w:instrText>
      </w:r>
      <w:r>
        <w:tab/>
      </w:r>
      <w:r>
        <w:fldChar w:fldCharType="begin"/>
      </w:r>
      <w:r>
        <w:instrText xml:space="preserve"> PAGEREF _Toc117913989 \h </w:instrText>
      </w:r>
      <w:r>
        <w:fldChar w:fldCharType="separate"/>
      </w:r>
      <w:r>
        <w:instrText>35</w:instrText>
      </w:r>
      <w:r>
        <w:fldChar w:fldCharType="end"/>
      </w:r>
    </w:p>
    <w:p>
      <w:pPr>
        <w:pStyle w:val="TOC8"/>
        <w:rPr>
          <w:sz w:val="24"/>
          <w:szCs w:val="24"/>
        </w:rPr>
      </w:pPr>
      <w:r>
        <w:rPr>
          <w:szCs w:val="22"/>
        </w:rPr>
        <w:instrText>10</w:instrText>
      </w:r>
      <w:r>
        <w:rPr>
          <w:snapToGrid w:val="0"/>
          <w:szCs w:val="22"/>
        </w:rPr>
        <w:instrText>.</w:instrText>
      </w:r>
      <w:r>
        <w:rPr>
          <w:snapToGrid w:val="0"/>
          <w:szCs w:val="22"/>
        </w:rPr>
        <w:tab/>
        <w:instrText>Firearm security</w:instrText>
      </w:r>
      <w:r>
        <w:tab/>
      </w:r>
      <w:r>
        <w:fldChar w:fldCharType="begin"/>
      </w:r>
      <w:r>
        <w:instrText xml:space="preserve"> PAGEREF _Toc117913990 \h </w:instrText>
      </w:r>
      <w:r>
        <w:fldChar w:fldCharType="separate"/>
      </w:r>
      <w:r>
        <w:instrText>36</w:instrText>
      </w:r>
      <w:r>
        <w:fldChar w:fldCharType="end"/>
      </w:r>
    </w:p>
    <w:p>
      <w:pPr>
        <w:pStyle w:val="TOC8"/>
        <w:rPr>
          <w:sz w:val="24"/>
          <w:szCs w:val="24"/>
        </w:rPr>
      </w:pPr>
      <w:r>
        <w:rPr>
          <w:szCs w:val="22"/>
        </w:rPr>
        <w:instrText>11.</w:instrText>
      </w:r>
      <w:r>
        <w:rPr>
          <w:szCs w:val="22"/>
        </w:rPr>
        <w:tab/>
        <w:instrText>Weapons training</w:instrText>
      </w:r>
      <w:r>
        <w:tab/>
      </w:r>
      <w:r>
        <w:fldChar w:fldCharType="begin"/>
      </w:r>
      <w:r>
        <w:instrText xml:space="preserve"> PAGEREF _Toc117913991 \h </w:instrText>
      </w:r>
      <w:r>
        <w:fldChar w:fldCharType="separate"/>
      </w:r>
      <w:r>
        <w:instrText>36</w:instrText>
      </w:r>
      <w:r>
        <w:fldChar w:fldCharType="end"/>
      </w:r>
    </w:p>
    <w:p>
      <w:pPr>
        <w:pStyle w:val="TOC4"/>
        <w:tabs>
          <w:tab w:val="right" w:leader="dot" w:pos="7086"/>
        </w:tabs>
        <w:rPr>
          <w:b w:val="0"/>
          <w:sz w:val="24"/>
          <w:szCs w:val="24"/>
        </w:rPr>
      </w:pPr>
      <w:r>
        <w:rPr>
          <w:szCs w:val="24"/>
        </w:rPr>
        <w:instrText>Division 3</w:instrText>
      </w:r>
      <w:r>
        <w:rPr>
          <w:snapToGrid w:val="0"/>
          <w:szCs w:val="24"/>
        </w:rPr>
        <w:instrText> — </w:instrText>
      </w:r>
      <w:r>
        <w:rPr>
          <w:szCs w:val="24"/>
        </w:rPr>
        <w:instrText>Inquiry agent’s licence</w:instrText>
      </w:r>
    </w:p>
    <w:p>
      <w:pPr>
        <w:pStyle w:val="TOC8"/>
        <w:rPr>
          <w:sz w:val="24"/>
          <w:szCs w:val="24"/>
        </w:rPr>
      </w:pPr>
      <w:r>
        <w:rPr>
          <w:szCs w:val="22"/>
        </w:rPr>
        <w:instrText>12</w:instrText>
      </w:r>
      <w:r>
        <w:rPr>
          <w:snapToGrid w:val="0"/>
          <w:szCs w:val="22"/>
        </w:rPr>
        <w:instrText>.</w:instrText>
      </w:r>
      <w:r>
        <w:rPr>
          <w:snapToGrid w:val="0"/>
          <w:szCs w:val="22"/>
        </w:rPr>
        <w:tab/>
        <w:instrText>Notification of change of personnel</w:instrText>
      </w:r>
      <w:r>
        <w:tab/>
      </w:r>
      <w:r>
        <w:fldChar w:fldCharType="begin"/>
      </w:r>
      <w:r>
        <w:instrText xml:space="preserve"> PAGEREF _Toc117913993 \h </w:instrText>
      </w:r>
      <w:r>
        <w:fldChar w:fldCharType="separate"/>
      </w:r>
      <w:r>
        <w:instrText>37</w:instrText>
      </w:r>
      <w:r>
        <w:fldChar w:fldCharType="end"/>
      </w:r>
    </w:p>
    <w:p>
      <w:pPr>
        <w:pStyle w:val="TOC4"/>
        <w:tabs>
          <w:tab w:val="right" w:leader="dot" w:pos="7086"/>
        </w:tabs>
        <w:rPr>
          <w:b w:val="0"/>
          <w:sz w:val="24"/>
          <w:szCs w:val="24"/>
        </w:rPr>
      </w:pPr>
      <w:r>
        <w:rPr>
          <w:szCs w:val="24"/>
        </w:rPr>
        <w:instrText>Division 4</w:instrText>
      </w:r>
      <w:r>
        <w:rPr>
          <w:snapToGrid w:val="0"/>
          <w:szCs w:val="24"/>
        </w:rPr>
        <w:instrText> — </w:instrText>
      </w:r>
      <w:r>
        <w:rPr>
          <w:szCs w:val="24"/>
        </w:rPr>
        <w:instrText>Crowd control agent’s licence</w:instrText>
      </w:r>
    </w:p>
    <w:p>
      <w:pPr>
        <w:pStyle w:val="TOC8"/>
        <w:rPr>
          <w:sz w:val="24"/>
          <w:szCs w:val="24"/>
        </w:rPr>
      </w:pPr>
      <w:r>
        <w:rPr>
          <w:szCs w:val="22"/>
        </w:rPr>
        <w:instrText>13</w:instrText>
      </w:r>
      <w:r>
        <w:rPr>
          <w:snapToGrid w:val="0"/>
          <w:szCs w:val="22"/>
        </w:rPr>
        <w:instrText>.</w:instrText>
      </w:r>
      <w:r>
        <w:rPr>
          <w:snapToGrid w:val="0"/>
          <w:szCs w:val="22"/>
        </w:rPr>
        <w:tab/>
        <w:instrText>Notification of change of personnel</w:instrText>
      </w:r>
      <w:r>
        <w:tab/>
      </w:r>
      <w:r>
        <w:fldChar w:fldCharType="begin"/>
      </w:r>
      <w:r>
        <w:instrText xml:space="preserve"> PAGEREF _Toc117913995 \h </w:instrText>
      </w:r>
      <w:r>
        <w:fldChar w:fldCharType="separate"/>
      </w:r>
      <w:r>
        <w:instrText>37</w:instrText>
      </w:r>
      <w:r>
        <w:fldChar w:fldCharType="end"/>
      </w:r>
    </w:p>
    <w:p>
      <w:pPr>
        <w:pStyle w:val="TOC8"/>
        <w:rPr>
          <w:sz w:val="24"/>
          <w:szCs w:val="24"/>
        </w:rPr>
      </w:pPr>
      <w:r>
        <w:rPr>
          <w:szCs w:val="22"/>
        </w:rPr>
        <w:instrText>14</w:instrText>
      </w:r>
      <w:r>
        <w:rPr>
          <w:snapToGrid w:val="0"/>
          <w:szCs w:val="22"/>
        </w:rPr>
        <w:instrText>.</w:instrText>
      </w:r>
      <w:r>
        <w:rPr>
          <w:snapToGrid w:val="0"/>
          <w:szCs w:val="22"/>
        </w:rPr>
        <w:tab/>
        <w:instrText>Wearing of identification cards</w:instrText>
      </w:r>
      <w:r>
        <w:tab/>
      </w:r>
      <w:r>
        <w:fldChar w:fldCharType="begin"/>
      </w:r>
      <w:r>
        <w:instrText xml:space="preserve"> PAGEREF _Toc117913996 \h </w:instrText>
      </w:r>
      <w:r>
        <w:fldChar w:fldCharType="separate"/>
      </w:r>
      <w:r>
        <w:instrText>37</w:instrText>
      </w:r>
      <w:r>
        <w:fldChar w:fldCharType="end"/>
      </w:r>
    </w:p>
    <w:p>
      <w:pPr>
        <w:pStyle w:val="TOC8"/>
        <w:rPr>
          <w:sz w:val="24"/>
          <w:szCs w:val="24"/>
        </w:rPr>
      </w:pPr>
      <w:r>
        <w:rPr>
          <w:szCs w:val="22"/>
        </w:rPr>
        <w:instrText>15</w:instrText>
      </w:r>
      <w:r>
        <w:rPr>
          <w:snapToGrid w:val="0"/>
          <w:szCs w:val="22"/>
        </w:rPr>
        <w:instrText>.</w:instrText>
      </w:r>
      <w:r>
        <w:rPr>
          <w:snapToGrid w:val="0"/>
          <w:szCs w:val="22"/>
        </w:rPr>
        <w:tab/>
        <w:instrText>Information to clients</w:instrText>
      </w:r>
      <w:r>
        <w:tab/>
      </w:r>
      <w:r>
        <w:fldChar w:fldCharType="begin"/>
      </w:r>
      <w:r>
        <w:instrText xml:space="preserve"> PAGEREF _Toc117913997 \h </w:instrText>
      </w:r>
      <w:r>
        <w:fldChar w:fldCharType="separate"/>
      </w:r>
      <w:r>
        <w:instrText>38</w:instrText>
      </w:r>
      <w:r>
        <w:fldChar w:fldCharType="end"/>
      </w:r>
    </w:p>
    <w:p>
      <w:pPr>
        <w:pStyle w:val="TOC8"/>
        <w:rPr>
          <w:sz w:val="24"/>
          <w:szCs w:val="24"/>
        </w:rPr>
      </w:pPr>
      <w:r>
        <w:rPr>
          <w:szCs w:val="22"/>
        </w:rPr>
        <w:instrText>16</w:instrText>
      </w:r>
      <w:r>
        <w:rPr>
          <w:snapToGrid w:val="0"/>
          <w:szCs w:val="22"/>
        </w:rPr>
        <w:instrText>.</w:instrText>
      </w:r>
      <w:r>
        <w:rPr>
          <w:snapToGrid w:val="0"/>
          <w:szCs w:val="22"/>
        </w:rPr>
        <w:tab/>
        <w:instrText>No weapons to be carried by crowd controllers</w:instrText>
      </w:r>
      <w:r>
        <w:tab/>
      </w:r>
      <w:r>
        <w:fldChar w:fldCharType="begin"/>
      </w:r>
      <w:r>
        <w:instrText xml:space="preserve"> PAGEREF _Toc117913998 \h </w:instrText>
      </w:r>
      <w:r>
        <w:fldChar w:fldCharType="separate"/>
      </w:r>
      <w:r>
        <w:instrText>38</w:instrText>
      </w:r>
      <w:r>
        <w:fldChar w:fldCharType="end"/>
      </w:r>
    </w:p>
    <w:p>
      <w:pPr>
        <w:pStyle w:val="TOC8"/>
        <w:rPr>
          <w:sz w:val="24"/>
          <w:szCs w:val="24"/>
        </w:rPr>
      </w:pPr>
      <w:r>
        <w:rPr>
          <w:szCs w:val="22"/>
        </w:rPr>
        <w:instrText>16A.</w:instrText>
      </w:r>
      <w:r>
        <w:rPr>
          <w:szCs w:val="22"/>
        </w:rPr>
        <w:tab/>
      </w:r>
      <w:r>
        <w:rPr>
          <w:bCs/>
          <w:szCs w:val="22"/>
        </w:rPr>
        <w:instrText>Incident register</w:instrText>
      </w:r>
      <w:r>
        <w:tab/>
      </w:r>
      <w:r>
        <w:fldChar w:fldCharType="begin"/>
      </w:r>
      <w:r>
        <w:instrText xml:space="preserve"> PAGEREF _Toc117913999 \h </w:instrText>
      </w:r>
      <w:r>
        <w:fldChar w:fldCharType="separate"/>
      </w:r>
      <w:r>
        <w:instrText>38</w:instrText>
      </w:r>
      <w:r>
        <w:fldChar w:fldCharType="end"/>
      </w:r>
    </w:p>
    <w:p>
      <w:pPr>
        <w:pStyle w:val="TOC4"/>
        <w:tabs>
          <w:tab w:val="right" w:leader="dot" w:pos="7086"/>
        </w:tabs>
        <w:rPr>
          <w:b w:val="0"/>
          <w:sz w:val="24"/>
          <w:szCs w:val="24"/>
        </w:rPr>
      </w:pPr>
      <w:r>
        <w:rPr>
          <w:szCs w:val="24"/>
        </w:rPr>
        <w:instrText>Division 5</w:instrText>
      </w:r>
      <w:r>
        <w:rPr>
          <w:snapToGrid w:val="0"/>
          <w:szCs w:val="24"/>
        </w:rPr>
        <w:instrText> — </w:instrText>
      </w:r>
      <w:r>
        <w:rPr>
          <w:szCs w:val="24"/>
        </w:rPr>
        <w:instrText>Crowd controller’s licence</w:instrText>
      </w:r>
    </w:p>
    <w:p>
      <w:pPr>
        <w:pStyle w:val="TOC8"/>
        <w:rPr>
          <w:sz w:val="24"/>
          <w:szCs w:val="24"/>
        </w:rPr>
      </w:pPr>
      <w:r>
        <w:rPr>
          <w:szCs w:val="22"/>
        </w:rPr>
        <w:instrText>17</w:instrText>
      </w:r>
      <w:r>
        <w:rPr>
          <w:snapToGrid w:val="0"/>
          <w:szCs w:val="22"/>
        </w:rPr>
        <w:instrText>.</w:instrText>
      </w:r>
      <w:r>
        <w:rPr>
          <w:snapToGrid w:val="0"/>
          <w:szCs w:val="22"/>
        </w:rPr>
        <w:tab/>
        <w:instrText>Wearing of identification card</w:instrText>
      </w:r>
      <w:r>
        <w:tab/>
      </w:r>
      <w:r>
        <w:fldChar w:fldCharType="begin"/>
      </w:r>
      <w:r>
        <w:instrText xml:space="preserve"> PAGEREF _Toc117914001 \h </w:instrText>
      </w:r>
      <w:r>
        <w:fldChar w:fldCharType="separate"/>
      </w:r>
      <w:r>
        <w:instrText>39</w:instrText>
      </w:r>
      <w:r>
        <w:fldChar w:fldCharType="end"/>
      </w:r>
    </w:p>
    <w:p>
      <w:pPr>
        <w:pStyle w:val="TOC8"/>
        <w:rPr>
          <w:sz w:val="24"/>
          <w:szCs w:val="24"/>
        </w:rPr>
      </w:pPr>
      <w:r>
        <w:rPr>
          <w:szCs w:val="22"/>
        </w:rPr>
        <w:instrText>18</w:instrText>
      </w:r>
      <w:r>
        <w:rPr>
          <w:snapToGrid w:val="0"/>
          <w:szCs w:val="22"/>
        </w:rPr>
        <w:instrText>.</w:instrText>
      </w:r>
      <w:r>
        <w:rPr>
          <w:snapToGrid w:val="0"/>
          <w:szCs w:val="22"/>
        </w:rPr>
        <w:tab/>
        <w:instrText>No weapons to be carried by crowd controller</w:instrText>
      </w:r>
      <w:r>
        <w:tab/>
      </w:r>
      <w:r>
        <w:fldChar w:fldCharType="begin"/>
      </w:r>
      <w:r>
        <w:instrText xml:space="preserve"> PAGEREF _Toc117914002 \h </w:instrText>
      </w:r>
      <w:r>
        <w:fldChar w:fldCharType="separate"/>
      </w:r>
      <w:r>
        <w:instrText>39</w:instrText>
      </w:r>
      <w:r>
        <w:fldChar w:fldCharType="end"/>
      </w:r>
    </w:p>
    <w:p>
      <w:pPr>
        <w:pStyle w:val="TOC8"/>
        <w:rPr>
          <w:sz w:val="24"/>
          <w:szCs w:val="24"/>
        </w:rPr>
      </w:pPr>
      <w:r>
        <w:rPr>
          <w:szCs w:val="22"/>
        </w:rPr>
        <w:instrText>19.</w:instrText>
      </w:r>
      <w:r>
        <w:rPr>
          <w:szCs w:val="22"/>
        </w:rPr>
        <w:tab/>
      </w:r>
      <w:r>
        <w:rPr>
          <w:bCs/>
          <w:szCs w:val="22"/>
        </w:rPr>
        <w:instrText>Incident register</w:instrText>
      </w:r>
      <w:r>
        <w:tab/>
      </w:r>
      <w:r>
        <w:fldChar w:fldCharType="begin"/>
      </w:r>
      <w:r>
        <w:instrText xml:space="preserve"> PAGEREF _Toc117914003 \h </w:instrText>
      </w:r>
      <w:r>
        <w:fldChar w:fldCharType="separate"/>
      </w:r>
      <w:r>
        <w:instrText>40</w:instrText>
      </w:r>
      <w:r>
        <w:fldChar w:fldCharType="end"/>
      </w:r>
    </w:p>
    <w:p>
      <w:pPr>
        <w:pStyle w:val="TOC4"/>
        <w:tabs>
          <w:tab w:val="right" w:leader="dot" w:pos="7086"/>
        </w:tabs>
        <w:rPr>
          <w:b w:val="0"/>
          <w:sz w:val="24"/>
          <w:szCs w:val="24"/>
        </w:rPr>
      </w:pPr>
      <w:r>
        <w:rPr>
          <w:szCs w:val="24"/>
        </w:rPr>
        <w:instrText>Division 6</w:instrText>
      </w:r>
      <w:r>
        <w:rPr>
          <w:b w:val="0"/>
          <w:szCs w:val="24"/>
        </w:rPr>
        <w:instrText> — </w:instrText>
      </w:r>
      <w:r>
        <w:rPr>
          <w:szCs w:val="24"/>
        </w:rPr>
        <w:instrText>All licences</w:instrText>
      </w:r>
    </w:p>
    <w:p>
      <w:pPr>
        <w:pStyle w:val="TOC8"/>
        <w:rPr>
          <w:sz w:val="24"/>
          <w:szCs w:val="24"/>
        </w:rPr>
      </w:pPr>
      <w:r>
        <w:rPr>
          <w:szCs w:val="22"/>
        </w:rPr>
        <w:instrText>20.</w:instrText>
      </w:r>
      <w:r>
        <w:rPr>
          <w:szCs w:val="22"/>
        </w:rPr>
        <w:tab/>
        <w:instrText>Identity cards</w:instrText>
      </w:r>
      <w:r>
        <w:tab/>
      </w:r>
      <w:r>
        <w:fldChar w:fldCharType="begin"/>
      </w:r>
      <w:r>
        <w:instrText xml:space="preserve"> PAGEREF _Toc117914005 \h </w:instrText>
      </w:r>
      <w:r>
        <w:fldChar w:fldCharType="separate"/>
      </w:r>
      <w:r>
        <w:instrText>40</w:instrText>
      </w:r>
      <w:r>
        <w:fldChar w:fldCharType="end"/>
      </w:r>
    </w:p>
    <w:p>
      <w:pPr>
        <w:pStyle w:val="TOC2"/>
        <w:tabs>
          <w:tab w:val="right" w:leader="dot" w:pos="7086"/>
        </w:tabs>
        <w:rPr>
          <w:b w:val="0"/>
          <w:sz w:val="24"/>
          <w:szCs w:val="24"/>
        </w:rPr>
      </w:pPr>
      <w:r>
        <w:rPr>
          <w:szCs w:val="28"/>
        </w:rPr>
        <w:instrText>Schedule 3 — Prescribed drugs</w:instrText>
      </w:r>
    </w:p>
    <w:p>
      <w:pPr>
        <w:pStyle w:val="TOC2"/>
        <w:tabs>
          <w:tab w:val="right" w:leader="dot" w:pos="7086"/>
        </w:tabs>
        <w:rPr>
          <w:b w:val="0"/>
          <w:sz w:val="24"/>
          <w:szCs w:val="24"/>
        </w:rPr>
      </w:pPr>
      <w:r>
        <w:rPr>
          <w:szCs w:val="28"/>
        </w:rPr>
        <w:instrText>Schedule 4 — Fees</w:instrText>
      </w:r>
    </w:p>
    <w:p>
      <w:pPr>
        <w:pStyle w:val="TOC2"/>
        <w:tabs>
          <w:tab w:val="right" w:leader="dot" w:pos="7086"/>
        </w:tabs>
        <w:rPr>
          <w:b w:val="0"/>
          <w:sz w:val="24"/>
          <w:szCs w:val="24"/>
        </w:rPr>
      </w:pPr>
      <w:r>
        <w:rPr>
          <w:szCs w:val="26"/>
        </w:rPr>
        <w:instrText>Notes</w:instrText>
      </w:r>
    </w:p>
    <w:p>
      <w:pPr>
        <w:pStyle w:val="TOC8"/>
        <w:rPr>
          <w:sz w:val="24"/>
          <w:szCs w:val="24"/>
        </w:rPr>
      </w:pPr>
      <w:r>
        <w:rPr>
          <w:snapToGrid w:val="0"/>
          <w:szCs w:val="24"/>
        </w:rPr>
        <w:instrText>Compilation table</w:instrText>
      </w:r>
      <w:r>
        <w:tab/>
      </w:r>
      <w:r>
        <w:fldChar w:fldCharType="begin"/>
      </w:r>
      <w:r>
        <w:instrText xml:space="preserve"> PAGEREF _Toc117914009 \h </w:instrText>
      </w:r>
      <w:r>
        <w:fldChar w:fldCharType="separate"/>
      </w:r>
      <w:r>
        <w:instrText>45</w:instrText>
      </w:r>
      <w:r>
        <w:fldChar w:fldCharType="end"/>
      </w:r>
    </w:p>
    <w:p>
      <w:pPr>
        <w:pStyle w:val="TOC2"/>
        <w:tabs>
          <w:tab w:val="right" w:leader="dot" w:pos="7086"/>
        </w:tabs>
        <w:rPr>
          <w:b w:val="0"/>
          <w:sz w:val="24"/>
          <w:szCs w:val="24"/>
        </w:rPr>
      </w:pPr>
      <w:r>
        <w:rPr>
          <w:szCs w:val="26"/>
        </w:rPr>
        <w:instrText>Defined Terms</w:instrText>
      </w:r>
    </w:p>
    <w:p>
      <w:pPr>
        <w:pStyle w:val="TOC4"/>
      </w:pPr>
      <w:r>
        <w:fldChar w:fldCharType="end"/>
      </w:r>
      <w:r>
        <w:instrText xml:space="preserve"> </w:instrText>
      </w: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spacing w:after="240"/>
        <w:rPr>
          <w:snapToGrid w:val="0"/>
        </w:rPr>
      </w:pPr>
      <w:r>
        <w:rPr>
          <w:snapToGrid w:val="0"/>
        </w:rPr>
        <w:t>Security and Related Activities (Control) Act 1996</w:t>
      </w:r>
    </w:p>
    <w:p>
      <w:pPr>
        <w:pStyle w:val="NameofActReg"/>
        <w:spacing w:before="360" w:after="480"/>
      </w:pPr>
      <w:r>
        <w:t>Security and Related Activities (Control) Regulations 1997</w:t>
      </w:r>
    </w:p>
    <w:p>
      <w:pPr>
        <w:pStyle w:val="Heading2"/>
        <w:pageBreakBefore w:val="0"/>
      </w:pPr>
      <w:bookmarkStart w:id="1" w:name="_Toc77657617"/>
      <w:bookmarkStart w:id="2" w:name="_Toc78350689"/>
      <w:bookmarkStart w:id="3" w:name="_Toc78350802"/>
      <w:bookmarkStart w:id="4" w:name="_Toc92873951"/>
      <w:bookmarkStart w:id="5" w:name="_Toc113259621"/>
      <w:bookmarkStart w:id="6" w:name="_Toc113260337"/>
      <w:bookmarkStart w:id="7" w:name="_Toc113263491"/>
      <w:bookmarkStart w:id="8" w:name="_Toc116795458"/>
      <w:bookmarkStart w:id="9" w:name="_Toc116966979"/>
      <w:bookmarkStart w:id="10" w:name="_Toc117567721"/>
      <w:bookmarkStart w:id="11" w:name="_Toc117659477"/>
      <w:bookmarkStart w:id="12" w:name="_Toc117913920"/>
      <w:bookmarkStart w:id="13" w:name="_Toc117914011"/>
      <w:bookmarkStart w:id="14" w:name="_Toc12007720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r>
        <w:rPr>
          <w:rStyle w:val="CharPartText"/>
        </w:rPr>
        <w:t xml:space="preserve"> </w:t>
      </w:r>
    </w:p>
    <w:p>
      <w:pPr>
        <w:pStyle w:val="Heading5"/>
        <w:spacing w:before="120"/>
        <w:rPr>
          <w:snapToGrid w:val="0"/>
        </w:rPr>
      </w:pPr>
      <w:bookmarkStart w:id="15" w:name="_Toc489429192"/>
      <w:bookmarkStart w:id="16" w:name="_Toc509894407"/>
      <w:bookmarkStart w:id="17" w:name="_Toc511206218"/>
      <w:bookmarkStart w:id="18" w:name="_Toc71963106"/>
      <w:bookmarkStart w:id="19" w:name="_Toc78350803"/>
      <w:bookmarkStart w:id="20" w:name="_Toc92873952"/>
      <w:bookmarkStart w:id="21" w:name="_Toc117913921"/>
      <w:bookmarkStart w:id="22" w:name="_Toc120077202"/>
      <w:r>
        <w:rPr>
          <w:rStyle w:val="CharSectno"/>
        </w:rPr>
        <w:t>1</w:t>
      </w:r>
      <w:r>
        <w:rPr>
          <w:snapToGrid w:val="0"/>
        </w:rPr>
        <w:t>.</w:t>
      </w:r>
      <w:r>
        <w:rPr>
          <w:snapToGrid w:val="0"/>
        </w:rPr>
        <w:tab/>
        <w:t>Citation</w:t>
      </w:r>
      <w:bookmarkEnd w:id="15"/>
      <w:bookmarkEnd w:id="16"/>
      <w:bookmarkEnd w:id="17"/>
      <w:bookmarkEnd w:id="18"/>
      <w:bookmarkEnd w:id="19"/>
      <w:bookmarkEnd w:id="20"/>
      <w:bookmarkEnd w:id="21"/>
      <w:bookmarkEnd w:id="22"/>
      <w:r>
        <w:rPr>
          <w:snapToGrid w:val="0"/>
        </w:rPr>
        <w:t xml:space="preserve"> </w:t>
      </w:r>
    </w:p>
    <w:p>
      <w:pPr>
        <w:pStyle w:val="Subsection"/>
        <w:spacing w:before="100"/>
        <w:rPr>
          <w:i/>
          <w:snapToGrid w:val="0"/>
        </w:rPr>
      </w:pPr>
      <w:r>
        <w:rPr>
          <w:snapToGrid w:val="0"/>
        </w:rPr>
        <w:tab/>
      </w:r>
      <w:r>
        <w:rPr>
          <w:snapToGrid w:val="0"/>
        </w:rPr>
        <w:tab/>
        <w:t xml:space="preserve">These regulations may be cited as the </w:t>
      </w:r>
      <w:r>
        <w:rPr>
          <w:i/>
          <w:snapToGrid w:val="0"/>
        </w:rPr>
        <w:t>Security and Related Activities (Control) Regulations 1997 </w:t>
      </w:r>
      <w:r>
        <w:rPr>
          <w:snapToGrid w:val="0"/>
          <w:vertAlign w:val="superscript"/>
        </w:rPr>
        <w:t>1</w:t>
      </w:r>
      <w:r>
        <w:rPr>
          <w:snapToGrid w:val="0"/>
        </w:rPr>
        <w:t>.</w:t>
      </w:r>
    </w:p>
    <w:p>
      <w:pPr>
        <w:pStyle w:val="Heading5"/>
        <w:spacing w:before="120"/>
        <w:rPr>
          <w:snapToGrid w:val="0"/>
        </w:rPr>
      </w:pPr>
      <w:bookmarkStart w:id="23" w:name="_Toc489429193"/>
      <w:bookmarkStart w:id="24" w:name="_Toc509894408"/>
      <w:bookmarkStart w:id="25" w:name="_Toc511206219"/>
      <w:bookmarkStart w:id="26" w:name="_Toc71963107"/>
      <w:bookmarkStart w:id="27" w:name="_Toc78350804"/>
      <w:bookmarkStart w:id="28" w:name="_Toc92873953"/>
      <w:bookmarkStart w:id="29" w:name="_Toc117913922"/>
      <w:bookmarkStart w:id="30" w:name="_Toc120077203"/>
      <w:r>
        <w:rPr>
          <w:rStyle w:val="CharSectno"/>
        </w:rPr>
        <w:t>2</w:t>
      </w:r>
      <w:r>
        <w:rPr>
          <w:snapToGrid w:val="0"/>
        </w:rPr>
        <w:t>.</w:t>
      </w:r>
      <w:r>
        <w:rPr>
          <w:snapToGrid w:val="0"/>
        </w:rPr>
        <w:tab/>
        <w:t>Commencement</w:t>
      </w:r>
      <w:bookmarkEnd w:id="23"/>
      <w:bookmarkEnd w:id="24"/>
      <w:bookmarkEnd w:id="25"/>
      <w:bookmarkEnd w:id="26"/>
      <w:bookmarkEnd w:id="27"/>
      <w:bookmarkEnd w:id="28"/>
      <w:bookmarkEnd w:id="29"/>
      <w:bookmarkEnd w:id="30"/>
      <w:r>
        <w:rPr>
          <w:snapToGrid w:val="0"/>
        </w:rPr>
        <w:t xml:space="preserve"> </w:t>
      </w:r>
    </w:p>
    <w:p>
      <w:pPr>
        <w:pStyle w:val="Subsection"/>
        <w:spacing w:before="100"/>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w:t>
      </w:r>
      <w:r>
        <w:rPr>
          <w:i/>
          <w:snapToGrid w:val="0"/>
        </w:rPr>
        <w:t> </w:t>
      </w:r>
      <w:r>
        <w:rPr>
          <w:snapToGrid w:val="0"/>
          <w:vertAlign w:val="superscript"/>
        </w:rPr>
        <w:t>1</w:t>
      </w:r>
      <w:r>
        <w:rPr>
          <w:snapToGrid w:val="0"/>
        </w:rPr>
        <w:t>.</w:t>
      </w:r>
    </w:p>
    <w:p>
      <w:pPr>
        <w:pStyle w:val="Heading5"/>
        <w:spacing w:before="120"/>
        <w:rPr>
          <w:snapToGrid w:val="0"/>
        </w:rPr>
      </w:pPr>
      <w:bookmarkStart w:id="31" w:name="_Toc489429194"/>
      <w:bookmarkStart w:id="32" w:name="_Toc509894409"/>
      <w:bookmarkStart w:id="33" w:name="_Toc511206220"/>
      <w:bookmarkStart w:id="34" w:name="_Toc71963108"/>
      <w:bookmarkStart w:id="35" w:name="_Toc78350805"/>
      <w:bookmarkStart w:id="36" w:name="_Toc92873954"/>
      <w:bookmarkStart w:id="37" w:name="_Toc117913923"/>
      <w:bookmarkStart w:id="38" w:name="_Toc120077204"/>
      <w:r>
        <w:rPr>
          <w:rStyle w:val="CharSectno"/>
        </w:rPr>
        <w:t>3</w:t>
      </w:r>
      <w:r>
        <w:rPr>
          <w:snapToGrid w:val="0"/>
        </w:rPr>
        <w:t>.</w:t>
      </w:r>
      <w:r>
        <w:rPr>
          <w:snapToGrid w:val="0"/>
        </w:rPr>
        <w:tab/>
        <w:t>Interpretation</w:t>
      </w:r>
      <w:bookmarkEnd w:id="31"/>
      <w:bookmarkEnd w:id="32"/>
      <w:bookmarkEnd w:id="33"/>
      <w:bookmarkEnd w:id="34"/>
      <w:bookmarkEnd w:id="35"/>
      <w:bookmarkEnd w:id="36"/>
      <w:bookmarkEnd w:id="37"/>
      <w:bookmarkEnd w:id="38"/>
      <w:r>
        <w:rPr>
          <w:snapToGrid w:val="0"/>
        </w:rPr>
        <w:t xml:space="preserve"> </w:t>
      </w:r>
    </w:p>
    <w:p>
      <w:pPr>
        <w:pStyle w:val="Subsection"/>
        <w:spacing w:before="100"/>
        <w:rPr>
          <w:snapToGrid w:val="0"/>
        </w:rPr>
      </w:pPr>
      <w:r>
        <w:rPr>
          <w:snapToGrid w:val="0"/>
        </w:rPr>
        <w:tab/>
        <w:t>(1)</w:t>
      </w:r>
      <w:r>
        <w:rPr>
          <w:snapToGrid w:val="0"/>
        </w:rPr>
        <w:tab/>
        <w:t>In these regulations — </w:t>
      </w:r>
    </w:p>
    <w:p>
      <w:pPr>
        <w:pStyle w:val="Defstart"/>
      </w:pPr>
      <w:r>
        <w:rPr>
          <w:b/>
        </w:rPr>
        <w:tab/>
        <w:t>“</w:t>
      </w:r>
      <w:r>
        <w:rPr>
          <w:rStyle w:val="CharDefText"/>
        </w:rPr>
        <w:t>approved training course</w:t>
      </w:r>
      <w:r>
        <w:rPr>
          <w:b/>
        </w:rPr>
        <w:t>”</w:t>
      </w:r>
      <w:r>
        <w:t xml:space="preserve"> means a training course which — </w:t>
      </w:r>
    </w:p>
    <w:p>
      <w:pPr>
        <w:pStyle w:val="Defpara"/>
      </w:pPr>
      <w:r>
        <w:tab/>
        <w:t>(a)</w:t>
      </w:r>
      <w:r>
        <w:tab/>
        <w:t xml:space="preserve">is accredited by the Training Accreditation Council under section 27 of the </w:t>
      </w:r>
      <w:r>
        <w:rPr>
          <w:i/>
        </w:rPr>
        <w:t>Vocational Education and Training Act 1996</w:t>
      </w:r>
      <w:r>
        <w:t xml:space="preserve">; or </w:t>
      </w:r>
    </w:p>
    <w:p>
      <w:pPr>
        <w:pStyle w:val="Defpara"/>
      </w:pPr>
      <w:r>
        <w:tab/>
        <w:t>(b)</w:t>
      </w:r>
      <w:r>
        <w:tab/>
        <w:t>has been given interim approval by the Commissioner under regulation 16(2),</w:t>
      </w:r>
    </w:p>
    <w:p>
      <w:pPr>
        <w:pStyle w:val="Defstart"/>
        <w:keepLines/>
      </w:pPr>
      <w:r>
        <w:tab/>
      </w:r>
      <w:r>
        <w:tab/>
        <w:t>and which is provided by a person who — </w:t>
      </w:r>
    </w:p>
    <w:p>
      <w:pPr>
        <w:pStyle w:val="Defpara"/>
        <w:spacing w:before="60"/>
      </w:pPr>
      <w:r>
        <w:tab/>
        <w:t>(c)</w:t>
      </w:r>
      <w:r>
        <w:tab/>
        <w:t>is registered by that Council as a training provider under section 27 of that Act; and</w:t>
      </w:r>
    </w:p>
    <w:p>
      <w:pPr>
        <w:pStyle w:val="Defpara"/>
        <w:spacing w:before="60"/>
      </w:pPr>
      <w:r>
        <w:tab/>
        <w:t>(d)</w:t>
      </w:r>
      <w:r>
        <w:tab/>
        <w:t>has been approved by the Commissioner under regulation 16(3);</w:t>
      </w:r>
    </w:p>
    <w:p>
      <w:pPr>
        <w:pStyle w:val="Defstart"/>
        <w:spacing w:before="60"/>
      </w:pPr>
      <w:r>
        <w:rPr>
          <w:b/>
        </w:rPr>
        <w:tab/>
        <w:t>“</w:t>
      </w:r>
      <w:r>
        <w:rPr>
          <w:rStyle w:val="CharDefText"/>
        </w:rPr>
        <w:t>business</w:t>
      </w:r>
      <w:r>
        <w:rPr>
          <w:b/>
        </w:rPr>
        <w:t>”</w:t>
      </w:r>
      <w:r>
        <w:t xml:space="preserve"> means — </w:t>
      </w:r>
    </w:p>
    <w:p>
      <w:pPr>
        <w:pStyle w:val="Defpara"/>
        <w:spacing w:before="60"/>
      </w:pPr>
      <w:r>
        <w:tab/>
        <w:t>(a)</w:t>
      </w:r>
      <w:r>
        <w:tab/>
        <w:t>if the relevant agent’s licence is held on behalf of a partnership or body corporate, the business of the partnership or body corporate; or</w:t>
      </w:r>
    </w:p>
    <w:p>
      <w:pPr>
        <w:pStyle w:val="Defpara"/>
        <w:spacing w:before="60"/>
      </w:pPr>
      <w:r>
        <w:tab/>
        <w:t>(b)</w:t>
      </w:r>
      <w:r>
        <w:tab/>
        <w:t>otherwise, the business of the security agent, crowd control agent or inquiry agent;</w:t>
      </w:r>
    </w:p>
    <w:p>
      <w:pPr>
        <w:pStyle w:val="Defstart"/>
        <w:spacing w:before="60"/>
      </w:pPr>
      <w:r>
        <w:rPr>
          <w:b/>
        </w:rPr>
        <w:tab/>
        <w:t>“</w:t>
      </w:r>
      <w:r>
        <w:rPr>
          <w:rStyle w:val="CharDefText"/>
        </w:rPr>
        <w:t>crowd control activities</w:t>
      </w:r>
      <w:r>
        <w:rPr>
          <w:b/>
        </w:rPr>
        <w:t>”</w:t>
      </w:r>
      <w:r>
        <w:t xml:space="preserve"> means the activities described in section 35(1);</w:t>
      </w:r>
    </w:p>
    <w:p>
      <w:pPr>
        <w:pStyle w:val="Defstart"/>
        <w:spacing w:before="60"/>
      </w:pPr>
      <w:r>
        <w:rPr>
          <w:b/>
        </w:rPr>
        <w:tab/>
        <w:t>“</w:t>
      </w:r>
      <w:r>
        <w:rPr>
          <w:rStyle w:val="CharDefText"/>
        </w:rPr>
        <w:t>licensed activity</w:t>
      </w:r>
      <w:r>
        <w:rPr>
          <w:b/>
        </w:rPr>
        <w:t>”</w:t>
      </w:r>
      <w:r>
        <w:t xml:space="preserve"> means, in relation to a licensee, an activity authorised by the licensee’s licence;</w:t>
      </w:r>
    </w:p>
    <w:p>
      <w:pPr>
        <w:pStyle w:val="Defstart"/>
      </w:pPr>
      <w:r>
        <w:rPr>
          <w:b/>
        </w:rPr>
        <w:tab/>
        <w:t>“</w:t>
      </w:r>
      <w:r>
        <w:rPr>
          <w:rStyle w:val="CharDefText"/>
        </w:rPr>
        <w:t>medical certificate</w:t>
      </w:r>
      <w:r>
        <w:rPr>
          <w:b/>
        </w:rPr>
        <w:t>”</w:t>
      </w:r>
      <w:r>
        <w:t xml:space="preserve"> means a certificate given by a medical practitioner certifying that on a specified date a named person passed a medical examination of the type prescribed by regulation 15;</w:t>
      </w:r>
    </w:p>
    <w:p>
      <w:pPr>
        <w:pStyle w:val="Defstart"/>
        <w:spacing w:before="60"/>
      </w:pPr>
      <w:r>
        <w:rPr>
          <w:b/>
        </w:rPr>
        <w:tab/>
        <w:t>“</w:t>
      </w:r>
      <w:r>
        <w:rPr>
          <w:rStyle w:val="CharDefText"/>
        </w:rPr>
        <w:t>medical practitioner</w:t>
      </w:r>
      <w:r>
        <w:rPr>
          <w:b/>
        </w:rPr>
        <w:t>”</w:t>
      </w:r>
      <w:r>
        <w:t xml:space="preserve"> means a person who is registered as a medical practitioner under the </w:t>
      </w:r>
      <w:r>
        <w:rPr>
          <w:i/>
        </w:rPr>
        <w:t>Medical Act 1894</w:t>
      </w:r>
      <w:r>
        <w:t>;</w:t>
      </w:r>
    </w:p>
    <w:p>
      <w:pPr>
        <w:pStyle w:val="Defstart"/>
        <w:spacing w:before="60"/>
      </w:pPr>
      <w:r>
        <w:rPr>
          <w:b/>
        </w:rPr>
        <w:tab/>
        <w:t>“</w:t>
      </w:r>
      <w:r>
        <w:rPr>
          <w:rStyle w:val="CharDefText"/>
        </w:rPr>
        <w:t>section</w:t>
      </w:r>
      <w:r>
        <w:rPr>
          <w:b/>
        </w:rPr>
        <w:t>”</w:t>
      </w:r>
      <w:r>
        <w:t xml:space="preserve"> means a section of the Act.</w:t>
      </w:r>
    </w:p>
    <w:p>
      <w:pPr>
        <w:pStyle w:val="Subsection"/>
        <w:spacing w:before="100"/>
        <w:rPr>
          <w:snapToGrid w:val="0"/>
        </w:rPr>
      </w:pPr>
      <w:r>
        <w:rPr>
          <w:snapToGrid w:val="0"/>
        </w:rPr>
        <w:tab/>
        <w:t>(2)</w:t>
      </w:r>
      <w:r>
        <w:rPr>
          <w:snapToGrid w:val="0"/>
        </w:rPr>
        <w:tab/>
        <w:t xml:space="preserve">A reference in these regulations to </w:t>
      </w:r>
      <w:r>
        <w:rPr>
          <w:b/>
          <w:snapToGrid w:val="0"/>
        </w:rPr>
        <w:t>“</w:t>
      </w:r>
      <w:r>
        <w:rPr>
          <w:rStyle w:val="CharDefText"/>
        </w:rPr>
        <w:t>AS</w:t>
      </w:r>
      <w:r>
        <w:rPr>
          <w:b/>
          <w:bCs/>
          <w:snapToGrid w:val="0"/>
        </w:rPr>
        <w:t>”</w:t>
      </w:r>
      <w:r>
        <w:rPr>
          <w:snapToGrid w:val="0"/>
        </w:rPr>
        <w:t xml:space="preserve">, or </w:t>
      </w:r>
      <w:r>
        <w:rPr>
          <w:b/>
          <w:bCs/>
          <w:snapToGrid w:val="0"/>
        </w:rPr>
        <w:t>“</w:t>
      </w:r>
      <w:r>
        <w:rPr>
          <w:rStyle w:val="CharDefText"/>
        </w:rPr>
        <w:t>ANZS</w:t>
      </w:r>
      <w:r>
        <w:rPr>
          <w:b/>
          <w:snapToGrid w:val="0"/>
        </w:rPr>
        <w:t>”</w:t>
      </w:r>
      <w:r>
        <w:rPr>
          <w:snapToGrid w:val="0"/>
        </w:rPr>
        <w:t>, followed by a number and the name of a document is a reference to — </w:t>
      </w:r>
    </w:p>
    <w:p>
      <w:pPr>
        <w:pStyle w:val="Indenta"/>
        <w:spacing w:before="60"/>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spacing w:before="60"/>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Footnotesection"/>
        <w:keepLines w:val="0"/>
      </w:pPr>
      <w:r>
        <w:tab/>
        <w:t>[Regulation 3 amended in Gazette 1 Sep 2005 p. 4073</w:t>
      </w:r>
      <w:r>
        <w:noBreakHyphen/>
        <w:t>4.]</w:t>
      </w:r>
    </w:p>
    <w:p>
      <w:pPr>
        <w:pStyle w:val="Heading2"/>
      </w:pPr>
      <w:bookmarkStart w:id="39" w:name="_Toc77657621"/>
      <w:bookmarkStart w:id="40" w:name="_Toc78350693"/>
      <w:bookmarkStart w:id="41" w:name="_Toc78350806"/>
      <w:bookmarkStart w:id="42" w:name="_Toc92873955"/>
      <w:bookmarkStart w:id="43" w:name="_Toc113259625"/>
      <w:bookmarkStart w:id="44" w:name="_Toc113260341"/>
      <w:bookmarkStart w:id="45" w:name="_Toc113263495"/>
      <w:bookmarkStart w:id="46" w:name="_Toc116795462"/>
      <w:bookmarkStart w:id="47" w:name="_Toc116966983"/>
      <w:bookmarkStart w:id="48" w:name="_Toc117567725"/>
      <w:bookmarkStart w:id="49" w:name="_Toc117659481"/>
      <w:bookmarkStart w:id="50" w:name="_Toc117913924"/>
      <w:bookmarkStart w:id="51" w:name="_Toc117914015"/>
      <w:bookmarkStart w:id="52" w:name="_Toc120077205"/>
      <w:r>
        <w:rPr>
          <w:rStyle w:val="CharPartNo"/>
        </w:rPr>
        <w:t>Part 2</w:t>
      </w:r>
      <w:r>
        <w:rPr>
          <w:rStyle w:val="CharDivNo"/>
        </w:rPr>
        <w:t> </w:t>
      </w:r>
      <w:r>
        <w:t>—</w:t>
      </w:r>
      <w:r>
        <w:rPr>
          <w:rStyle w:val="CharDivText"/>
        </w:rPr>
        <w:t> </w:t>
      </w:r>
      <w:r>
        <w:rPr>
          <w:rStyle w:val="CharPartText"/>
        </w:rPr>
        <w:t>Exemptions</w:t>
      </w:r>
      <w:bookmarkEnd w:id="39"/>
      <w:bookmarkEnd w:id="40"/>
      <w:bookmarkEnd w:id="41"/>
      <w:bookmarkEnd w:id="42"/>
      <w:bookmarkEnd w:id="43"/>
      <w:bookmarkEnd w:id="44"/>
      <w:bookmarkEnd w:id="45"/>
      <w:bookmarkEnd w:id="46"/>
      <w:bookmarkEnd w:id="47"/>
      <w:bookmarkEnd w:id="48"/>
      <w:bookmarkEnd w:id="49"/>
      <w:bookmarkEnd w:id="50"/>
      <w:bookmarkEnd w:id="51"/>
      <w:bookmarkEnd w:id="52"/>
      <w:r>
        <w:rPr>
          <w:rStyle w:val="CharPartText"/>
        </w:rPr>
        <w:t xml:space="preserve"> </w:t>
      </w:r>
    </w:p>
    <w:p>
      <w:pPr>
        <w:pStyle w:val="Heading5"/>
        <w:rPr>
          <w:snapToGrid w:val="0"/>
        </w:rPr>
      </w:pPr>
      <w:bookmarkStart w:id="53" w:name="_Toc489429195"/>
      <w:bookmarkStart w:id="54" w:name="_Toc509894410"/>
      <w:bookmarkStart w:id="55" w:name="_Toc511206221"/>
      <w:bookmarkStart w:id="56" w:name="_Toc71963109"/>
      <w:bookmarkStart w:id="57" w:name="_Toc78350807"/>
      <w:bookmarkStart w:id="58" w:name="_Toc92873956"/>
      <w:bookmarkStart w:id="59" w:name="_Toc117913925"/>
      <w:bookmarkStart w:id="60" w:name="_Toc120077206"/>
      <w:r>
        <w:rPr>
          <w:rStyle w:val="CharSectno"/>
        </w:rPr>
        <w:t>4</w:t>
      </w:r>
      <w:r>
        <w:rPr>
          <w:snapToGrid w:val="0"/>
        </w:rPr>
        <w:t>.</w:t>
      </w:r>
      <w:r>
        <w:rPr>
          <w:snapToGrid w:val="0"/>
        </w:rPr>
        <w:tab/>
        <w:t>Exemptions from section 37 (crowd controller’s licence)</w:t>
      </w:r>
      <w:bookmarkEnd w:id="53"/>
      <w:bookmarkEnd w:id="54"/>
      <w:bookmarkEnd w:id="55"/>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licensed premises</w:t>
      </w:r>
      <w:r>
        <w:rPr>
          <w:b/>
        </w:rPr>
        <w:t>”</w:t>
      </w:r>
      <w:r>
        <w:t xml:space="preserve"> has the same meaning as in the </w:t>
      </w:r>
      <w:r>
        <w:rPr>
          <w:i/>
        </w:rPr>
        <w:t>Liquor Licensing Act 1988</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Licensing Act 1988</w:t>
      </w:r>
      <w:r>
        <w:rPr>
          <w:snapToGrid w:val="0"/>
        </w:rPr>
        <w:t xml:space="preserve">. </w:t>
      </w:r>
    </w:p>
    <w:p>
      <w:pPr>
        <w:pStyle w:val="Heading5"/>
        <w:rPr>
          <w:snapToGrid w:val="0"/>
        </w:rPr>
      </w:pPr>
      <w:bookmarkStart w:id="61" w:name="_Toc489429196"/>
      <w:bookmarkStart w:id="62" w:name="_Toc509894411"/>
      <w:bookmarkStart w:id="63" w:name="_Toc511206222"/>
      <w:bookmarkStart w:id="64" w:name="_Toc71963110"/>
      <w:bookmarkStart w:id="65" w:name="_Toc78350808"/>
      <w:bookmarkStart w:id="66" w:name="_Toc92873957"/>
      <w:bookmarkStart w:id="67" w:name="_Toc117913926"/>
      <w:bookmarkStart w:id="68" w:name="_Toc120077207"/>
      <w:r>
        <w:rPr>
          <w:rStyle w:val="CharSectno"/>
        </w:rPr>
        <w:t>5</w:t>
      </w:r>
      <w:r>
        <w:rPr>
          <w:snapToGrid w:val="0"/>
        </w:rPr>
        <w:t>.</w:t>
      </w:r>
      <w:r>
        <w:rPr>
          <w:snapToGrid w:val="0"/>
        </w:rPr>
        <w:tab/>
        <w:t>Exemption for certain casino employees</w:t>
      </w:r>
      <w:bookmarkEnd w:id="61"/>
      <w:bookmarkEnd w:id="62"/>
      <w:bookmarkEnd w:id="63"/>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 xml:space="preserve">The holder of a casino key employee licence or a casino employee licence under the </w:t>
      </w:r>
      <w:r>
        <w:rPr>
          <w:i/>
          <w:snapToGrid w:val="0"/>
        </w:rPr>
        <w:t>Casino Control (Burswood Island) (Licensing of Employees) Regulations 1985</w:t>
      </w:r>
      <w:r>
        <w:rPr>
          <w:snapToGrid w:val="0"/>
        </w:rPr>
        <w:t xml:space="preserve"> is exempt from sections 15, 16, 17, 18, 29, 30, 36 and 37 while the person — </w:t>
      </w:r>
    </w:p>
    <w:p>
      <w:pPr>
        <w:pStyle w:val="Indenta"/>
        <w:rPr>
          <w:snapToGrid w:val="0"/>
        </w:rPr>
      </w:pPr>
      <w:r>
        <w:rPr>
          <w:snapToGrid w:val="0"/>
        </w:rPr>
        <w:tab/>
        <w:t>(a)</w:t>
      </w:r>
      <w:r>
        <w:rPr>
          <w:snapToGrid w:val="0"/>
        </w:rPr>
        <w:tab/>
        <w:t>is employed or engaged to work at the Burswood Casino;</w:t>
      </w:r>
    </w:p>
    <w:p>
      <w:pPr>
        <w:pStyle w:val="Indenta"/>
        <w:rPr>
          <w:snapToGrid w:val="0"/>
        </w:rPr>
      </w:pPr>
      <w:r>
        <w:rPr>
          <w:snapToGrid w:val="0"/>
        </w:rPr>
        <w:tab/>
        <w:t>(b)</w:t>
      </w:r>
      <w:r>
        <w:rPr>
          <w:snapToGrid w:val="0"/>
        </w:rPr>
        <w:tab/>
        <w:t>is acting in the course of that employment or engagement; and</w:t>
      </w:r>
    </w:p>
    <w:p>
      <w:pPr>
        <w:pStyle w:val="Indenta"/>
        <w:rPr>
          <w:snapToGrid w:val="0"/>
        </w:rPr>
      </w:pPr>
      <w:r>
        <w:rPr>
          <w:snapToGrid w:val="0"/>
        </w:rPr>
        <w:tab/>
        <w:t>(c)</w:t>
      </w:r>
      <w:r>
        <w:rPr>
          <w:snapToGrid w:val="0"/>
        </w:rPr>
        <w:tab/>
        <w:t>is performing activities authorised by that licence.</w:t>
      </w:r>
    </w:p>
    <w:p>
      <w:pPr>
        <w:pStyle w:val="Heading5"/>
      </w:pPr>
      <w:bookmarkStart w:id="69" w:name="_Toc489429197"/>
      <w:bookmarkStart w:id="70" w:name="_Toc509894412"/>
      <w:bookmarkStart w:id="71" w:name="_Toc511206223"/>
      <w:bookmarkStart w:id="72" w:name="_Toc71963111"/>
      <w:bookmarkStart w:id="73" w:name="_Toc78350809"/>
      <w:bookmarkStart w:id="74" w:name="_Toc92873958"/>
      <w:bookmarkStart w:id="75" w:name="_Toc117913927"/>
      <w:bookmarkStart w:id="76" w:name="_Toc120077208"/>
      <w:r>
        <w:rPr>
          <w:rStyle w:val="CharSectno"/>
        </w:rPr>
        <w:t>5A</w:t>
      </w:r>
      <w:r>
        <w:t>.</w:t>
      </w:r>
      <w:r>
        <w:tab/>
        <w:t xml:space="preserve">Exemptions in relation to </w:t>
      </w:r>
      <w:r>
        <w:rPr>
          <w:i/>
        </w:rPr>
        <w:t>Court Security and Custodial Services Act 1999</w:t>
      </w:r>
      <w:bookmarkEnd w:id="69"/>
      <w:bookmarkEnd w:id="70"/>
      <w:bookmarkEnd w:id="71"/>
      <w:bookmarkEnd w:id="72"/>
      <w:bookmarkEnd w:id="73"/>
      <w:bookmarkEnd w:id="74"/>
      <w:bookmarkEnd w:id="75"/>
      <w:bookmarkEnd w:id="76"/>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MiscellaneousBody"/>
        <w:jc w:val="center"/>
        <w:rPr>
          <w:b/>
          <w:bCs/>
        </w:rPr>
      </w:pPr>
      <w:r>
        <w:rPr>
          <w:b/>
          <w:bCs/>
        </w:rP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
              <w:spacing w:before="0" w:line="240" w:lineRule="auto"/>
            </w:pPr>
            <w:r>
              <w:t>contract</w:t>
            </w:r>
          </w:p>
        </w:tc>
        <w:tc>
          <w:tcPr>
            <w:tcW w:w="3120" w:type="dxa"/>
          </w:tcPr>
          <w:p>
            <w:pPr>
              <w:pStyle w:val="Table"/>
              <w:spacing w:before="0" w:line="240" w:lineRule="auto"/>
            </w:pPr>
            <w:r>
              <w:t>court security service</w:t>
            </w:r>
          </w:p>
        </w:tc>
      </w:tr>
      <w:tr>
        <w:tc>
          <w:tcPr>
            <w:tcW w:w="2125" w:type="dxa"/>
          </w:tcPr>
          <w:p>
            <w:pPr>
              <w:pStyle w:val="Table"/>
              <w:spacing w:before="0" w:line="240" w:lineRule="auto"/>
            </w:pPr>
            <w:r>
              <w:t>contractor</w:t>
            </w:r>
          </w:p>
        </w:tc>
        <w:tc>
          <w:tcPr>
            <w:tcW w:w="3120" w:type="dxa"/>
          </w:tcPr>
          <w:p>
            <w:pPr>
              <w:pStyle w:val="Table"/>
              <w:spacing w:before="0" w:line="240" w:lineRule="auto"/>
            </w:pPr>
            <w:r>
              <w:t>custodial service</w:t>
            </w:r>
          </w:p>
        </w:tc>
      </w:tr>
      <w:tr>
        <w:tc>
          <w:tcPr>
            <w:tcW w:w="2125" w:type="dxa"/>
          </w:tcPr>
          <w:p>
            <w:pPr>
              <w:pStyle w:val="Table"/>
              <w:spacing w:before="0" w:line="240" w:lineRule="auto"/>
            </w:pPr>
            <w:r>
              <w:t>contract worker</w:t>
            </w:r>
          </w:p>
        </w:tc>
        <w:tc>
          <w:tcPr>
            <w:tcW w:w="3120" w:type="dxa"/>
          </w:tcPr>
          <w:p>
            <w:pPr>
              <w:pStyle w:val="Table"/>
              <w:spacing w:before="0" w:line="240" w:lineRule="auto"/>
            </w:pPr>
            <w:r>
              <w:t>subcontractor</w:t>
            </w:r>
          </w:p>
        </w:tc>
      </w:tr>
    </w:tbl>
    <w:p>
      <w:pPr>
        <w:pStyle w:val="Subsection"/>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pPr>
      <w:r>
        <w:tab/>
        <w:t>[Regulation 5A inserted in Gazette 28 Jul 2000 p. 4028; amended in Gazette 12 Jun 2001 p. 2959</w:t>
      </w:r>
      <w:r>
        <w:noBreakHyphen/>
        <w:t>60.]</w:t>
      </w:r>
    </w:p>
    <w:p>
      <w:pPr>
        <w:pStyle w:val="Heading5"/>
      </w:pPr>
      <w:bookmarkStart w:id="77" w:name="_Toc71963112"/>
      <w:bookmarkStart w:id="78" w:name="_Toc78350810"/>
      <w:bookmarkStart w:id="79" w:name="_Toc92873959"/>
      <w:bookmarkStart w:id="80" w:name="_Toc117913928"/>
      <w:bookmarkStart w:id="81" w:name="_Toc120077209"/>
      <w:r>
        <w:rPr>
          <w:rStyle w:val="CharSectno"/>
        </w:rPr>
        <w:t>5B</w:t>
      </w:r>
      <w:r>
        <w:t>.</w:t>
      </w:r>
      <w:r>
        <w:tab/>
        <w:t xml:space="preserve">Exemption in relation to contracts under the </w:t>
      </w:r>
      <w:r>
        <w:rPr>
          <w:i/>
        </w:rPr>
        <w:t>Prisons Act 1981</w:t>
      </w:r>
      <w:r>
        <w:t xml:space="preserve"> Part IIIA</w:t>
      </w:r>
      <w:bookmarkEnd w:id="77"/>
      <w:bookmarkEnd w:id="78"/>
      <w:bookmarkEnd w:id="79"/>
      <w:bookmarkEnd w:id="80"/>
      <w:bookmarkEnd w:id="81"/>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MiscellaneousBody"/>
        <w:jc w:val="center"/>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spacing w:before="20" w:after="20" w:line="240" w:lineRule="auto"/>
            </w:pPr>
            <w:r>
              <w:t>contract</w:t>
            </w:r>
          </w:p>
        </w:tc>
        <w:tc>
          <w:tcPr>
            <w:tcW w:w="2693" w:type="dxa"/>
          </w:tcPr>
          <w:p>
            <w:pPr>
              <w:pStyle w:val="Table"/>
              <w:spacing w:before="20" w:after="20" w:line="240" w:lineRule="auto"/>
            </w:pPr>
            <w:r>
              <w:t>prison services</w:t>
            </w:r>
          </w:p>
        </w:tc>
      </w:tr>
      <w:tr>
        <w:tc>
          <w:tcPr>
            <w:tcW w:w="2693" w:type="dxa"/>
          </w:tcPr>
          <w:p>
            <w:pPr>
              <w:pStyle w:val="Table"/>
              <w:spacing w:before="20" w:after="20" w:line="240" w:lineRule="auto"/>
            </w:pPr>
            <w:r>
              <w:t>contractor</w:t>
            </w:r>
          </w:p>
        </w:tc>
        <w:tc>
          <w:tcPr>
            <w:tcW w:w="2693" w:type="dxa"/>
          </w:tcPr>
          <w:p>
            <w:pPr>
              <w:pStyle w:val="Table"/>
              <w:spacing w:before="20" w:after="20" w:line="240" w:lineRule="auto"/>
            </w:pPr>
            <w:r>
              <w:t>subcontractor</w:t>
            </w:r>
          </w:p>
        </w:tc>
      </w:tr>
      <w:tr>
        <w:tc>
          <w:tcPr>
            <w:tcW w:w="2693" w:type="dxa"/>
          </w:tcPr>
          <w:p>
            <w:pPr>
              <w:pStyle w:val="Table"/>
              <w:spacing w:before="20" w:after="20" w:line="240" w:lineRule="auto"/>
            </w:pPr>
            <w:r>
              <w:t>contract worker</w:t>
            </w:r>
          </w:p>
        </w:tc>
        <w:tc>
          <w:tcPr>
            <w:tcW w:w="2693" w:type="dxa"/>
          </w:tcPr>
          <w:p>
            <w:pPr>
              <w:pStyle w:val="Table"/>
              <w:spacing w:before="20" w:after="20" w:line="240" w:lineRule="auto"/>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in Gazette 12 Jun 2001 p. 2960.]</w:t>
      </w:r>
    </w:p>
    <w:p>
      <w:pPr>
        <w:pStyle w:val="Heading2"/>
      </w:pPr>
      <w:bookmarkStart w:id="82" w:name="_Toc77657626"/>
      <w:bookmarkStart w:id="83" w:name="_Toc78350698"/>
      <w:bookmarkStart w:id="84" w:name="_Toc78350811"/>
      <w:bookmarkStart w:id="85" w:name="_Toc92873960"/>
      <w:bookmarkStart w:id="86" w:name="_Toc113259630"/>
      <w:bookmarkStart w:id="87" w:name="_Toc113260346"/>
      <w:bookmarkStart w:id="88" w:name="_Toc113263500"/>
      <w:bookmarkStart w:id="89" w:name="_Toc116795467"/>
      <w:bookmarkStart w:id="90" w:name="_Toc116966988"/>
      <w:bookmarkStart w:id="91" w:name="_Toc117567730"/>
      <w:bookmarkStart w:id="92" w:name="_Toc117659486"/>
      <w:bookmarkStart w:id="93" w:name="_Toc117913929"/>
      <w:bookmarkStart w:id="94" w:name="_Toc117914020"/>
      <w:bookmarkStart w:id="95" w:name="_Toc120077210"/>
      <w:r>
        <w:rPr>
          <w:rStyle w:val="CharPartNo"/>
        </w:rPr>
        <w:t>Part 3</w:t>
      </w:r>
      <w:r>
        <w:rPr>
          <w:rStyle w:val="CharDivNo"/>
        </w:rPr>
        <w:t> </w:t>
      </w:r>
      <w:r>
        <w:t>—</w:t>
      </w:r>
      <w:r>
        <w:rPr>
          <w:rStyle w:val="CharDivText"/>
        </w:rPr>
        <w:t> </w:t>
      </w:r>
      <w:r>
        <w:rPr>
          <w:rStyle w:val="CharPartText"/>
        </w:rPr>
        <w:t>Security activities</w:t>
      </w:r>
      <w:bookmarkEnd w:id="82"/>
      <w:bookmarkEnd w:id="83"/>
      <w:bookmarkEnd w:id="84"/>
      <w:bookmarkEnd w:id="85"/>
      <w:bookmarkEnd w:id="86"/>
      <w:bookmarkEnd w:id="87"/>
      <w:bookmarkEnd w:id="88"/>
      <w:bookmarkEnd w:id="89"/>
      <w:bookmarkEnd w:id="90"/>
      <w:bookmarkEnd w:id="91"/>
      <w:bookmarkEnd w:id="92"/>
      <w:bookmarkEnd w:id="93"/>
      <w:bookmarkEnd w:id="94"/>
      <w:bookmarkEnd w:id="95"/>
      <w:r>
        <w:rPr>
          <w:rStyle w:val="CharPartText"/>
        </w:rPr>
        <w:t xml:space="preserve"> </w:t>
      </w:r>
    </w:p>
    <w:p>
      <w:pPr>
        <w:pStyle w:val="Heading5"/>
        <w:rPr>
          <w:snapToGrid w:val="0"/>
        </w:rPr>
      </w:pPr>
      <w:bookmarkStart w:id="96" w:name="_Toc489429198"/>
      <w:bookmarkStart w:id="97" w:name="_Toc509894413"/>
      <w:bookmarkStart w:id="98" w:name="_Toc511206224"/>
      <w:bookmarkStart w:id="99" w:name="_Toc71963113"/>
      <w:bookmarkStart w:id="100" w:name="_Toc78350812"/>
      <w:bookmarkStart w:id="101" w:name="_Toc92873961"/>
      <w:bookmarkStart w:id="102" w:name="_Toc117913930"/>
      <w:bookmarkStart w:id="103" w:name="_Toc120077211"/>
      <w:r>
        <w:rPr>
          <w:rStyle w:val="CharSectno"/>
        </w:rPr>
        <w:t>6</w:t>
      </w:r>
      <w:r>
        <w:rPr>
          <w:snapToGrid w:val="0"/>
        </w:rPr>
        <w:t>.</w:t>
      </w:r>
      <w:r>
        <w:rPr>
          <w:snapToGrid w:val="0"/>
        </w:rPr>
        <w:tab/>
        <w:t>Locks prescribed for section 14</w:t>
      </w:r>
      <w:bookmarkEnd w:id="96"/>
      <w:bookmarkEnd w:id="97"/>
      <w:bookmarkEnd w:id="98"/>
      <w:bookmarkEnd w:id="99"/>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The locks prescribed for the purposes of section 14(1)(d) are any locks (other than key in knob sets) that are — </w:t>
      </w:r>
    </w:p>
    <w:p>
      <w:pPr>
        <w:pStyle w:val="Indenta"/>
        <w:rPr>
          <w:snapToGrid w:val="0"/>
        </w:rPr>
      </w:pPr>
      <w:r>
        <w:rPr>
          <w:snapToGrid w:val="0"/>
        </w:rPr>
        <w:tab/>
        <w:t>(a)</w:t>
      </w:r>
      <w:r>
        <w:rPr>
          <w:snapToGrid w:val="0"/>
        </w:rPr>
        <w:tab/>
        <w:t xml:space="preserve">operated by a key, an electronic code, a card or a digital function; </w:t>
      </w:r>
    </w:p>
    <w:p>
      <w:pPr>
        <w:pStyle w:val="Indenta"/>
        <w:rPr>
          <w:snapToGrid w:val="0"/>
        </w:rPr>
      </w:pPr>
      <w:r>
        <w:rPr>
          <w:snapToGrid w:val="0"/>
        </w:rPr>
        <w:tab/>
        <w:t>(b)</w:t>
      </w:r>
      <w:r>
        <w:rPr>
          <w:snapToGrid w:val="0"/>
        </w:rPr>
        <w:tab/>
        <w:t>intended to prevent unauthorised entry to a place; and</w:t>
      </w:r>
    </w:p>
    <w:p>
      <w:pPr>
        <w:pStyle w:val="Indenta"/>
        <w:rPr>
          <w:snapToGrid w:val="0"/>
        </w:rPr>
      </w:pPr>
      <w:r>
        <w:rPr>
          <w:snapToGrid w:val="0"/>
        </w:rPr>
        <w:tab/>
        <w:t>(c)</w:t>
      </w:r>
      <w:r>
        <w:rPr>
          <w:snapToGrid w:val="0"/>
        </w:rPr>
        <w:tab/>
        <w:t>manufactured in accordance with AS 4145 — Mechanical Locksets for Doors and Buildings.</w:t>
      </w:r>
    </w:p>
    <w:p>
      <w:pPr>
        <w:pStyle w:val="Heading5"/>
        <w:rPr>
          <w:snapToGrid w:val="0"/>
        </w:rPr>
      </w:pPr>
      <w:bookmarkStart w:id="104" w:name="_Toc489429199"/>
      <w:bookmarkStart w:id="105" w:name="_Toc509894414"/>
      <w:bookmarkStart w:id="106" w:name="_Toc511206225"/>
      <w:bookmarkStart w:id="107" w:name="_Toc71963114"/>
      <w:bookmarkStart w:id="108" w:name="_Toc78350813"/>
      <w:bookmarkStart w:id="109" w:name="_Toc92873962"/>
      <w:bookmarkStart w:id="110" w:name="_Toc117913931"/>
      <w:bookmarkStart w:id="111" w:name="_Toc120077212"/>
      <w:r>
        <w:rPr>
          <w:rStyle w:val="CharSectno"/>
        </w:rPr>
        <w:t>7</w:t>
      </w:r>
      <w:r>
        <w:rPr>
          <w:snapToGrid w:val="0"/>
        </w:rPr>
        <w:t>.</w:t>
      </w:r>
      <w:r>
        <w:rPr>
          <w:snapToGrid w:val="0"/>
        </w:rPr>
        <w:tab/>
        <w:t>Security doors prescribed for section 14</w:t>
      </w:r>
      <w:bookmarkEnd w:id="104"/>
      <w:bookmarkEnd w:id="105"/>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r>
      <w:r>
        <w:rPr>
          <w:snapToGrid w:val="0"/>
        </w:rPr>
        <w:tab/>
        <w:t>The security doors prescribed for the purposes of section 14(1)(e) are any hinged or sliding doors manufactured in accordance with AS 2803 — Security Screen Doors.</w:t>
      </w:r>
    </w:p>
    <w:p>
      <w:pPr>
        <w:pStyle w:val="Heading5"/>
        <w:rPr>
          <w:snapToGrid w:val="0"/>
        </w:rPr>
      </w:pPr>
      <w:bookmarkStart w:id="112" w:name="_Toc489429200"/>
      <w:bookmarkStart w:id="113" w:name="_Toc509894415"/>
      <w:bookmarkStart w:id="114" w:name="_Toc511206226"/>
      <w:bookmarkStart w:id="115" w:name="_Toc71963115"/>
      <w:bookmarkStart w:id="116" w:name="_Toc78350814"/>
      <w:bookmarkStart w:id="117" w:name="_Toc92873963"/>
      <w:bookmarkStart w:id="118" w:name="_Toc117913932"/>
      <w:bookmarkStart w:id="119" w:name="_Toc120077213"/>
      <w:r>
        <w:rPr>
          <w:rStyle w:val="CharSectno"/>
        </w:rPr>
        <w:t>8</w:t>
      </w:r>
      <w:r>
        <w:rPr>
          <w:snapToGrid w:val="0"/>
        </w:rPr>
        <w:t>.</w:t>
      </w:r>
      <w:r>
        <w:rPr>
          <w:snapToGrid w:val="0"/>
        </w:rPr>
        <w:tab/>
        <w:t>Equipment or devices prescribed for section 14</w:t>
      </w:r>
      <w:bookmarkEnd w:id="112"/>
      <w:bookmarkEnd w:id="113"/>
      <w:bookmarkEnd w:id="114"/>
      <w:bookmarkEnd w:id="115"/>
      <w:bookmarkEnd w:id="116"/>
      <w:bookmarkEnd w:id="117"/>
      <w:bookmarkEnd w:id="118"/>
      <w:bookmarkEnd w:id="119"/>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rPr>
          <w:snapToGrid w:val="0"/>
        </w:rPr>
      </w:pPr>
      <w:r>
        <w:rPr>
          <w:snapToGrid w:val="0"/>
        </w:rPr>
        <w:tab/>
        <w:t>(a)</w:t>
      </w:r>
      <w:r>
        <w:rPr>
          <w:snapToGrid w:val="0"/>
        </w:rPr>
        <w:tab/>
        <w:t>electric fences that are — </w:t>
      </w:r>
    </w:p>
    <w:p>
      <w:pPr>
        <w:pStyle w:val="Indenti"/>
        <w:rPr>
          <w:snapToGrid w:val="0"/>
        </w:rPr>
      </w:pPr>
      <w:r>
        <w:rPr>
          <w:snapToGrid w:val="0"/>
        </w:rPr>
        <w:tab/>
        <w:t>(i)</w:t>
      </w:r>
      <w:r>
        <w:rPr>
          <w:snapToGrid w:val="0"/>
        </w:rPr>
        <w:tab/>
        <w:t xml:space="preserve">intended to prevent unauthorised human entry to a place; and </w:t>
      </w:r>
    </w:p>
    <w:p>
      <w:pPr>
        <w:pStyle w:val="Indenti"/>
        <w:rPr>
          <w:snapToGrid w:val="0"/>
        </w:rPr>
      </w:pPr>
      <w:r>
        <w:rPr>
          <w:snapToGrid w:val="0"/>
        </w:rPr>
        <w:tab/>
        <w:t>(ii)</w:t>
      </w:r>
      <w:r>
        <w:rPr>
          <w:snapToGrid w:val="0"/>
        </w:rPr>
        <w:tab/>
        <w:t xml:space="preserve">manufactured in accordance with the document entitled ANZS 3016 — Electrical Installations — Electrical Security Fences;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bullet resistant screens (including pneumatic pop</w:t>
      </w:r>
      <w:r>
        <w:rPr>
          <w:snapToGrid w:val="0"/>
        </w:rPr>
        <w:noBreakHyphen/>
        <w:t>up screens), walls and doors manufactured in accordance with AS 2343 — Bullet Resistant Panels for Interior Use.</w:t>
      </w:r>
    </w:p>
    <w:p>
      <w:pPr>
        <w:pStyle w:val="Heading5"/>
      </w:pPr>
      <w:bookmarkStart w:id="120" w:name="_Toc117913933"/>
      <w:bookmarkStart w:id="121" w:name="_Toc120077214"/>
      <w:bookmarkStart w:id="122" w:name="_Toc489429202"/>
      <w:bookmarkStart w:id="123" w:name="_Toc509894417"/>
      <w:bookmarkStart w:id="124" w:name="_Toc511206228"/>
      <w:bookmarkStart w:id="125" w:name="_Toc71963117"/>
      <w:bookmarkStart w:id="126" w:name="_Toc78350816"/>
      <w:bookmarkStart w:id="127" w:name="_Toc92873965"/>
      <w:r>
        <w:rPr>
          <w:rStyle w:val="CharSectno"/>
        </w:rPr>
        <w:t>9</w:t>
      </w:r>
      <w:r>
        <w:t>.</w:t>
      </w:r>
      <w:r>
        <w:tab/>
        <w:t>Activities prescribed for section 24</w:t>
      </w:r>
      <w:bookmarkEnd w:id="120"/>
      <w:bookmarkEnd w:id="121"/>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in Gazette 1 Sep 2005 p. 4074.]</w:t>
      </w:r>
    </w:p>
    <w:p>
      <w:pPr>
        <w:pStyle w:val="Heading5"/>
        <w:rPr>
          <w:snapToGrid w:val="0"/>
        </w:rPr>
      </w:pPr>
      <w:bookmarkStart w:id="128" w:name="_Toc117913934"/>
      <w:bookmarkStart w:id="129" w:name="_Toc120077215"/>
      <w:r>
        <w:rPr>
          <w:rStyle w:val="CharSectno"/>
        </w:rPr>
        <w:t>10</w:t>
      </w:r>
      <w:r>
        <w:rPr>
          <w:snapToGrid w:val="0"/>
        </w:rPr>
        <w:t>.</w:t>
      </w:r>
      <w:r>
        <w:rPr>
          <w:snapToGrid w:val="0"/>
        </w:rPr>
        <w:tab/>
        <w:t>Application for endorsement under section 24</w:t>
      </w:r>
      <w:bookmarkEnd w:id="122"/>
      <w:bookmarkEnd w:id="123"/>
      <w:bookmarkEnd w:id="124"/>
      <w:bookmarkEnd w:id="125"/>
      <w:bookmarkEnd w:id="126"/>
      <w:bookmarkEnd w:id="127"/>
      <w:bookmarkEnd w:id="128"/>
      <w:bookmarkEnd w:id="129"/>
      <w:r>
        <w:rPr>
          <w:snapToGrid w:val="0"/>
        </w:rPr>
        <w:t xml:space="preserve"> </w:t>
      </w:r>
    </w:p>
    <w:p>
      <w:pPr>
        <w:pStyle w:val="Subsection"/>
        <w:spacing w:before="140"/>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 xml:space="preserve">a medical certificate relating to a medical examination carried out within the previous month; </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rPr>
          <w:snapToGrid w:val="0"/>
        </w:rPr>
      </w:pPr>
      <w:r>
        <w:rPr>
          <w:snapToGrid w:val="0"/>
        </w:rPr>
        <w:tab/>
        <w:t>(b)</w:t>
      </w:r>
      <w:r>
        <w:rPr>
          <w:snapToGrid w:val="0"/>
        </w:rPr>
        <w:tab/>
        <w:t xml:space="preserve">the fee provided for in Schedule 4. </w:t>
      </w:r>
    </w:p>
    <w:p>
      <w:pPr>
        <w:pStyle w:val="Footnotesection"/>
      </w:pPr>
      <w:bookmarkStart w:id="130" w:name="_Toc489429203"/>
      <w:bookmarkStart w:id="131" w:name="_Toc509894418"/>
      <w:bookmarkStart w:id="132" w:name="_Toc511206229"/>
      <w:bookmarkStart w:id="133" w:name="_Toc71963118"/>
      <w:bookmarkStart w:id="134" w:name="_Toc78350817"/>
      <w:bookmarkStart w:id="135" w:name="_Toc92873966"/>
      <w:r>
        <w:tab/>
        <w:t>[Regulation 10 amended in Gazette 1 Sep 2005 p. 4074.]</w:t>
      </w:r>
    </w:p>
    <w:p>
      <w:pPr>
        <w:pStyle w:val="Heading5"/>
        <w:rPr>
          <w:snapToGrid w:val="0"/>
        </w:rPr>
      </w:pPr>
      <w:bookmarkStart w:id="136" w:name="_Toc117913935"/>
      <w:bookmarkStart w:id="137" w:name="_Toc120077216"/>
      <w:r>
        <w:rPr>
          <w:rStyle w:val="CharSectno"/>
        </w:rPr>
        <w:t>11</w:t>
      </w:r>
      <w:r>
        <w:rPr>
          <w:snapToGrid w:val="0"/>
        </w:rPr>
        <w:t>.</w:t>
      </w:r>
      <w:r>
        <w:rPr>
          <w:snapToGrid w:val="0"/>
        </w:rPr>
        <w:tab/>
        <w:t>Annual medical examination prescribed for section 24</w:t>
      </w:r>
      <w:bookmarkEnd w:id="130"/>
      <w:bookmarkEnd w:id="131"/>
      <w:bookmarkEnd w:id="132"/>
      <w:bookmarkEnd w:id="133"/>
      <w:bookmarkEnd w:id="134"/>
      <w:bookmarkEnd w:id="135"/>
      <w:bookmarkEnd w:id="136"/>
      <w:bookmarkEnd w:id="137"/>
      <w:r>
        <w:rPr>
          <w:snapToGrid w:val="0"/>
        </w:rPr>
        <w:t xml:space="preserve"> </w:t>
      </w:r>
    </w:p>
    <w:p>
      <w:pPr>
        <w:pStyle w:val="Subsection"/>
        <w:spacing w:before="140"/>
        <w:rPr>
          <w:snapToGrid w:val="0"/>
        </w:rPr>
      </w:pPr>
      <w:r>
        <w:rPr>
          <w:snapToGrid w:val="0"/>
        </w:rPr>
        <w:tab/>
      </w:r>
      <w:r>
        <w:rPr>
          <w:snapToGrid w:val="0"/>
        </w:rPr>
        <w:tab/>
        <w:t>A security officer whose licence is endorsed under section 24 must — </w:t>
      </w:r>
    </w:p>
    <w:p>
      <w:pPr>
        <w:pStyle w:val="Indenta"/>
        <w:spacing w:before="60"/>
        <w:rPr>
          <w:snapToGrid w:val="0"/>
        </w:rPr>
      </w:pPr>
      <w:r>
        <w:rPr>
          <w:snapToGrid w:val="0"/>
        </w:rPr>
        <w:tab/>
        <w:t>(a)</w:t>
      </w:r>
      <w:r>
        <w:rPr>
          <w:snapToGrid w:val="0"/>
        </w:rPr>
        <w:tab/>
        <w:t>undergo a medical examination of the type prescribed by regulation 15 (as if the officer were an applicant) at least once in every 12 months, commencing on the day on which the endorsement was issued; and</w:t>
      </w:r>
    </w:p>
    <w:p>
      <w:pPr>
        <w:pStyle w:val="Indenta"/>
        <w:spacing w:before="60"/>
        <w:rPr>
          <w:snapToGrid w:val="0"/>
        </w:rPr>
      </w:pPr>
      <w:r>
        <w:rPr>
          <w:snapToGrid w:val="0"/>
        </w:rPr>
        <w:tab/>
        <w:t>(b)</w:t>
      </w:r>
      <w:r>
        <w:rPr>
          <w:snapToGrid w:val="0"/>
        </w:rPr>
        <w:tab/>
        <w:t xml:space="preserve">within one month of undergoing that examination, give to the Commissioner a medical certificate relating to that examination. </w:t>
      </w:r>
    </w:p>
    <w:p>
      <w:pPr>
        <w:pStyle w:val="Heading5"/>
        <w:rPr>
          <w:snapToGrid w:val="0"/>
        </w:rPr>
      </w:pPr>
      <w:bookmarkStart w:id="138" w:name="_Toc489429204"/>
      <w:bookmarkStart w:id="139" w:name="_Toc509894419"/>
      <w:bookmarkStart w:id="140" w:name="_Toc511206230"/>
      <w:bookmarkStart w:id="141" w:name="_Toc71963119"/>
      <w:bookmarkStart w:id="142" w:name="_Toc78350818"/>
      <w:bookmarkStart w:id="143" w:name="_Toc92873967"/>
      <w:bookmarkStart w:id="144" w:name="_Toc117913936"/>
      <w:bookmarkStart w:id="145" w:name="_Toc120077217"/>
      <w:r>
        <w:rPr>
          <w:rStyle w:val="CharSectno"/>
        </w:rPr>
        <w:t>12</w:t>
      </w:r>
      <w:r>
        <w:rPr>
          <w:snapToGrid w:val="0"/>
        </w:rPr>
        <w:t>.</w:t>
      </w:r>
      <w:r>
        <w:rPr>
          <w:snapToGrid w:val="0"/>
        </w:rPr>
        <w:tab/>
        <w:t>Application for permit under section 25</w:t>
      </w:r>
      <w:bookmarkEnd w:id="138"/>
      <w:bookmarkEnd w:id="139"/>
      <w:bookmarkEnd w:id="140"/>
      <w:bookmarkEnd w:id="141"/>
      <w:bookmarkEnd w:id="142"/>
      <w:bookmarkEnd w:id="143"/>
      <w:bookmarkEnd w:id="144"/>
      <w:bookmarkEnd w:id="145"/>
      <w:r>
        <w:rPr>
          <w:snapToGrid w:val="0"/>
        </w:rPr>
        <w:t xml:space="preserve"> </w:t>
      </w:r>
    </w:p>
    <w:p>
      <w:pPr>
        <w:pStyle w:val="Subsection"/>
        <w:spacing w:before="140"/>
        <w:rPr>
          <w:snapToGrid w:val="0"/>
        </w:rPr>
      </w:pPr>
      <w:r>
        <w:rPr>
          <w:snapToGrid w:val="0"/>
        </w:rPr>
        <w:tab/>
      </w:r>
      <w:r>
        <w:rPr>
          <w:snapToGrid w:val="0"/>
        </w:rPr>
        <w:tab/>
        <w:t>An application for a permit under section 25 is to be made to a licensing officer in the approved form and is to be accompanied by — </w:t>
      </w:r>
    </w:p>
    <w:p>
      <w:pPr>
        <w:pStyle w:val="Indenta"/>
        <w:spacing w:before="60"/>
        <w:rPr>
          <w:snapToGrid w:val="0"/>
        </w:rPr>
      </w:pPr>
      <w:r>
        <w:rPr>
          <w:snapToGrid w:val="0"/>
        </w:rPr>
        <w:tab/>
        <w:t>(a)</w:t>
      </w:r>
      <w:r>
        <w:rPr>
          <w:snapToGrid w:val="0"/>
        </w:rPr>
        <w:tab/>
        <w:t>if the applicant does not hold a security officer’s licence with an endorsement under section 24, a medical certificate relating to a medical examination carried out within the previous month;</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spacing w:before="60"/>
        <w:rPr>
          <w:snapToGrid w:val="0"/>
        </w:rPr>
      </w:pPr>
      <w:r>
        <w:rPr>
          <w:snapToGrid w:val="0"/>
        </w:rPr>
        <w:tab/>
        <w:t>(b)</w:t>
      </w:r>
      <w:r>
        <w:rPr>
          <w:snapToGrid w:val="0"/>
        </w:rPr>
        <w:tab/>
        <w:t>the fee provided for by Schedule 4.</w:t>
      </w:r>
    </w:p>
    <w:p>
      <w:pPr>
        <w:pStyle w:val="Footnotesection"/>
      </w:pPr>
      <w:r>
        <w:tab/>
        <w:t>[Regulation 12 amended in Gazette 1 Sep 2005 p. 4075.]</w:t>
      </w:r>
    </w:p>
    <w:p>
      <w:pPr>
        <w:pStyle w:val="Heading5"/>
        <w:rPr>
          <w:snapToGrid w:val="0"/>
        </w:rPr>
      </w:pPr>
      <w:bookmarkStart w:id="146" w:name="_Toc489429205"/>
      <w:bookmarkStart w:id="147" w:name="_Toc509894420"/>
      <w:bookmarkStart w:id="148" w:name="_Toc511206231"/>
      <w:bookmarkStart w:id="149" w:name="_Toc71963120"/>
      <w:bookmarkStart w:id="150" w:name="_Toc78350819"/>
      <w:bookmarkStart w:id="151" w:name="_Toc92873968"/>
      <w:bookmarkStart w:id="152" w:name="_Toc117913937"/>
      <w:bookmarkStart w:id="153" w:name="_Toc120077218"/>
      <w:r>
        <w:rPr>
          <w:rStyle w:val="CharSectno"/>
        </w:rPr>
        <w:t>13</w:t>
      </w:r>
      <w:r>
        <w:rPr>
          <w:snapToGrid w:val="0"/>
        </w:rPr>
        <w:t>.</w:t>
      </w:r>
      <w:r>
        <w:rPr>
          <w:snapToGrid w:val="0"/>
        </w:rPr>
        <w:tab/>
        <w:t>Application for endorsement under section 26</w:t>
      </w:r>
      <w:bookmarkEnd w:id="146"/>
      <w:bookmarkEnd w:id="147"/>
      <w:bookmarkEnd w:id="148"/>
      <w:bookmarkEnd w:id="149"/>
      <w:bookmarkEnd w:id="150"/>
      <w:bookmarkEnd w:id="151"/>
      <w:bookmarkEnd w:id="152"/>
      <w:bookmarkEnd w:id="153"/>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154" w:name="_Toc77657635"/>
      <w:bookmarkStart w:id="155" w:name="_Toc78350707"/>
      <w:bookmarkStart w:id="156" w:name="_Toc78350820"/>
      <w:bookmarkStart w:id="157" w:name="_Toc92873969"/>
      <w:bookmarkStart w:id="158" w:name="_Toc113259640"/>
      <w:bookmarkStart w:id="159" w:name="_Toc113260356"/>
      <w:bookmarkStart w:id="160" w:name="_Toc113263509"/>
      <w:bookmarkStart w:id="161" w:name="_Toc116795476"/>
      <w:bookmarkStart w:id="162" w:name="_Toc116966997"/>
      <w:bookmarkStart w:id="163" w:name="_Toc117567739"/>
      <w:bookmarkStart w:id="164" w:name="_Toc117659495"/>
      <w:bookmarkStart w:id="165" w:name="_Toc117913938"/>
      <w:bookmarkStart w:id="166" w:name="_Toc117914029"/>
      <w:bookmarkStart w:id="167" w:name="_Toc120077219"/>
      <w:r>
        <w:rPr>
          <w:rStyle w:val="CharPartNo"/>
        </w:rPr>
        <w:t>Part 3A</w:t>
      </w:r>
      <w:r>
        <w:t xml:space="preserve"> — </w:t>
      </w:r>
      <w:r>
        <w:rPr>
          <w:rStyle w:val="CharPartText"/>
        </w:rPr>
        <w:t>Inquiry activities</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Footnoteheading"/>
      </w:pPr>
      <w:r>
        <w:tab/>
        <w:t>[Heading inserted in Gazette 10 Mar 2000 p. 1124.]</w:t>
      </w:r>
    </w:p>
    <w:p>
      <w:pPr>
        <w:pStyle w:val="Heading5"/>
      </w:pPr>
      <w:bookmarkStart w:id="168" w:name="_Toc489429206"/>
      <w:bookmarkStart w:id="169" w:name="_Toc509894421"/>
      <w:bookmarkStart w:id="170" w:name="_Toc511206232"/>
      <w:bookmarkStart w:id="171" w:name="_Toc71963121"/>
      <w:bookmarkStart w:id="172" w:name="_Toc78350821"/>
      <w:bookmarkStart w:id="173" w:name="_Toc92873970"/>
      <w:bookmarkStart w:id="174" w:name="_Toc117913939"/>
      <w:bookmarkStart w:id="175" w:name="_Toc120077220"/>
      <w:r>
        <w:rPr>
          <w:rStyle w:val="CharSectno"/>
        </w:rPr>
        <w:t>13A</w:t>
      </w:r>
      <w:r>
        <w:t>.</w:t>
      </w:r>
      <w:r>
        <w:tab/>
        <w:t>Definition of “</w:t>
      </w:r>
      <w:r>
        <w:rPr>
          <w:rStyle w:val="CharDefText"/>
          <w:b/>
          <w:bCs/>
        </w:rPr>
        <w:t>investigator</w:t>
      </w:r>
      <w:r>
        <w:t>” (section 28)</w:t>
      </w:r>
      <w:bookmarkEnd w:id="168"/>
      <w:bookmarkEnd w:id="169"/>
      <w:bookmarkEnd w:id="170"/>
      <w:bookmarkEnd w:id="171"/>
      <w:bookmarkEnd w:id="172"/>
      <w:bookmarkEnd w:id="173"/>
      <w:bookmarkEnd w:id="174"/>
      <w:bookmarkEnd w:id="175"/>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directed under section 11 of the </w:t>
      </w:r>
      <w:r>
        <w:rPr>
          <w:i/>
        </w:rPr>
        <w:t>Public Sector Management Act 1994</w:t>
      </w:r>
      <w:r>
        <w:t xml:space="preserve"> to hold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directed under section 81 of the </w:t>
      </w:r>
      <w:r>
        <w:rPr>
          <w:i/>
        </w:rPr>
        <w:t>Public Sector Management Act 1994</w:t>
      </w:r>
      <w:r>
        <w:t xml:space="preserve"> to conduct an investigation, while acting in the ordinary course of that investigation;</w:t>
      </w:r>
    </w:p>
    <w:p>
      <w:pPr>
        <w:pStyle w:val="Indenta"/>
      </w:pPr>
      <w:r>
        <w:tab/>
        <w:t>(d)</w:t>
      </w:r>
      <w:r>
        <w:tab/>
        <w:t xml:space="preserve">a person directed under section 86 of the </w:t>
      </w:r>
      <w:r>
        <w:rPr>
          <w:i/>
        </w:rPr>
        <w:t>Public Sector Management Act 1994</w:t>
      </w:r>
      <w:r>
        <w:t xml:space="preserve"> to hold a disciplinary inquiry, or a special disciplinary inquiry, while acting in the ordinary course of that inquiry;</w:t>
      </w:r>
    </w:p>
    <w:p>
      <w:pPr>
        <w:pStyle w:val="Indenta"/>
      </w:pPr>
      <w:r>
        <w:tab/>
        <w:t>(e)</w:t>
      </w:r>
      <w:r>
        <w:tab/>
        <w:t>a person employed or engaged to assist a person referred to in paragraph (aa), (ab), (a), (b), (c) or (d), while acting in the ordinary course of that person’s inquiry or investigation.</w:t>
      </w:r>
    </w:p>
    <w:p>
      <w:pPr>
        <w:pStyle w:val="Footnotesection"/>
      </w:pPr>
      <w:r>
        <w:tab/>
        <w:t>[Regulation 13A inserted in Gazette 10 Mar 2000 p. 1124; amended in Gazette 1 Sep 2005 p. 4075.]</w:t>
      </w:r>
    </w:p>
    <w:p>
      <w:pPr>
        <w:pStyle w:val="Heading2"/>
      </w:pPr>
      <w:bookmarkStart w:id="176" w:name="_Toc77657637"/>
      <w:bookmarkStart w:id="177" w:name="_Toc78350709"/>
      <w:bookmarkStart w:id="178" w:name="_Toc78350822"/>
      <w:bookmarkStart w:id="179" w:name="_Toc92873971"/>
      <w:bookmarkStart w:id="180" w:name="_Toc113259642"/>
      <w:bookmarkStart w:id="181" w:name="_Toc113260358"/>
      <w:bookmarkStart w:id="182" w:name="_Toc113263511"/>
      <w:bookmarkStart w:id="183" w:name="_Toc116795478"/>
      <w:bookmarkStart w:id="184" w:name="_Toc116966999"/>
      <w:bookmarkStart w:id="185" w:name="_Toc117567741"/>
      <w:bookmarkStart w:id="186" w:name="_Toc117659497"/>
      <w:bookmarkStart w:id="187" w:name="_Toc117913940"/>
      <w:bookmarkStart w:id="188" w:name="_Toc117914031"/>
      <w:bookmarkStart w:id="189" w:name="_Toc120077221"/>
      <w:r>
        <w:rPr>
          <w:rStyle w:val="CharPartNo"/>
        </w:rPr>
        <w:t>Part 4</w:t>
      </w:r>
      <w:r>
        <w:rPr>
          <w:rStyle w:val="CharDivNo"/>
        </w:rPr>
        <w:t> </w:t>
      </w:r>
      <w:r>
        <w:t>—</w:t>
      </w:r>
      <w:r>
        <w:rPr>
          <w:rStyle w:val="CharDivText"/>
        </w:rPr>
        <w:t> </w:t>
      </w:r>
      <w:r>
        <w:rPr>
          <w:rStyle w:val="CharPartText"/>
        </w:rPr>
        <w:t>Licensing procedures</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r>
        <w:rPr>
          <w:rStyle w:val="CharPartText"/>
        </w:rPr>
        <w:t xml:space="preserve"> </w:t>
      </w:r>
    </w:p>
    <w:p>
      <w:pPr>
        <w:pStyle w:val="Heading5"/>
        <w:rPr>
          <w:snapToGrid w:val="0"/>
        </w:rPr>
      </w:pPr>
      <w:bookmarkStart w:id="190" w:name="_Toc489429207"/>
      <w:bookmarkStart w:id="191" w:name="_Toc509894422"/>
      <w:bookmarkStart w:id="192" w:name="_Toc511206233"/>
      <w:bookmarkStart w:id="193" w:name="_Toc71963122"/>
      <w:bookmarkStart w:id="194" w:name="_Toc78350823"/>
      <w:bookmarkStart w:id="195" w:name="_Toc92873972"/>
      <w:bookmarkStart w:id="196" w:name="_Toc117913941"/>
      <w:bookmarkStart w:id="197" w:name="_Toc120077222"/>
      <w:r>
        <w:rPr>
          <w:rStyle w:val="CharSectno"/>
        </w:rPr>
        <w:t>14</w:t>
      </w:r>
      <w:r>
        <w:rPr>
          <w:snapToGrid w:val="0"/>
        </w:rPr>
        <w:t>.</w:t>
      </w:r>
      <w:r>
        <w:rPr>
          <w:snapToGrid w:val="0"/>
        </w:rPr>
        <w:tab/>
        <w:t xml:space="preserve">Application for the issue of a </w:t>
      </w:r>
      <w:bookmarkEnd w:id="190"/>
      <w:r>
        <w:rPr>
          <w:snapToGrid w:val="0"/>
        </w:rPr>
        <w:t>licence</w:t>
      </w:r>
      <w:bookmarkEnd w:id="191"/>
      <w:bookmarkEnd w:id="192"/>
      <w:bookmarkEnd w:id="193"/>
      <w:bookmarkEnd w:id="194"/>
      <w:bookmarkEnd w:id="195"/>
      <w:bookmarkEnd w:id="196"/>
      <w:bookmarkEnd w:id="197"/>
      <w:r>
        <w:rPr>
          <w:snapToGrid w:val="0"/>
        </w:rPr>
        <w:t xml:space="preserve"> </w:t>
      </w:r>
    </w:p>
    <w:p>
      <w:pPr>
        <w:pStyle w:val="Subsection"/>
        <w:rPr>
          <w:snapToGrid w:val="0"/>
        </w:rPr>
      </w:pPr>
      <w:r>
        <w:rPr>
          <w:snapToGrid w:val="0"/>
        </w:rPr>
        <w:tab/>
      </w:r>
      <w:r>
        <w:rPr>
          <w:snapToGrid w:val="0"/>
        </w:rPr>
        <w:tab/>
        <w:t>An application under section 46(1) for the issue of a licence 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Perth, with a licensing officer; or </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Heading5"/>
      </w:pPr>
      <w:bookmarkStart w:id="198" w:name="_Toc117913942"/>
      <w:bookmarkStart w:id="199" w:name="_Toc120077223"/>
      <w:bookmarkStart w:id="200" w:name="_Toc489429209"/>
      <w:bookmarkStart w:id="201" w:name="_Toc509894424"/>
      <w:bookmarkStart w:id="202" w:name="_Toc511206235"/>
      <w:bookmarkStart w:id="203" w:name="_Toc71963124"/>
      <w:bookmarkStart w:id="204" w:name="_Toc78350825"/>
      <w:bookmarkStart w:id="205" w:name="_Toc92873974"/>
      <w:r>
        <w:rPr>
          <w:rStyle w:val="CharSectno"/>
        </w:rPr>
        <w:t>15</w:t>
      </w:r>
      <w:r>
        <w:rPr>
          <w:rFonts w:ascii="Times" w:hAnsi="Times"/>
          <w:spacing w:val="-4"/>
        </w:rPr>
        <w:t>.</w:t>
      </w:r>
      <w:r>
        <w:rPr>
          <w:rFonts w:ascii="Times" w:hAnsi="Times"/>
          <w:spacing w:val="-4"/>
        </w:rPr>
        <w:tab/>
        <w:t>Medical examination prescribed for security officers with authority to be in possession of a firearm</w:t>
      </w:r>
      <w:bookmarkEnd w:id="198"/>
      <w:bookmarkEnd w:id="199"/>
    </w:p>
    <w:p>
      <w:pPr>
        <w:pStyle w:val="Subsection"/>
      </w:pPr>
      <w:r>
        <w:tab/>
      </w:r>
      <w:r>
        <w:tab/>
        <w:t xml:space="preserve">The medical examination prescribed for the purposes of — </w:t>
      </w:r>
    </w:p>
    <w:p>
      <w:pPr>
        <w:pStyle w:val="Indenta"/>
      </w:pPr>
      <w:r>
        <w:tab/>
        <w:t>(a)</w:t>
      </w:r>
      <w:r>
        <w:tab/>
        <w:t>section 47(1)(d) in the case of an application for a security officer’s licence with an endorsement under section 24; or</w:t>
      </w:r>
    </w:p>
    <w:p>
      <w:pPr>
        <w:pStyle w:val="Indenta"/>
      </w:pPr>
      <w:r>
        <w:tab/>
        <w:t>(b)</w:t>
      </w:r>
      <w:r>
        <w:tab/>
        <w:t>section 52(h),</w:t>
      </w:r>
    </w:p>
    <w:p>
      <w:pPr>
        <w:pStyle w:val="Subsection"/>
      </w:pPr>
      <w:r>
        <w:tab/>
      </w:r>
      <w:r>
        <w:tab/>
        <w:t>is an examination by a medical practitioner to determine whether the medical practitioner considers the applicant to be physically and psychologically fit to be in possession of a firearm.</w:t>
      </w:r>
    </w:p>
    <w:p>
      <w:pPr>
        <w:pStyle w:val="Footnotesection"/>
      </w:pPr>
      <w:r>
        <w:tab/>
        <w:t>[Regulation 15 inserted in Gazette 1 Sep 2005 p. 4076.]</w:t>
      </w:r>
    </w:p>
    <w:p>
      <w:pPr>
        <w:pStyle w:val="Heading5"/>
        <w:rPr>
          <w:snapToGrid w:val="0"/>
        </w:rPr>
      </w:pPr>
      <w:bookmarkStart w:id="206" w:name="_Toc117913943"/>
      <w:bookmarkStart w:id="207" w:name="_Toc120077224"/>
      <w:r>
        <w:rPr>
          <w:rStyle w:val="CharSectno"/>
        </w:rPr>
        <w:t>16</w:t>
      </w:r>
      <w:r>
        <w:rPr>
          <w:snapToGrid w:val="0"/>
        </w:rPr>
        <w:t>.</w:t>
      </w:r>
      <w:r>
        <w:rPr>
          <w:snapToGrid w:val="0"/>
        </w:rPr>
        <w:tab/>
        <w:t>Training courses prescribed for sections 47, 52 and 53</w:t>
      </w:r>
      <w:bookmarkEnd w:id="200"/>
      <w:bookmarkEnd w:id="201"/>
      <w:bookmarkEnd w:id="202"/>
      <w:bookmarkEnd w:id="203"/>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The following training courses are prescribed for the purposes of sections 47(1)(f)(i), 52(g)(i) 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Subsection"/>
        <w:rPr>
          <w:snapToGrid w:val="0"/>
        </w:rPr>
      </w:pPr>
      <w:r>
        <w:rPr>
          <w:snapToGrid w:val="0"/>
        </w:rPr>
        <w:tab/>
        <w:t>(2)</w:t>
      </w:r>
      <w:r>
        <w:rPr>
          <w:snapToGrid w:val="0"/>
        </w:rPr>
        <w:tab/>
        <w:t xml:space="preserve">The Commissioner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The Commissioner may, on application by the provider of a training course, approve of the applicant as a course provider if the Commissioner is satisfied that the applicant, and each other person who is or will be involved in providing that training, is a fit and proper person to be providing such training.</w:t>
      </w:r>
    </w:p>
    <w:p>
      <w:pPr>
        <w:pStyle w:val="Subsection"/>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Commissioner thinks fit. </w:t>
      </w:r>
    </w:p>
    <w:p>
      <w:pPr>
        <w:pStyle w:val="Subsection"/>
        <w:rPr>
          <w:snapToGrid w:val="0"/>
        </w:rPr>
      </w:pPr>
      <w:r>
        <w:rPr>
          <w:snapToGrid w:val="0"/>
        </w:rPr>
        <w:tab/>
        <w:t>(5)</w:t>
      </w:r>
      <w:r>
        <w:rPr>
          <w:snapToGrid w:val="0"/>
        </w:rPr>
        <w:tab/>
        <w:t>The Commissioner may, by giving written notice to the course provider, cancel an approval given under subregulation (2) or (3), but the cancellation is not effective unless the Commissioner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in Gazette 1 Sep 2005 p. 4076</w:t>
      </w:r>
      <w:r>
        <w:noBreakHyphen/>
        <w:t>7.]</w:t>
      </w:r>
    </w:p>
    <w:p>
      <w:pPr>
        <w:pStyle w:val="Heading5"/>
        <w:rPr>
          <w:snapToGrid w:val="0"/>
        </w:rPr>
      </w:pPr>
      <w:bookmarkStart w:id="208" w:name="_Toc489429210"/>
      <w:bookmarkStart w:id="209" w:name="_Toc509894425"/>
      <w:bookmarkStart w:id="210" w:name="_Toc511206236"/>
      <w:bookmarkStart w:id="211" w:name="_Toc71963125"/>
      <w:bookmarkStart w:id="212" w:name="_Toc78350826"/>
      <w:bookmarkStart w:id="213" w:name="_Toc92873975"/>
      <w:bookmarkStart w:id="214" w:name="_Toc117913944"/>
      <w:bookmarkStart w:id="215" w:name="_Toc120077225"/>
      <w:r>
        <w:rPr>
          <w:rStyle w:val="CharSectno"/>
        </w:rPr>
        <w:t>17</w:t>
      </w:r>
      <w:r>
        <w:rPr>
          <w:snapToGrid w:val="0"/>
        </w:rPr>
        <w:t>.</w:t>
      </w:r>
      <w:r>
        <w:rPr>
          <w:snapToGrid w:val="0"/>
        </w:rPr>
        <w:tab/>
        <w:t>Examinations prescribed for sections 47 and 52</w:t>
      </w:r>
      <w:bookmarkEnd w:id="208"/>
      <w:bookmarkEnd w:id="209"/>
      <w:bookmarkEnd w:id="210"/>
      <w:bookmarkEnd w:id="211"/>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The following examinations are prescribed for the purposes of sections 47(1)(f)(ii) and 52(g)(ii) in respect of a security consultant’s licence which authorises the licensee to give advice about or seek out persons who may be prepared to enter into contracts for the supply of, or a security installer’s licence which authorises the licensee to install, maintain and repair — </w:t>
      </w:r>
    </w:p>
    <w:p>
      <w:pPr>
        <w:pStyle w:val="Indenta"/>
        <w:rPr>
          <w:snapToGrid w:val="0"/>
        </w:rPr>
      </w:pPr>
      <w:r>
        <w:rPr>
          <w:snapToGrid w:val="0"/>
        </w:rPr>
        <w:tab/>
        <w:t>(a)</w:t>
      </w:r>
      <w:r>
        <w:rPr>
          <w:snapToGrid w:val="0"/>
        </w:rPr>
        <w:tab/>
        <w:t>locks of the kind referred to in regulation 6, a written examination on AS 4145 — Mechanical Locksets for Doors and Windows;</w:t>
      </w:r>
    </w:p>
    <w:p>
      <w:pPr>
        <w:pStyle w:val="Indenta"/>
        <w:rPr>
          <w:snapToGrid w:val="0"/>
        </w:rPr>
      </w:pPr>
      <w:r>
        <w:rPr>
          <w:snapToGrid w:val="0"/>
        </w:rPr>
        <w:tab/>
        <w:t>(b)</w:t>
      </w:r>
      <w:r>
        <w:rPr>
          <w:snapToGrid w:val="0"/>
        </w:rPr>
        <w:tab/>
        <w:t xml:space="preserve">security doors of a kind referred to in regulation 7, a written examination on AS 2804 — Installation of Security Screen Doors; </w:t>
      </w:r>
    </w:p>
    <w:p>
      <w:pPr>
        <w:pStyle w:val="Indenta"/>
        <w:rPr>
          <w:snapToGrid w:val="0"/>
        </w:rPr>
      </w:pPr>
      <w:r>
        <w:rPr>
          <w:snapToGrid w:val="0"/>
        </w:rPr>
        <w:tab/>
        <w:t>(c)</w:t>
      </w:r>
      <w:r>
        <w:rPr>
          <w:snapToGrid w:val="0"/>
        </w:rPr>
        <w:tab/>
        <w:t xml:space="preserve">electric fences, a written examination on ANZS 3016 — Electrical Installations — Electrical Security Fences; </w:t>
      </w:r>
    </w:p>
    <w:p>
      <w:pPr>
        <w:pStyle w:val="Indenta"/>
        <w:rPr>
          <w:snapToGrid w:val="0"/>
        </w:rPr>
      </w:pPr>
      <w:r>
        <w:rPr>
          <w:snapToGrid w:val="0"/>
        </w:rPr>
        <w:tab/>
        <w:t>(d)</w:t>
      </w:r>
      <w:r>
        <w:rPr>
          <w:snapToGrid w:val="0"/>
        </w:rPr>
        <w:tab/>
        <w:t>bullet resistant panels, a written examination on AS 2343 — Bullet Resistant Panels for Interior Use;</w:t>
      </w:r>
    </w:p>
    <w:p>
      <w:pPr>
        <w:pStyle w:val="Indenta"/>
        <w:rPr>
          <w:snapToGrid w:val="0"/>
        </w:rPr>
      </w:pPr>
      <w:r>
        <w:rPr>
          <w:snapToGrid w:val="0"/>
        </w:rPr>
        <w:tab/>
        <w:t>(e)</w:t>
      </w:r>
      <w:r>
        <w:rPr>
          <w:snapToGrid w:val="0"/>
        </w:rPr>
        <w:tab/>
        <w:t>security alarms, a written examination on AS 2201.1 — Intruder Alarm Systems, Part 1 — Systems Installed in Client’s Premises and, in the case of a security installer’s licence, on the principles of electronics; or</w:t>
      </w:r>
    </w:p>
    <w:p>
      <w:pPr>
        <w:pStyle w:val="Indenta"/>
        <w:rPr>
          <w:snapToGrid w:val="0"/>
        </w:rPr>
      </w:pPr>
      <w:r>
        <w:rPr>
          <w:snapToGrid w:val="0"/>
        </w:rPr>
        <w:tab/>
        <w:t>(f)</w:t>
      </w:r>
      <w:r>
        <w:rPr>
          <w:snapToGrid w:val="0"/>
        </w:rPr>
        <w:tab/>
        <w:t>security doors, a written examination on AS 2803 —Security Screen Doors.</w:t>
      </w:r>
    </w:p>
    <w:p>
      <w:pPr>
        <w:pStyle w:val="Subsection"/>
        <w:rPr>
          <w:snapToGrid w:val="0"/>
        </w:rPr>
      </w:pPr>
      <w:r>
        <w:rPr>
          <w:snapToGrid w:val="0"/>
        </w:rPr>
        <w:tab/>
        <w:t>(2)</w:t>
      </w:r>
      <w:r>
        <w:rPr>
          <w:snapToGrid w:val="0"/>
        </w:rPr>
        <w:tab/>
        <w:t>The following examination is prescribed for the purposes of sections 47(1)(f)(ii) and 52(g)(ii) 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rPr>
          <w:snapToGrid w:val="0"/>
        </w:rPr>
      </w:pPr>
      <w:r>
        <w:rPr>
          <w:snapToGrid w:val="0"/>
        </w:rPr>
        <w:tab/>
        <w:t>(3)</w:t>
      </w:r>
      <w:r>
        <w:rPr>
          <w:snapToGrid w:val="0"/>
        </w:rPr>
        <w:tab/>
        <w:t>In this regulation — </w:t>
      </w:r>
    </w:p>
    <w:p>
      <w:pPr>
        <w:pStyle w:val="Defstart"/>
      </w:pPr>
      <w:r>
        <w:rPr>
          <w:b/>
        </w:rPr>
        <w:tab/>
        <w:t>“</w:t>
      </w:r>
      <w:r>
        <w:rPr>
          <w:rStyle w:val="CharDefText"/>
        </w:rPr>
        <w:t>written examination</w:t>
      </w:r>
      <w:r>
        <w:rPr>
          <w:b/>
        </w:rPr>
        <w:t>”</w:t>
      </w:r>
      <w:r>
        <w:t xml:space="preserve"> means a written examination — </w:t>
      </w:r>
    </w:p>
    <w:p>
      <w:pPr>
        <w:pStyle w:val="Defpara"/>
      </w:pPr>
      <w:r>
        <w:tab/>
        <w:t>(a)</w:t>
      </w:r>
      <w:r>
        <w:tab/>
        <w:t xml:space="preserve">set by the Commissioner to test the applicant’s knowledge of the relevant subject matter; and </w:t>
      </w:r>
    </w:p>
    <w:p>
      <w:pPr>
        <w:pStyle w:val="Defpara"/>
      </w:pPr>
      <w:r>
        <w:tab/>
        <w:t>(b)</w:t>
      </w:r>
      <w:r>
        <w:tab/>
        <w:t>administered by the person to whom the application for the issue of the relevant licence is made under regulation 14.</w:t>
      </w:r>
    </w:p>
    <w:p>
      <w:pPr>
        <w:pStyle w:val="Heading5"/>
        <w:rPr>
          <w:snapToGrid w:val="0"/>
        </w:rPr>
      </w:pPr>
      <w:bookmarkStart w:id="216" w:name="_Toc489429211"/>
      <w:bookmarkStart w:id="217" w:name="_Toc509894426"/>
      <w:bookmarkStart w:id="218" w:name="_Toc511206237"/>
      <w:bookmarkStart w:id="219" w:name="_Toc71963126"/>
      <w:bookmarkStart w:id="220" w:name="_Toc78350827"/>
      <w:bookmarkStart w:id="221" w:name="_Toc92873976"/>
      <w:bookmarkStart w:id="222" w:name="_Toc117913945"/>
      <w:bookmarkStart w:id="223" w:name="_Toc120077226"/>
      <w:r>
        <w:rPr>
          <w:rStyle w:val="CharSectno"/>
        </w:rPr>
        <w:t>18</w:t>
      </w:r>
      <w:r>
        <w:rPr>
          <w:snapToGrid w:val="0"/>
        </w:rPr>
        <w:t>.</w:t>
      </w:r>
      <w:r>
        <w:rPr>
          <w:snapToGrid w:val="0"/>
        </w:rPr>
        <w:tab/>
        <w:t>Other evidence prescribed for sections 47 and 52</w:t>
      </w:r>
      <w:bookmarkEnd w:id="216"/>
      <w:bookmarkEnd w:id="217"/>
      <w:bookmarkEnd w:id="218"/>
      <w:bookmarkEnd w:id="219"/>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An application for a licence, other than an agent’s licence, is to be accompanied by a written statement, signed by each person who is to be specified on the licence under section 59 as an employer, stating that the person — </w:t>
      </w:r>
    </w:p>
    <w:p>
      <w:pPr>
        <w:pStyle w:val="Indenta"/>
        <w:rPr>
          <w:snapToGrid w:val="0"/>
        </w:rPr>
      </w:pPr>
      <w:r>
        <w:rPr>
          <w:snapToGrid w:val="0"/>
        </w:rPr>
        <w:tab/>
        <w:t>(a)</w:t>
      </w:r>
      <w:r>
        <w:rPr>
          <w:snapToGrid w:val="0"/>
        </w:rPr>
        <w:tab/>
        <w:t xml:space="preserve">holds an appropriate agent’s licence; and </w:t>
      </w:r>
    </w:p>
    <w:p>
      <w:pPr>
        <w:pStyle w:val="Indenta"/>
        <w:rPr>
          <w:snapToGrid w:val="0"/>
        </w:rPr>
      </w:pPr>
      <w:r>
        <w:rPr>
          <w:snapToGrid w:val="0"/>
        </w:rPr>
        <w:tab/>
        <w:t>(b)</w:t>
      </w:r>
      <w:r>
        <w:rPr>
          <w:snapToGrid w:val="0"/>
        </w:rPr>
        <w:tab/>
        <w:t>has offered to employ the applicant if the licence is granted.</w:t>
      </w:r>
    </w:p>
    <w:p>
      <w:pPr>
        <w:pStyle w:val="Subsection"/>
        <w:rPr>
          <w:snapToGrid w:val="0"/>
        </w:rPr>
      </w:pPr>
      <w:r>
        <w:rPr>
          <w:snapToGrid w:val="0"/>
        </w:rPr>
        <w:tab/>
        <w:t>(2)</w:t>
      </w:r>
      <w:r>
        <w:rPr>
          <w:snapToGrid w:val="0"/>
        </w:rPr>
        <w:tab/>
        <w:t>The requirements of subregulation (1) are prescribed for the purposes of sections 47(1)(h) and 52(j).</w:t>
      </w:r>
    </w:p>
    <w:p>
      <w:pPr>
        <w:pStyle w:val="Heading5"/>
      </w:pPr>
      <w:bookmarkStart w:id="224" w:name="_Toc117913946"/>
      <w:bookmarkStart w:id="225" w:name="_Toc120077227"/>
      <w:bookmarkStart w:id="226" w:name="_Toc489429213"/>
      <w:bookmarkStart w:id="227" w:name="_Toc509894428"/>
      <w:bookmarkStart w:id="228" w:name="_Toc511206239"/>
      <w:bookmarkStart w:id="229" w:name="_Toc71963128"/>
      <w:bookmarkStart w:id="230" w:name="_Toc78350829"/>
      <w:bookmarkStart w:id="231" w:name="_Toc92873978"/>
      <w:r>
        <w:rPr>
          <w:rStyle w:val="CharSectno"/>
        </w:rPr>
        <w:t>19</w:t>
      </w:r>
      <w:r>
        <w:t>.</w:t>
      </w:r>
      <w:r>
        <w:tab/>
        <w:t>Application for renewal of licence</w:t>
      </w:r>
      <w:bookmarkEnd w:id="224"/>
      <w:bookmarkEnd w:id="225"/>
    </w:p>
    <w:p>
      <w:pPr>
        <w:pStyle w:val="Subsection"/>
      </w:pPr>
      <w:r>
        <w:tab/>
      </w:r>
      <w:r>
        <w:tab/>
        <w:t xml:space="preserve">An application under section 49(1) for the renewal of a licence is to be lodged </w:t>
      </w:r>
      <w:r>
        <w:rPr>
          <w:snapToGrid w:val="0"/>
        </w:rPr>
        <w:t>by the applicant</w:t>
      </w:r>
      <w:r>
        <w:t xml:space="preserve"> — </w:t>
      </w:r>
    </w:p>
    <w:p>
      <w:pPr>
        <w:pStyle w:val="Indenta"/>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rPr>
          <w:snapToGrid w:val="0"/>
        </w:rPr>
      </w:pPr>
      <w:r>
        <w:rPr>
          <w:snapToGrid w:val="0"/>
        </w:rPr>
        <w:tab/>
        <w:t>(b)</w:t>
      </w:r>
      <w:r>
        <w:rPr>
          <w:snapToGrid w:val="0"/>
        </w:rPr>
        <w:tab/>
        <w:t xml:space="preserve">in person — </w:t>
      </w:r>
    </w:p>
    <w:p>
      <w:pPr>
        <w:pStyle w:val="Indenti"/>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pPr>
      <w:r>
        <w:tab/>
        <w:t>[Regulation 19 inserted in Gazette 1 Sep 2005 p. 4077.]</w:t>
      </w:r>
    </w:p>
    <w:p>
      <w:pPr>
        <w:pStyle w:val="Heading5"/>
        <w:rPr>
          <w:snapToGrid w:val="0"/>
        </w:rPr>
      </w:pPr>
      <w:bookmarkStart w:id="232" w:name="_Toc117913947"/>
      <w:bookmarkStart w:id="233" w:name="_Toc120077228"/>
      <w:r>
        <w:rPr>
          <w:rStyle w:val="CharSectno"/>
        </w:rPr>
        <w:t>20</w:t>
      </w:r>
      <w:r>
        <w:rPr>
          <w:snapToGrid w:val="0"/>
        </w:rPr>
        <w:t>.</w:t>
      </w:r>
      <w:r>
        <w:rPr>
          <w:snapToGrid w:val="0"/>
        </w:rPr>
        <w:tab/>
        <w:t xml:space="preserve">Material to support application for renewal of </w:t>
      </w:r>
      <w:bookmarkEnd w:id="226"/>
      <w:r>
        <w:rPr>
          <w:snapToGrid w:val="0"/>
        </w:rPr>
        <w:t>licence</w:t>
      </w:r>
      <w:bookmarkEnd w:id="227"/>
      <w:bookmarkEnd w:id="228"/>
      <w:bookmarkEnd w:id="229"/>
      <w:bookmarkEnd w:id="230"/>
      <w:bookmarkEnd w:id="231"/>
      <w:bookmarkEnd w:id="232"/>
      <w:bookmarkEnd w:id="233"/>
      <w:r>
        <w:rPr>
          <w:snapToGrid w:val="0"/>
        </w:rPr>
        <w:t xml:space="preserve"> </w:t>
      </w:r>
    </w:p>
    <w:p>
      <w:pPr>
        <w:pStyle w:val="Subsection"/>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rPr>
          <w:snapToGrid w:val="0"/>
        </w:rPr>
      </w:pPr>
      <w:bookmarkStart w:id="234" w:name="_Toc489429214"/>
      <w:bookmarkStart w:id="235" w:name="_Toc509894429"/>
      <w:bookmarkStart w:id="236" w:name="_Toc511206240"/>
      <w:bookmarkStart w:id="237" w:name="_Toc71963129"/>
      <w:bookmarkStart w:id="238" w:name="_Toc78350830"/>
      <w:bookmarkStart w:id="239" w:name="_Toc92873979"/>
      <w:bookmarkStart w:id="240" w:name="_Toc117913948"/>
      <w:bookmarkStart w:id="241" w:name="_Toc120077229"/>
      <w:r>
        <w:rPr>
          <w:rStyle w:val="CharSectno"/>
        </w:rPr>
        <w:t>21</w:t>
      </w:r>
      <w:r>
        <w:rPr>
          <w:snapToGrid w:val="0"/>
        </w:rPr>
        <w:t>.</w:t>
      </w:r>
      <w:r>
        <w:rPr>
          <w:snapToGrid w:val="0"/>
        </w:rPr>
        <w:tab/>
        <w:t>Prescribed conditions and restrictions on licences</w:t>
      </w:r>
      <w:bookmarkEnd w:id="234"/>
      <w:bookmarkEnd w:id="235"/>
      <w:bookmarkEnd w:id="236"/>
      <w:bookmarkEnd w:id="237"/>
      <w:bookmarkEnd w:id="238"/>
      <w:bookmarkEnd w:id="239"/>
      <w:bookmarkEnd w:id="240"/>
      <w:bookmarkEnd w:id="241"/>
      <w:r>
        <w:rPr>
          <w:snapToGrid w:val="0"/>
        </w:rPr>
        <w:t xml:space="preserve"> </w:t>
      </w:r>
    </w:p>
    <w:p>
      <w:pPr>
        <w:pStyle w:val="Subsection"/>
        <w:rPr>
          <w:snapToGrid w:val="0"/>
        </w:rPr>
      </w:pPr>
      <w:r>
        <w:rPr>
          <w:snapToGrid w:val="0"/>
        </w:rPr>
        <w:tab/>
      </w:r>
      <w:r>
        <w:rPr>
          <w:snapToGrid w:val="0"/>
        </w:rPr>
        <w:tab/>
        <w:t>For the purposes of section 63 the conditions and restrictions set out in Schedule 1 are taken to be attached to licences as follows — </w:t>
      </w:r>
    </w:p>
    <w:p>
      <w:pPr>
        <w:pStyle w:val="Indenta"/>
        <w:rPr>
          <w:snapToGrid w:val="0"/>
        </w:rPr>
      </w:pPr>
      <w:r>
        <w:rPr>
          <w:snapToGrid w:val="0"/>
        </w:rPr>
        <w:tab/>
        <w:t>(a)</w:t>
      </w:r>
      <w:r>
        <w:rPr>
          <w:snapToGrid w:val="0"/>
        </w:rPr>
        <w:tab/>
        <w:t xml:space="preserve">those in Division 1, to all security agent’s licences; </w:t>
      </w:r>
    </w:p>
    <w:p>
      <w:pPr>
        <w:pStyle w:val="Indenta"/>
        <w:rPr>
          <w:snapToGrid w:val="0"/>
        </w:rPr>
      </w:pPr>
      <w:r>
        <w:rPr>
          <w:snapToGrid w:val="0"/>
        </w:rPr>
        <w:tab/>
        <w:t>(b)</w:t>
      </w:r>
      <w:r>
        <w:rPr>
          <w:snapToGrid w:val="0"/>
        </w:rPr>
        <w:tab/>
        <w:t xml:space="preserve">those in Division 2, to all security officer’s licences; </w:t>
      </w:r>
    </w:p>
    <w:p>
      <w:pPr>
        <w:pStyle w:val="Indenta"/>
        <w:rPr>
          <w:snapToGrid w:val="0"/>
        </w:rPr>
      </w:pPr>
      <w:r>
        <w:rPr>
          <w:snapToGrid w:val="0"/>
        </w:rPr>
        <w:tab/>
        <w:t>(c)</w:t>
      </w:r>
      <w:r>
        <w:rPr>
          <w:snapToGrid w:val="0"/>
        </w:rPr>
        <w:tab/>
        <w:t xml:space="preserve">those in Division 3, to all inquiry agent’s licences; </w:t>
      </w:r>
    </w:p>
    <w:p>
      <w:pPr>
        <w:pStyle w:val="Indenta"/>
        <w:rPr>
          <w:snapToGrid w:val="0"/>
        </w:rPr>
      </w:pPr>
      <w:r>
        <w:rPr>
          <w:snapToGrid w:val="0"/>
        </w:rPr>
        <w:tab/>
        <w:t>(d)</w:t>
      </w:r>
      <w:r>
        <w:rPr>
          <w:snapToGrid w:val="0"/>
        </w:rPr>
        <w:tab/>
        <w:t xml:space="preserve">those in Division 4, to all crowd control agent’s licences; and </w:t>
      </w:r>
    </w:p>
    <w:p>
      <w:pPr>
        <w:pStyle w:val="Indenta"/>
        <w:rPr>
          <w:snapToGrid w:val="0"/>
        </w:rPr>
      </w:pPr>
      <w:r>
        <w:rPr>
          <w:snapToGrid w:val="0"/>
        </w:rPr>
        <w:tab/>
        <w:t>(e)</w:t>
      </w:r>
      <w:r>
        <w:rPr>
          <w:snapToGrid w:val="0"/>
        </w:rPr>
        <w:tab/>
        <w:t xml:space="preserve">those in Division 5, to all crowd controller’s licences. </w:t>
      </w:r>
    </w:p>
    <w:p>
      <w:pPr>
        <w:pStyle w:val="Ednotesection"/>
      </w:pPr>
      <w:r>
        <w:t>[</w:t>
      </w:r>
      <w:r>
        <w:rPr>
          <w:b/>
          <w:bCs/>
        </w:rPr>
        <w:t>22.</w:t>
      </w:r>
      <w:r>
        <w:tab/>
        <w:t>Repealed in Gazette 1 Sep 2005 p. 4077.]</w:t>
      </w:r>
    </w:p>
    <w:p>
      <w:pPr>
        <w:pStyle w:val="Ednotepart"/>
      </w:pPr>
      <w:bookmarkStart w:id="242" w:name="_Toc77657660"/>
      <w:bookmarkStart w:id="243" w:name="_Toc78350732"/>
      <w:bookmarkStart w:id="244" w:name="_Toc78350845"/>
      <w:r>
        <w:t>[Part 5 (r. 23</w:t>
      </w:r>
      <w:r>
        <w:noBreakHyphen/>
        <w:t>34) repealed in Gazette 30 Dec 2004 p. 6977.]</w:t>
      </w:r>
    </w:p>
    <w:p>
      <w:pPr>
        <w:pStyle w:val="Heading2"/>
      </w:pPr>
      <w:bookmarkStart w:id="245" w:name="_Toc92873981"/>
      <w:bookmarkStart w:id="246" w:name="_Toc113259654"/>
      <w:bookmarkStart w:id="247" w:name="_Toc113260370"/>
      <w:bookmarkStart w:id="248" w:name="_Toc113263520"/>
      <w:bookmarkStart w:id="249" w:name="_Toc116795487"/>
      <w:bookmarkStart w:id="250" w:name="_Toc116967008"/>
      <w:bookmarkStart w:id="251" w:name="_Toc117567750"/>
      <w:bookmarkStart w:id="252" w:name="_Toc117659506"/>
      <w:bookmarkStart w:id="253" w:name="_Toc117913949"/>
      <w:bookmarkStart w:id="254" w:name="_Toc117914040"/>
      <w:bookmarkStart w:id="255" w:name="_Toc120077230"/>
      <w:r>
        <w:rPr>
          <w:rStyle w:val="CharPartNo"/>
        </w:rPr>
        <w:t>Part 6</w:t>
      </w:r>
      <w:r>
        <w:rPr>
          <w:rStyle w:val="CharDivNo"/>
        </w:rPr>
        <w:t> </w:t>
      </w:r>
      <w:r>
        <w:t>—</w:t>
      </w:r>
      <w:r>
        <w:rPr>
          <w:rStyle w:val="CharDivText"/>
        </w:rPr>
        <w:t> </w:t>
      </w:r>
      <w:r>
        <w:rPr>
          <w:rStyle w:val="CharPartText"/>
        </w:rPr>
        <w:t>Records</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r>
        <w:rPr>
          <w:rStyle w:val="CharPartText"/>
        </w:rPr>
        <w:t xml:space="preserve"> </w:t>
      </w:r>
    </w:p>
    <w:p>
      <w:pPr>
        <w:pStyle w:val="Heading5"/>
        <w:spacing w:before="180"/>
        <w:rPr>
          <w:snapToGrid w:val="0"/>
        </w:rPr>
      </w:pPr>
      <w:bookmarkStart w:id="256" w:name="_Toc489429228"/>
      <w:bookmarkStart w:id="257" w:name="_Toc509894443"/>
      <w:bookmarkStart w:id="258" w:name="_Toc511206254"/>
      <w:bookmarkStart w:id="259" w:name="_Toc71963143"/>
      <w:bookmarkStart w:id="260" w:name="_Toc78350846"/>
      <w:bookmarkStart w:id="261" w:name="_Toc92873982"/>
      <w:bookmarkStart w:id="262" w:name="_Toc117913950"/>
      <w:bookmarkStart w:id="263" w:name="_Toc120077231"/>
      <w:r>
        <w:rPr>
          <w:rStyle w:val="CharSectno"/>
        </w:rPr>
        <w:t>35</w:t>
      </w:r>
      <w:r>
        <w:rPr>
          <w:snapToGrid w:val="0"/>
        </w:rPr>
        <w:t>.</w:t>
      </w:r>
      <w:r>
        <w:rPr>
          <w:snapToGrid w:val="0"/>
        </w:rPr>
        <w:tab/>
        <w:t>Prescribed records for a security agent</w:t>
      </w:r>
      <w:bookmarkEnd w:id="256"/>
      <w:bookmarkEnd w:id="257"/>
      <w:bookmarkEnd w:id="258"/>
      <w:bookmarkEnd w:id="259"/>
      <w:bookmarkEnd w:id="260"/>
      <w:bookmarkEnd w:id="261"/>
      <w:bookmarkEnd w:id="262"/>
      <w:bookmarkEnd w:id="263"/>
      <w:r>
        <w:rPr>
          <w:snapToGrid w:val="0"/>
        </w:rPr>
        <w:t xml:space="preserve"> </w:t>
      </w:r>
    </w:p>
    <w:p>
      <w:pPr>
        <w:pStyle w:val="Subsection"/>
        <w:spacing w:before="120"/>
        <w:rPr>
          <w:snapToGrid w:val="0"/>
        </w:rPr>
      </w:pPr>
      <w:r>
        <w:rPr>
          <w:snapToGrid w:val="0"/>
        </w:rPr>
        <w:tab/>
      </w:r>
      <w:r>
        <w:rPr>
          <w:snapToGrid w:val="0"/>
        </w:rPr>
        <w:tab/>
        <w:t>The following records are prescribed in relation to a security agent for the purposes of section 78(1)(a) — </w:t>
      </w:r>
    </w:p>
    <w:p>
      <w:pPr>
        <w:pStyle w:val="Indenta"/>
        <w:spacing w:before="60"/>
        <w:rPr>
          <w:snapToGrid w:val="0"/>
        </w:rPr>
      </w:pPr>
      <w:r>
        <w:rPr>
          <w:snapToGrid w:val="0"/>
        </w:rPr>
        <w:tab/>
        <w:t>(a)</w:t>
      </w:r>
      <w:r>
        <w:rPr>
          <w:snapToGrid w:val="0"/>
        </w:rPr>
        <w:tab/>
        <w:t xml:space="preserve">a firearms register containing the particulars required by regulation 36; </w:t>
      </w:r>
    </w:p>
    <w:p>
      <w:pPr>
        <w:pStyle w:val="Indenta"/>
        <w:spacing w:before="60"/>
        <w:rPr>
          <w:snapToGrid w:val="0"/>
        </w:rPr>
      </w:pPr>
      <w:r>
        <w:rPr>
          <w:snapToGrid w:val="0"/>
        </w:rPr>
        <w:tab/>
        <w:t>(b)</w:t>
      </w:r>
      <w:r>
        <w:rPr>
          <w:snapToGrid w:val="0"/>
        </w:rPr>
        <w:tab/>
        <w:t>an alarm surveillance register containing the particulars required by regulation 37; and</w:t>
      </w:r>
    </w:p>
    <w:p>
      <w:pPr>
        <w:pStyle w:val="Indenta"/>
        <w:spacing w:before="60"/>
        <w:rPr>
          <w:snapToGrid w:val="0"/>
        </w:rPr>
      </w:pPr>
      <w:r>
        <w:rPr>
          <w:snapToGrid w:val="0"/>
        </w:rPr>
        <w:tab/>
        <w:t>(c)</w:t>
      </w:r>
      <w:r>
        <w:rPr>
          <w:snapToGrid w:val="0"/>
        </w:rPr>
        <w:tab/>
        <w:t>general records containing the particulars required by regulation 38.</w:t>
      </w:r>
    </w:p>
    <w:p>
      <w:pPr>
        <w:pStyle w:val="Heading5"/>
        <w:spacing w:before="180"/>
        <w:rPr>
          <w:snapToGrid w:val="0"/>
        </w:rPr>
      </w:pPr>
      <w:bookmarkStart w:id="264" w:name="_Toc489429229"/>
      <w:bookmarkStart w:id="265" w:name="_Toc509894444"/>
      <w:bookmarkStart w:id="266" w:name="_Toc511206255"/>
      <w:bookmarkStart w:id="267" w:name="_Toc71963144"/>
      <w:bookmarkStart w:id="268" w:name="_Toc78350847"/>
      <w:bookmarkStart w:id="269" w:name="_Toc92873983"/>
      <w:bookmarkStart w:id="270" w:name="_Toc117913951"/>
      <w:bookmarkStart w:id="271" w:name="_Toc120077232"/>
      <w:r>
        <w:rPr>
          <w:rStyle w:val="CharSectno"/>
        </w:rPr>
        <w:t>36</w:t>
      </w:r>
      <w:r>
        <w:rPr>
          <w:snapToGrid w:val="0"/>
        </w:rPr>
        <w:t>.</w:t>
      </w:r>
      <w:r>
        <w:rPr>
          <w:snapToGrid w:val="0"/>
        </w:rPr>
        <w:tab/>
        <w:t>Firearms register</w:t>
      </w:r>
      <w:bookmarkEnd w:id="264"/>
      <w:bookmarkEnd w:id="265"/>
      <w:bookmarkEnd w:id="266"/>
      <w:bookmarkEnd w:id="267"/>
      <w:bookmarkEnd w:id="268"/>
      <w:bookmarkEnd w:id="269"/>
      <w:bookmarkEnd w:id="270"/>
      <w:bookmarkEnd w:id="271"/>
      <w:r>
        <w:rPr>
          <w:snapToGrid w:val="0"/>
        </w:rPr>
        <w:t xml:space="preserve"> </w:t>
      </w:r>
    </w:p>
    <w:p>
      <w:pPr>
        <w:pStyle w:val="Subsection"/>
        <w:spacing w:before="120"/>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spacing w:before="60"/>
        <w:rPr>
          <w:snapToGrid w:val="0"/>
        </w:rPr>
      </w:pPr>
      <w:r>
        <w:rPr>
          <w:snapToGrid w:val="0"/>
        </w:rPr>
        <w:tab/>
        <w:t>(a)</w:t>
      </w:r>
      <w:r>
        <w:rPr>
          <w:snapToGrid w:val="0"/>
        </w:rPr>
        <w:tab/>
      </w:r>
      <w:r>
        <w:t>the full name</w:t>
      </w:r>
      <w:r>
        <w:rPr>
          <w:snapToGrid w:val="0"/>
        </w:rPr>
        <w:t xml:space="preserve"> and licence number of the security officer; </w:t>
      </w:r>
    </w:p>
    <w:p>
      <w:pPr>
        <w:pStyle w:val="Indenta"/>
        <w:rPr>
          <w:snapToGrid w:val="0"/>
        </w:rPr>
      </w:pPr>
      <w:r>
        <w:rPr>
          <w:snapToGrid w:val="0"/>
        </w:rPr>
        <w:tab/>
        <w:t>(b)</w:t>
      </w:r>
      <w:r>
        <w:rPr>
          <w:snapToGrid w:val="0"/>
        </w:rPr>
        <w:tab/>
        <w:t xml:space="preserve">the type and serial number of the firearm; </w:t>
      </w:r>
    </w:p>
    <w:p>
      <w:pPr>
        <w:pStyle w:val="Indenta"/>
        <w:spacing w:before="60"/>
        <w:rPr>
          <w:snapToGrid w:val="0"/>
        </w:rPr>
      </w:pPr>
      <w:r>
        <w:rPr>
          <w:snapToGrid w:val="0"/>
        </w:rPr>
        <w:tab/>
        <w:t>(c)</w:t>
      </w:r>
      <w:r>
        <w:rPr>
          <w:snapToGrid w:val="0"/>
        </w:rPr>
        <w:tab/>
        <w:t xml:space="preserve">the type and quantity of ammunition carried by the security officer; </w:t>
      </w:r>
    </w:p>
    <w:p>
      <w:pPr>
        <w:pStyle w:val="Indenta"/>
        <w:spacing w:before="60"/>
        <w:rPr>
          <w:snapToGrid w:val="0"/>
        </w:rPr>
      </w:pPr>
      <w:r>
        <w:rPr>
          <w:snapToGrid w:val="0"/>
        </w:rPr>
        <w:tab/>
        <w:t>(d)</w:t>
      </w:r>
      <w:r>
        <w:rPr>
          <w:snapToGrid w:val="0"/>
        </w:rPr>
        <w:tab/>
        <w:t xml:space="preserve">the date and time when the firearm was removed from the business premises; </w:t>
      </w:r>
    </w:p>
    <w:p>
      <w:pPr>
        <w:pStyle w:val="Indenta"/>
        <w:spacing w:before="60"/>
        <w:rPr>
          <w:snapToGrid w:val="0"/>
        </w:rPr>
      </w:pPr>
      <w:r>
        <w:rPr>
          <w:snapToGrid w:val="0"/>
        </w:rPr>
        <w:tab/>
        <w:t>(e)</w:t>
      </w:r>
      <w:r>
        <w:rPr>
          <w:snapToGrid w:val="0"/>
        </w:rPr>
        <w:tab/>
        <w:t>the date and time when the firearm was returned to those premises; and</w:t>
      </w:r>
    </w:p>
    <w:p>
      <w:pPr>
        <w:pStyle w:val="Indenta"/>
        <w:spacing w:before="60"/>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 xml:space="preserve">the date and time of the discharge; </w:t>
      </w:r>
    </w:p>
    <w:p>
      <w:pPr>
        <w:pStyle w:val="Indenti"/>
        <w:spacing w:before="60"/>
        <w:rPr>
          <w:snapToGrid w:val="0"/>
        </w:rPr>
      </w:pPr>
      <w:r>
        <w:rPr>
          <w:snapToGrid w:val="0"/>
        </w:rPr>
        <w:tab/>
        <w:t>(ii)</w:t>
      </w:r>
      <w:r>
        <w:rPr>
          <w:snapToGrid w:val="0"/>
        </w:rPr>
        <w:tab/>
        <w:t xml:space="preserve">the reason for the discharge; </w:t>
      </w:r>
    </w:p>
    <w:p>
      <w:pPr>
        <w:pStyle w:val="Indenti"/>
        <w:spacing w:before="60"/>
        <w:rPr>
          <w:snapToGrid w:val="0"/>
        </w:rPr>
      </w:pPr>
      <w:r>
        <w:rPr>
          <w:snapToGrid w:val="0"/>
        </w:rPr>
        <w:tab/>
        <w:t>(iii)</w:t>
      </w:r>
      <w:r>
        <w:rPr>
          <w:snapToGrid w:val="0"/>
        </w:rPr>
        <w:tab/>
        <w:t>if it was discharged by a person other than the security officer, the name of that person (if known); and</w:t>
      </w:r>
    </w:p>
    <w:p>
      <w:pPr>
        <w:pStyle w:val="Indenti"/>
        <w:spacing w:before="60"/>
        <w:rPr>
          <w:snapToGrid w:val="0"/>
        </w:rPr>
      </w:pPr>
      <w:r>
        <w:rPr>
          <w:snapToGrid w:val="0"/>
        </w:rPr>
        <w:tab/>
        <w:t>(iv)</w:t>
      </w:r>
      <w:r>
        <w:rPr>
          <w:snapToGrid w:val="0"/>
        </w:rPr>
        <w:tab/>
        <w:t>details of any injury or damage caused by the discharge.</w:t>
      </w:r>
    </w:p>
    <w:p>
      <w:pPr>
        <w:pStyle w:val="Subsection"/>
        <w:spacing w:before="120"/>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pPr>
      <w:r>
        <w:tab/>
        <w:t>[Regulation 36 amended in Gazette 1 Sep 2005 p. 4077</w:t>
      </w:r>
      <w:r>
        <w:noBreakHyphen/>
        <w:t>8.]</w:t>
      </w:r>
    </w:p>
    <w:p>
      <w:pPr>
        <w:pStyle w:val="Heading5"/>
        <w:spacing w:before="180"/>
        <w:rPr>
          <w:snapToGrid w:val="0"/>
        </w:rPr>
      </w:pPr>
      <w:bookmarkStart w:id="272" w:name="_Toc489429230"/>
      <w:bookmarkStart w:id="273" w:name="_Toc509894445"/>
      <w:bookmarkStart w:id="274" w:name="_Toc511206256"/>
      <w:bookmarkStart w:id="275" w:name="_Toc71963145"/>
      <w:bookmarkStart w:id="276" w:name="_Toc78350848"/>
      <w:bookmarkStart w:id="277" w:name="_Toc92873984"/>
      <w:bookmarkStart w:id="278" w:name="_Toc117913952"/>
      <w:bookmarkStart w:id="279" w:name="_Toc120077233"/>
      <w:r>
        <w:rPr>
          <w:rStyle w:val="CharSectno"/>
        </w:rPr>
        <w:t>37</w:t>
      </w:r>
      <w:r>
        <w:rPr>
          <w:snapToGrid w:val="0"/>
        </w:rPr>
        <w:t>.</w:t>
      </w:r>
      <w:r>
        <w:rPr>
          <w:snapToGrid w:val="0"/>
        </w:rPr>
        <w:tab/>
        <w:t>Alarm surveillance register</w:t>
      </w:r>
      <w:bookmarkEnd w:id="272"/>
      <w:bookmarkEnd w:id="273"/>
      <w:bookmarkEnd w:id="274"/>
      <w:bookmarkEnd w:id="275"/>
      <w:bookmarkEnd w:id="276"/>
      <w:bookmarkEnd w:id="277"/>
      <w:bookmarkEnd w:id="278"/>
      <w:bookmarkEnd w:id="279"/>
      <w:r>
        <w:rPr>
          <w:snapToGrid w:val="0"/>
        </w:rPr>
        <w:t xml:space="preserve"> </w:t>
      </w:r>
    </w:p>
    <w:p>
      <w:pPr>
        <w:pStyle w:val="Subsection"/>
        <w:spacing w:before="120"/>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rPr>
          <w:snapToGrid w:val="0"/>
        </w:rPr>
      </w:pPr>
      <w:r>
        <w:rPr>
          <w:snapToGrid w:val="0"/>
        </w:rPr>
        <w:tab/>
        <w:t>(a)</w:t>
      </w:r>
      <w:r>
        <w:rPr>
          <w:snapToGrid w:val="0"/>
        </w:rPr>
        <w:tab/>
      </w:r>
      <w:r>
        <w:t>the full name</w:t>
      </w:r>
      <w:r>
        <w:rPr>
          <w:snapToGrid w:val="0"/>
        </w:rPr>
        <w:t xml:space="preserve"> and licence number of the security officer; </w:t>
      </w:r>
    </w:p>
    <w:p>
      <w:pPr>
        <w:pStyle w:val="Indenta"/>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w:t>
      </w:r>
    </w:p>
    <w:p>
      <w:pPr>
        <w:pStyle w:val="Indenta"/>
        <w:rPr>
          <w:snapToGrid w:val="0"/>
        </w:rPr>
      </w:pPr>
      <w:r>
        <w:rPr>
          <w:snapToGrid w:val="0"/>
        </w:rPr>
        <w:tab/>
        <w:t>(c)</w:t>
      </w:r>
      <w:r>
        <w:rPr>
          <w:snapToGrid w:val="0"/>
        </w:rPr>
        <w:tab/>
        <w:t xml:space="preserve">details of what caused the alarm to activate; </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security officer arrived at the protected premises (if attendance was required); </w:t>
      </w:r>
    </w:p>
    <w:p>
      <w:pPr>
        <w:pStyle w:val="Indenti"/>
        <w:rPr>
          <w:snapToGrid w:val="0"/>
        </w:rPr>
      </w:pPr>
      <w:r>
        <w:rPr>
          <w:snapToGrid w:val="0"/>
        </w:rPr>
        <w:tab/>
        <w:t>(iii)</w:t>
      </w:r>
      <w:r>
        <w:rPr>
          <w:snapToGrid w:val="0"/>
        </w:rPr>
        <w:tab/>
        <w:t>the police arrived at the protected premises (if police attendance was required); and</w:t>
      </w:r>
    </w:p>
    <w:p>
      <w:pPr>
        <w:pStyle w:val="Indenti"/>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 xml:space="preserve">the address of the premises protected by the security alarm; </w:t>
      </w:r>
    </w:p>
    <w:p>
      <w:pPr>
        <w:pStyle w:val="Indenta"/>
      </w:pPr>
      <w:r>
        <w:tab/>
        <w:t>(b)</w:t>
      </w:r>
      <w:r>
        <w:tab/>
        <w:t>the name of the security agent that supplied the services of the security officer;</w:t>
      </w:r>
    </w:p>
    <w:p>
      <w:pPr>
        <w:pStyle w:val="Indenta"/>
        <w:rPr>
          <w:b/>
          <w:bCs/>
        </w:rPr>
      </w:pPr>
      <w:r>
        <w:tab/>
        <w:t>(c)</w:t>
      </w:r>
      <w:r>
        <w:tab/>
        <w:t>the name of the individual who, on behalf of the security agent that supplied the services of the security officer, dealt with the request to supply those services;</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 xml:space="preserve">the name of the security agent that monitored the alarm; </w:t>
      </w:r>
    </w:p>
    <w:p>
      <w:pPr>
        <w:pStyle w:val="Indenta"/>
        <w:rPr>
          <w:b/>
          <w:bCs/>
        </w:rPr>
      </w:pPr>
      <w:r>
        <w:tab/>
        <w:t>(b)</w:t>
      </w:r>
      <w:r>
        <w:tab/>
        <w:t>the name of the individual who, on behalf of the security agent that monitored the alarm, requested the supply of the security officer’s services;</w:t>
      </w:r>
    </w:p>
    <w:p>
      <w:pPr>
        <w:pStyle w:val="Indenta"/>
        <w:rPr>
          <w:snapToGrid w:val="0"/>
        </w:rPr>
      </w:pPr>
      <w:r>
        <w:rPr>
          <w:snapToGrid w:val="0"/>
        </w:rPr>
        <w:tab/>
        <w:t>(c)</w:t>
      </w:r>
      <w:r>
        <w:rPr>
          <w:snapToGrid w:val="0"/>
        </w:rPr>
        <w:tab/>
        <w:t xml:space="preserve">the name and licence number of the security officer; </w:t>
      </w:r>
    </w:p>
    <w:p>
      <w:pPr>
        <w:pStyle w:val="Indenta"/>
        <w:rPr>
          <w:snapToGrid w:val="0"/>
        </w:rPr>
      </w:pPr>
      <w:r>
        <w:rPr>
          <w:snapToGrid w:val="0"/>
        </w:rPr>
        <w:tab/>
        <w:t>(d)</w:t>
      </w:r>
      <w:r>
        <w:rPr>
          <w:snapToGrid w:val="0"/>
        </w:rPr>
        <w:tab/>
        <w:t xml:space="preserve">the address of the premises protected by the security alarm; </w:t>
      </w:r>
    </w:p>
    <w:p>
      <w:pPr>
        <w:pStyle w:val="Indenta"/>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t>(f)</w:t>
      </w:r>
      <w:r>
        <w:rPr>
          <w:snapToGrid w:val="0"/>
        </w:rPr>
        <w:tab/>
        <w:t>details of what caused the alarm to activate, if known; and</w:t>
      </w:r>
    </w:p>
    <w:p>
      <w:pPr>
        <w:pStyle w:val="Indenta"/>
        <w:rPr>
          <w:snapToGrid w:val="0"/>
        </w:rPr>
      </w:pPr>
      <w:r>
        <w:rPr>
          <w:snapToGrid w:val="0"/>
        </w:rPr>
        <w:tab/>
        <w:t>(g)</w:t>
      </w:r>
      <w:r>
        <w:rPr>
          <w:snapToGrid w:val="0"/>
        </w:rPr>
        <w:tab/>
        <w:t>details of the action taken by the security officer.</w:t>
      </w:r>
    </w:p>
    <w:p>
      <w:pPr>
        <w:pStyle w:val="Subsection"/>
        <w:spacing w:before="120"/>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pPr>
      <w:r>
        <w:tab/>
        <w:t>[Regulation 37 amended in Gazette 1 Sep 2005 p. 4078</w:t>
      </w:r>
      <w:r>
        <w:noBreakHyphen/>
        <w:t>80.]</w:t>
      </w:r>
    </w:p>
    <w:p>
      <w:pPr>
        <w:pStyle w:val="Heading5"/>
        <w:keepNext w:val="0"/>
        <w:spacing w:before="180"/>
        <w:rPr>
          <w:snapToGrid w:val="0"/>
        </w:rPr>
      </w:pPr>
      <w:bookmarkStart w:id="280" w:name="_Toc489429231"/>
      <w:bookmarkStart w:id="281" w:name="_Toc509894446"/>
      <w:bookmarkStart w:id="282" w:name="_Toc511206257"/>
      <w:bookmarkStart w:id="283" w:name="_Toc71963146"/>
      <w:bookmarkStart w:id="284" w:name="_Toc78350849"/>
      <w:bookmarkStart w:id="285" w:name="_Toc92873985"/>
      <w:bookmarkStart w:id="286" w:name="_Toc117913953"/>
      <w:bookmarkStart w:id="287" w:name="_Toc120077234"/>
      <w:r>
        <w:rPr>
          <w:rStyle w:val="CharSectno"/>
        </w:rPr>
        <w:t>38</w:t>
      </w:r>
      <w:r>
        <w:rPr>
          <w:snapToGrid w:val="0"/>
        </w:rPr>
        <w:t>.</w:t>
      </w:r>
      <w:r>
        <w:rPr>
          <w:snapToGrid w:val="0"/>
        </w:rPr>
        <w:tab/>
        <w:t>General records of security agent</w:t>
      </w:r>
      <w:bookmarkEnd w:id="280"/>
      <w:bookmarkEnd w:id="281"/>
      <w:bookmarkEnd w:id="282"/>
      <w:bookmarkEnd w:id="283"/>
      <w:bookmarkEnd w:id="284"/>
      <w:bookmarkEnd w:id="285"/>
      <w:bookmarkEnd w:id="286"/>
      <w:bookmarkEnd w:id="287"/>
      <w:r>
        <w:rPr>
          <w:snapToGrid w:val="0"/>
        </w:rPr>
        <w:t xml:space="preserve"> </w:t>
      </w:r>
    </w:p>
    <w:p>
      <w:pPr>
        <w:pStyle w:val="Subsection"/>
        <w:spacing w:before="120"/>
        <w:rPr>
          <w:snapToGrid w:val="0"/>
        </w:rPr>
      </w:pPr>
      <w:r>
        <w:rPr>
          <w:snapToGrid w:val="0"/>
        </w:rPr>
        <w:tab/>
      </w:r>
      <w:r>
        <w:rPr>
          <w:snapToGrid w:val="0"/>
        </w:rPr>
        <w:tab/>
        <w:t>A security agent’s general records must show — </w:t>
      </w:r>
    </w:p>
    <w:p>
      <w:pPr>
        <w:pStyle w:val="Indenta"/>
        <w:spacing w:before="60"/>
        <w:rPr>
          <w:snapToGrid w:val="0"/>
        </w:rPr>
      </w:pPr>
      <w:r>
        <w:rPr>
          <w:snapToGrid w:val="0"/>
        </w:rPr>
        <w:tab/>
        <w:t>(a)</w:t>
      </w:r>
      <w:r>
        <w:rPr>
          <w:snapToGrid w:val="0"/>
        </w:rPr>
        <w:tab/>
        <w:t>the full names, residential addresses</w:t>
      </w:r>
      <w:r>
        <w:t>, licence numbers and expiry dates of the licences</w:t>
      </w:r>
      <w:r>
        <w:rPr>
          <w:snapToGrid w:val="0"/>
        </w:rPr>
        <w:t xml:space="preserve"> of all security officers, security consultants and security installers </w:t>
      </w:r>
      <w:r>
        <w:t>who perform licensed activities for</w:t>
      </w:r>
      <w:r>
        <w:rPr>
          <w:snapToGrid w:val="0"/>
        </w:rPr>
        <w:t xml:space="preserve"> the business; </w:t>
      </w:r>
    </w:p>
    <w:p>
      <w:pPr>
        <w:pStyle w:val="Indenta"/>
        <w:spacing w:before="60"/>
        <w:rPr>
          <w:snapToGrid w:val="0"/>
        </w:rPr>
      </w:pPr>
      <w:r>
        <w:rPr>
          <w:snapToGrid w:val="0"/>
        </w:rPr>
        <w:tab/>
        <w:t>(b)</w:t>
      </w:r>
      <w:r>
        <w:rPr>
          <w:snapToGrid w:val="0"/>
        </w:rPr>
        <w:tab/>
        <w:t>in relation to each occasion on which the business is engaged to provide security officers, security consultants or security installers — </w:t>
      </w:r>
    </w:p>
    <w:p>
      <w:pPr>
        <w:pStyle w:val="Indenti"/>
        <w:rPr>
          <w:snapToGrid w:val="0"/>
        </w:rPr>
      </w:pPr>
      <w:r>
        <w:rPr>
          <w:snapToGrid w:val="0"/>
        </w:rPr>
        <w:tab/>
        <w:t>(i)</w:t>
      </w:r>
      <w:r>
        <w:rPr>
          <w:snapToGrid w:val="0"/>
        </w:rPr>
        <w:tab/>
        <w:t>the name and address of the person who engaged the business;</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security consultants or security installers who provided that security; </w:t>
      </w:r>
    </w:p>
    <w:p>
      <w:pPr>
        <w:pStyle w:val="Indenta"/>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the hourly movement of all security officers while they are carrying out licensed activities for the business.</w:t>
      </w:r>
    </w:p>
    <w:p>
      <w:pPr>
        <w:pStyle w:val="Footnotesection"/>
      </w:pPr>
      <w:r>
        <w:tab/>
        <w:t>[Regulation 38 amended in Gazette 1 Sep 2005 p. 4080.]</w:t>
      </w:r>
    </w:p>
    <w:p>
      <w:pPr>
        <w:pStyle w:val="Heading5"/>
        <w:spacing w:before="180"/>
        <w:rPr>
          <w:snapToGrid w:val="0"/>
        </w:rPr>
      </w:pPr>
      <w:bookmarkStart w:id="288" w:name="_Toc489429232"/>
      <w:bookmarkStart w:id="289" w:name="_Toc509894447"/>
      <w:bookmarkStart w:id="290" w:name="_Toc511206258"/>
      <w:bookmarkStart w:id="291" w:name="_Toc71963147"/>
      <w:bookmarkStart w:id="292" w:name="_Toc78350850"/>
      <w:bookmarkStart w:id="293" w:name="_Toc92873986"/>
      <w:bookmarkStart w:id="294" w:name="_Toc117913954"/>
      <w:bookmarkStart w:id="295" w:name="_Toc120077235"/>
      <w:r>
        <w:rPr>
          <w:rStyle w:val="CharSectno"/>
        </w:rPr>
        <w:t>39</w:t>
      </w:r>
      <w:r>
        <w:rPr>
          <w:snapToGrid w:val="0"/>
        </w:rPr>
        <w:t>.</w:t>
      </w:r>
      <w:r>
        <w:rPr>
          <w:snapToGrid w:val="0"/>
        </w:rPr>
        <w:tab/>
        <w:t>Prescribed records for a crowd control agent</w:t>
      </w:r>
      <w:bookmarkEnd w:id="288"/>
      <w:bookmarkEnd w:id="289"/>
      <w:bookmarkEnd w:id="290"/>
      <w:bookmarkEnd w:id="291"/>
      <w:bookmarkEnd w:id="292"/>
      <w:bookmarkEnd w:id="293"/>
      <w:bookmarkEnd w:id="294"/>
      <w:bookmarkEnd w:id="295"/>
      <w:r>
        <w:rPr>
          <w:snapToGrid w:val="0"/>
        </w:rPr>
        <w:t xml:space="preserve"> </w:t>
      </w:r>
    </w:p>
    <w:p>
      <w:pPr>
        <w:pStyle w:val="Subsection"/>
        <w:spacing w:before="180"/>
        <w:rPr>
          <w:snapToGrid w:val="0"/>
        </w:rPr>
      </w:pPr>
      <w:r>
        <w:rPr>
          <w:snapToGrid w:val="0"/>
        </w:rPr>
        <w:tab/>
        <w:t>(1)</w:t>
      </w:r>
      <w:r>
        <w:rPr>
          <w:snapToGrid w:val="0"/>
        </w:rPr>
        <w:tab/>
        <w:t>The following records are prescribed in relation to a crowd control agent for the purposes of section 78(1)(a) — </w:t>
      </w:r>
    </w:p>
    <w:p>
      <w:pPr>
        <w:pStyle w:val="Indenta"/>
        <w:spacing w:before="60"/>
        <w:rPr>
          <w:snapToGrid w:val="0"/>
        </w:rPr>
      </w:pPr>
      <w:r>
        <w:rPr>
          <w:snapToGrid w:val="0"/>
        </w:rPr>
        <w:tab/>
        <w:t>(a)</w:t>
      </w:r>
      <w:r>
        <w:rPr>
          <w:snapToGrid w:val="0"/>
        </w:rPr>
        <w:tab/>
        <w:t>an incident register containing the particulars required by regulation 40; and</w:t>
      </w:r>
    </w:p>
    <w:p>
      <w:pPr>
        <w:pStyle w:val="Indenta"/>
        <w:spacing w:before="60"/>
        <w:rPr>
          <w:snapToGrid w:val="0"/>
        </w:rPr>
      </w:pPr>
      <w:r>
        <w:rPr>
          <w:snapToGrid w:val="0"/>
        </w:rPr>
        <w:tab/>
        <w:t>(b)</w:t>
      </w:r>
      <w:r>
        <w:rPr>
          <w:snapToGrid w:val="0"/>
        </w:rPr>
        <w:tab/>
        <w:t>general records containing the particulars required by regulation 41.</w:t>
      </w:r>
    </w:p>
    <w:p>
      <w:pPr>
        <w:pStyle w:val="Subsection"/>
      </w:pPr>
      <w:bookmarkStart w:id="296" w:name="_Toc489429233"/>
      <w:bookmarkStart w:id="297" w:name="_Toc509894448"/>
      <w:bookmarkStart w:id="298" w:name="_Toc511206259"/>
      <w:bookmarkStart w:id="299" w:name="_Toc71963148"/>
      <w:bookmarkStart w:id="300" w:name="_Toc78350851"/>
      <w:bookmarkStart w:id="301" w:name="_Toc92873987"/>
      <w:r>
        <w:tab/>
        <w:t>(2)</w:t>
      </w:r>
      <w:r>
        <w:tab/>
        <w:t>An incident register is to be kept in the form of a permanently bound book with sequentially numbered pages.</w:t>
      </w:r>
    </w:p>
    <w:p>
      <w:pPr>
        <w:pStyle w:val="Footnotesection"/>
      </w:pPr>
      <w:r>
        <w:tab/>
        <w:t>[Regulation 39 amended in Gazette 1 Sep 2005 p. 4080.]</w:t>
      </w:r>
    </w:p>
    <w:p>
      <w:pPr>
        <w:pStyle w:val="Heading5"/>
        <w:spacing w:before="260"/>
        <w:rPr>
          <w:snapToGrid w:val="0"/>
        </w:rPr>
      </w:pPr>
      <w:bookmarkStart w:id="302" w:name="_Toc117913955"/>
      <w:bookmarkStart w:id="303" w:name="_Toc120077236"/>
      <w:r>
        <w:rPr>
          <w:rStyle w:val="CharSectno"/>
        </w:rPr>
        <w:t>40</w:t>
      </w:r>
      <w:r>
        <w:rPr>
          <w:snapToGrid w:val="0"/>
        </w:rPr>
        <w:t>.</w:t>
      </w:r>
      <w:r>
        <w:rPr>
          <w:snapToGrid w:val="0"/>
        </w:rPr>
        <w:tab/>
        <w:t>Incident register</w:t>
      </w:r>
      <w:bookmarkEnd w:id="296"/>
      <w:bookmarkEnd w:id="297"/>
      <w:bookmarkEnd w:id="298"/>
      <w:bookmarkEnd w:id="299"/>
      <w:bookmarkEnd w:id="300"/>
      <w:bookmarkEnd w:id="301"/>
      <w:bookmarkEnd w:id="302"/>
      <w:bookmarkEnd w:id="303"/>
      <w:r>
        <w:rPr>
          <w:snapToGrid w:val="0"/>
        </w:rPr>
        <w:t xml:space="preserve"> </w:t>
      </w:r>
    </w:p>
    <w:p>
      <w:pPr>
        <w:pStyle w:val="Subsection"/>
        <w:spacing w:before="180"/>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 xml:space="preserve">removed or prevented from entering; </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$1 000.</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bookmarkStart w:id="304" w:name="_Toc489429234"/>
      <w:bookmarkStart w:id="305" w:name="_Toc509894449"/>
      <w:bookmarkStart w:id="306" w:name="_Toc511206260"/>
      <w:bookmarkStart w:id="307" w:name="_Toc71963149"/>
      <w:bookmarkStart w:id="308" w:name="_Toc78350852"/>
      <w:bookmarkStart w:id="309" w:name="_Toc92873988"/>
      <w:r>
        <w:tab/>
        <w:t>[Regulation 40 amended in Gazette 1 Sep 2005 p. 4081</w:t>
      </w:r>
      <w:r>
        <w:noBreakHyphen/>
        <w:t>2.]</w:t>
      </w:r>
    </w:p>
    <w:p>
      <w:pPr>
        <w:pStyle w:val="Heading5"/>
        <w:rPr>
          <w:snapToGrid w:val="0"/>
        </w:rPr>
      </w:pPr>
      <w:bookmarkStart w:id="310" w:name="_Toc117913956"/>
      <w:bookmarkStart w:id="311" w:name="_Toc120077237"/>
      <w:r>
        <w:rPr>
          <w:rStyle w:val="CharSectno"/>
        </w:rPr>
        <w:t>41</w:t>
      </w:r>
      <w:r>
        <w:rPr>
          <w:snapToGrid w:val="0"/>
        </w:rPr>
        <w:t>.</w:t>
      </w:r>
      <w:r>
        <w:rPr>
          <w:snapToGrid w:val="0"/>
        </w:rPr>
        <w:tab/>
        <w:t>General records of crowd control agent</w:t>
      </w:r>
      <w:bookmarkEnd w:id="304"/>
      <w:bookmarkEnd w:id="305"/>
      <w:bookmarkEnd w:id="306"/>
      <w:bookmarkEnd w:id="307"/>
      <w:bookmarkEnd w:id="308"/>
      <w:bookmarkEnd w:id="309"/>
      <w:bookmarkEnd w:id="310"/>
      <w:bookmarkEnd w:id="311"/>
      <w:r>
        <w:rPr>
          <w:snapToGrid w:val="0"/>
        </w:rPr>
        <w:t xml:space="preserve"> </w:t>
      </w:r>
    </w:p>
    <w:p>
      <w:pPr>
        <w:pStyle w:val="Subsection"/>
        <w:rPr>
          <w:snapToGrid w:val="0"/>
        </w:rPr>
      </w:pPr>
      <w:r>
        <w:rPr>
          <w:snapToGrid w:val="0"/>
        </w:rPr>
        <w:tab/>
      </w:r>
      <w:r>
        <w:rPr>
          <w:snapToGrid w:val="0"/>
        </w:rPr>
        <w:tab/>
        <w:t>A crowd control agent’s general records must show — </w:t>
      </w:r>
    </w:p>
    <w:p>
      <w:pPr>
        <w:pStyle w:val="Indenta"/>
        <w:rPr>
          <w:snapToGrid w:val="0"/>
        </w:rPr>
      </w:pPr>
      <w:r>
        <w:rPr>
          <w:snapToGrid w:val="0"/>
        </w:rPr>
        <w:tab/>
        <w:t>(a)</w:t>
      </w:r>
      <w:r>
        <w:rPr>
          <w:snapToGrid w:val="0"/>
        </w:rPr>
        <w:tab/>
        <w:t>the full names, residential addresses</w:t>
      </w:r>
      <w:r>
        <w:t>, licence numbers and expiry dates of the licences</w:t>
      </w:r>
      <w:r>
        <w:rPr>
          <w:snapToGrid w:val="0"/>
        </w:rPr>
        <w:t xml:space="preserve"> of all crowd controllers </w:t>
      </w:r>
      <w:r>
        <w:t>who perform licensed activities for</w:t>
      </w:r>
      <w:r>
        <w:rPr>
          <w:snapToGrid w:val="0"/>
        </w:rPr>
        <w:t xml:space="preserve"> the business; and</w:t>
      </w:r>
    </w:p>
    <w:p>
      <w:pPr>
        <w:pStyle w:val="Indenta"/>
        <w:rPr>
          <w:snapToGrid w:val="0"/>
        </w:rPr>
      </w:pPr>
      <w:r>
        <w:rPr>
          <w:snapToGrid w:val="0"/>
        </w:rPr>
        <w:tab/>
        <w:t>(b)</w:t>
      </w:r>
      <w:r>
        <w:rPr>
          <w:snapToGrid w:val="0"/>
        </w:rPr>
        <w:tab/>
        <w:t>in relation to every event or function for which the business is engaged to provide crowd controllers — </w:t>
      </w:r>
    </w:p>
    <w:p>
      <w:pPr>
        <w:pStyle w:val="Indenti"/>
        <w:rPr>
          <w:snapToGrid w:val="0"/>
        </w:rPr>
      </w:pPr>
      <w:r>
        <w:rPr>
          <w:snapToGrid w:val="0"/>
        </w:rPr>
        <w:tab/>
        <w:t>(i)</w:t>
      </w:r>
      <w:r>
        <w:rPr>
          <w:snapToGrid w:val="0"/>
        </w:rPr>
        <w:tab/>
        <w:t>the name and address of the person who engaged the business;</w:t>
      </w:r>
    </w:p>
    <w:p>
      <w:pPr>
        <w:pStyle w:val="Indenti"/>
        <w:rPr>
          <w:snapToGrid w:val="0"/>
        </w:rPr>
      </w:pPr>
      <w:r>
        <w:rPr>
          <w:snapToGrid w:val="0"/>
        </w:rPr>
        <w:tab/>
        <w:t>(ii)</w:t>
      </w:r>
      <w:r>
        <w:rPr>
          <w:snapToGrid w:val="0"/>
        </w:rPr>
        <w:tab/>
        <w:t xml:space="preserve">the location of the event or function; </w:t>
      </w:r>
    </w:p>
    <w:p>
      <w:pPr>
        <w:pStyle w:val="Indenti"/>
        <w:rPr>
          <w:snapToGrid w:val="0"/>
        </w:rPr>
      </w:pPr>
      <w:r>
        <w:rPr>
          <w:snapToGrid w:val="0"/>
        </w:rPr>
        <w:tab/>
        <w:t>(iii)</w:t>
      </w:r>
      <w:r>
        <w:rPr>
          <w:snapToGrid w:val="0"/>
        </w:rPr>
        <w:tab/>
        <w:t xml:space="preserve">the type of event or function; </w:t>
      </w:r>
    </w:p>
    <w:p>
      <w:pPr>
        <w:pStyle w:val="Indenti"/>
        <w:rPr>
          <w:snapToGrid w:val="0"/>
        </w:rPr>
      </w:pPr>
      <w:r>
        <w:rPr>
          <w:snapToGrid w:val="0"/>
        </w:rPr>
        <w:tab/>
        <w:t>(iv)</w:t>
      </w:r>
      <w:r>
        <w:rPr>
          <w:snapToGrid w:val="0"/>
        </w:rPr>
        <w:tab/>
        <w:t xml:space="preserve">the dates and times at which the event or function started and finished; </w:t>
      </w:r>
    </w:p>
    <w:p>
      <w:pPr>
        <w:pStyle w:val="Indenti"/>
        <w:rPr>
          <w:snapToGrid w:val="0"/>
        </w:rPr>
      </w:pPr>
      <w:r>
        <w:rPr>
          <w:snapToGrid w:val="0"/>
        </w:rPr>
        <w:tab/>
        <w:t>(v)</w:t>
      </w:r>
      <w:r>
        <w:rPr>
          <w:snapToGrid w:val="0"/>
        </w:rPr>
        <w:tab/>
        <w:t xml:space="preserve">the approximate number of people attending the event or function; </w:t>
      </w:r>
    </w:p>
    <w:p>
      <w:pPr>
        <w:pStyle w:val="Indenti"/>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rPr>
          <w:snapToGrid w:val="0"/>
        </w:rPr>
      </w:pPr>
      <w:r>
        <w:rPr>
          <w:snapToGrid w:val="0"/>
        </w:rPr>
        <w:tab/>
        <w:t>(vii)</w:t>
      </w:r>
      <w:r>
        <w:rPr>
          <w:snapToGrid w:val="0"/>
        </w:rPr>
        <w:tab/>
        <w:t>the times during which each of those crowd controllers carried out those activities.</w:t>
      </w:r>
    </w:p>
    <w:p>
      <w:pPr>
        <w:pStyle w:val="Footnotesection"/>
      </w:pPr>
      <w:bookmarkStart w:id="312" w:name="_Toc489429235"/>
      <w:bookmarkStart w:id="313" w:name="_Toc509894450"/>
      <w:bookmarkStart w:id="314" w:name="_Toc511206261"/>
      <w:bookmarkStart w:id="315" w:name="_Toc71963150"/>
      <w:bookmarkStart w:id="316" w:name="_Toc78350853"/>
      <w:bookmarkStart w:id="317" w:name="_Toc92873989"/>
      <w:r>
        <w:tab/>
        <w:t>[Regulation 41 amended in Gazette 1 Sep 2005 p. 4082.]</w:t>
      </w:r>
    </w:p>
    <w:p>
      <w:pPr>
        <w:pStyle w:val="Heading5"/>
        <w:rPr>
          <w:snapToGrid w:val="0"/>
        </w:rPr>
      </w:pPr>
      <w:bookmarkStart w:id="318" w:name="_Toc117913957"/>
      <w:bookmarkStart w:id="319" w:name="_Toc120077238"/>
      <w:r>
        <w:rPr>
          <w:rStyle w:val="CharSectno"/>
        </w:rPr>
        <w:t>42</w:t>
      </w:r>
      <w:r>
        <w:rPr>
          <w:snapToGrid w:val="0"/>
        </w:rPr>
        <w:t>.</w:t>
      </w:r>
      <w:r>
        <w:rPr>
          <w:snapToGrid w:val="0"/>
        </w:rPr>
        <w:tab/>
        <w:t>Records to be kept by inquiry agent</w:t>
      </w:r>
      <w:bookmarkEnd w:id="312"/>
      <w:bookmarkEnd w:id="313"/>
      <w:bookmarkEnd w:id="314"/>
      <w:bookmarkEnd w:id="315"/>
      <w:bookmarkEnd w:id="316"/>
      <w:bookmarkEnd w:id="317"/>
      <w:bookmarkEnd w:id="318"/>
      <w:bookmarkEnd w:id="319"/>
      <w:r>
        <w:rPr>
          <w:snapToGrid w:val="0"/>
        </w:rPr>
        <w:t xml:space="preserve"> </w:t>
      </w:r>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pPr>
      <w:bookmarkStart w:id="320" w:name="_Toc489429236"/>
      <w:bookmarkStart w:id="321" w:name="_Toc509894451"/>
      <w:bookmarkStart w:id="322" w:name="_Toc511206262"/>
      <w:bookmarkStart w:id="323" w:name="_Toc71963151"/>
      <w:bookmarkStart w:id="324" w:name="_Toc78350854"/>
      <w:bookmarkStart w:id="325" w:name="_Toc92873990"/>
      <w:r>
        <w:tab/>
        <w:t>[Regulation 42 amended in Gazette 1 Sep 2005 p. 4083.]</w:t>
      </w:r>
    </w:p>
    <w:p>
      <w:pPr>
        <w:pStyle w:val="Heading5"/>
        <w:rPr>
          <w:snapToGrid w:val="0"/>
        </w:rPr>
      </w:pPr>
      <w:bookmarkStart w:id="326" w:name="_Toc117913958"/>
      <w:bookmarkStart w:id="327" w:name="_Toc120077239"/>
      <w:r>
        <w:rPr>
          <w:rStyle w:val="CharSectno"/>
        </w:rPr>
        <w:t>43</w:t>
      </w:r>
      <w:r>
        <w:rPr>
          <w:snapToGrid w:val="0"/>
        </w:rPr>
        <w:t>.</w:t>
      </w:r>
      <w:r>
        <w:rPr>
          <w:snapToGrid w:val="0"/>
        </w:rPr>
        <w:tab/>
        <w:t>Records to be kept by person who engages a crowd control agent</w:t>
      </w:r>
      <w:bookmarkEnd w:id="320"/>
      <w:bookmarkEnd w:id="321"/>
      <w:bookmarkEnd w:id="322"/>
      <w:bookmarkEnd w:id="323"/>
      <w:bookmarkEnd w:id="324"/>
      <w:bookmarkEnd w:id="325"/>
      <w:bookmarkEnd w:id="326"/>
      <w:bookmarkEnd w:id="327"/>
      <w:r>
        <w:rPr>
          <w:snapToGrid w:val="0"/>
        </w:rPr>
        <w:t xml:space="preserve"> </w:t>
      </w:r>
    </w:p>
    <w:p>
      <w:pPr>
        <w:pStyle w:val="Subsection"/>
        <w:spacing w:before="120"/>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 xml:space="preserve">the name and licence number of the crowd control agent; </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bookmarkStart w:id="328" w:name="_Toc77657670"/>
      <w:bookmarkStart w:id="329" w:name="_Toc78350742"/>
      <w:bookmarkStart w:id="330" w:name="_Toc78350855"/>
      <w:bookmarkStart w:id="331" w:name="_Toc92873991"/>
      <w:r>
        <w:tab/>
        <w:t>[Regulation 43 amended in Gazette 1 Sep 2005 p. 4083.]</w:t>
      </w:r>
    </w:p>
    <w:p>
      <w:pPr>
        <w:pStyle w:val="Heading2"/>
      </w:pPr>
      <w:bookmarkStart w:id="332" w:name="_Toc113259664"/>
      <w:bookmarkStart w:id="333" w:name="_Toc113260380"/>
      <w:bookmarkStart w:id="334" w:name="_Toc113263530"/>
      <w:bookmarkStart w:id="335" w:name="_Toc116795497"/>
      <w:bookmarkStart w:id="336" w:name="_Toc116967018"/>
      <w:bookmarkStart w:id="337" w:name="_Toc117567760"/>
      <w:bookmarkStart w:id="338" w:name="_Toc117659516"/>
      <w:bookmarkStart w:id="339" w:name="_Toc117913959"/>
      <w:bookmarkStart w:id="340" w:name="_Toc117914050"/>
      <w:bookmarkStart w:id="341" w:name="_Toc120077240"/>
      <w:r>
        <w:rPr>
          <w:rStyle w:val="CharPartNo"/>
        </w:rPr>
        <w:t>Part 7</w:t>
      </w:r>
      <w:r>
        <w:rPr>
          <w:rStyle w:val="CharDivNo"/>
        </w:rPr>
        <w:t> </w:t>
      </w:r>
      <w:r>
        <w:t>—</w:t>
      </w:r>
      <w:r>
        <w:rPr>
          <w:rStyle w:val="CharDivText"/>
        </w:rPr>
        <w:t> </w:t>
      </w:r>
      <w:r>
        <w:rPr>
          <w:rStyle w:val="CharPartText"/>
        </w:rPr>
        <w:t>Drug testing</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r>
        <w:rPr>
          <w:rStyle w:val="CharPartText"/>
        </w:rPr>
        <w:t xml:space="preserve"> </w:t>
      </w:r>
    </w:p>
    <w:p>
      <w:pPr>
        <w:pStyle w:val="Heading5"/>
        <w:rPr>
          <w:snapToGrid w:val="0"/>
        </w:rPr>
      </w:pPr>
      <w:bookmarkStart w:id="342" w:name="_Toc489429237"/>
      <w:bookmarkStart w:id="343" w:name="_Toc509894452"/>
      <w:bookmarkStart w:id="344" w:name="_Toc511206263"/>
      <w:bookmarkStart w:id="345" w:name="_Toc71963152"/>
      <w:bookmarkStart w:id="346" w:name="_Toc78350856"/>
      <w:bookmarkStart w:id="347" w:name="_Toc92873992"/>
      <w:bookmarkStart w:id="348" w:name="_Toc117913960"/>
      <w:bookmarkStart w:id="349" w:name="_Toc120077241"/>
      <w:r>
        <w:rPr>
          <w:rStyle w:val="CharSectno"/>
        </w:rPr>
        <w:t>44</w:t>
      </w:r>
      <w:r>
        <w:rPr>
          <w:snapToGrid w:val="0"/>
        </w:rPr>
        <w:t>.</w:t>
      </w:r>
      <w:r>
        <w:rPr>
          <w:snapToGrid w:val="0"/>
        </w:rPr>
        <w:tab/>
        <w:t>Definitions</w:t>
      </w:r>
      <w:bookmarkEnd w:id="342"/>
      <w:bookmarkEnd w:id="343"/>
      <w:bookmarkEnd w:id="344"/>
      <w:bookmarkEnd w:id="345"/>
      <w:bookmarkEnd w:id="346"/>
      <w:bookmarkEnd w:id="347"/>
      <w:bookmarkEnd w:id="348"/>
      <w:bookmarkEnd w:id="349"/>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analyst</w:t>
      </w:r>
      <w:r>
        <w:rPr>
          <w:b/>
        </w:rPr>
        <w:t>”</w:t>
      </w:r>
      <w:r>
        <w:t xml:space="preserve"> means a person approved under regulation 46(2); </w:t>
      </w:r>
    </w:p>
    <w:p>
      <w:pPr>
        <w:pStyle w:val="Defstart"/>
      </w:pPr>
      <w:r>
        <w:rPr>
          <w:b/>
        </w:rPr>
        <w:tab/>
        <w:t>“</w:t>
      </w:r>
      <w:r>
        <w:rPr>
          <w:rStyle w:val="CharDefText"/>
        </w:rPr>
        <w:t>blood sampling equipment</w:t>
      </w:r>
      <w:r>
        <w:rPr>
          <w:b/>
        </w:rPr>
        <w:t>”</w:t>
      </w:r>
      <w:r>
        <w:t xml:space="preserve"> means the equipment prescribed by regulation 47(1); </w:t>
      </w:r>
    </w:p>
    <w:p>
      <w:pPr>
        <w:pStyle w:val="Defstart"/>
      </w:pPr>
      <w:r>
        <w:rPr>
          <w:b/>
        </w:rPr>
        <w:tab/>
        <w:t>“</w:t>
      </w:r>
      <w:r>
        <w:rPr>
          <w:rStyle w:val="CharDefText"/>
        </w:rPr>
        <w:t>police officer or employee</w:t>
      </w:r>
      <w:r>
        <w:rPr>
          <w:b/>
        </w:rPr>
        <w:t>”</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t>“</w:t>
      </w:r>
      <w:r>
        <w:rPr>
          <w:rStyle w:val="CharDefText"/>
        </w:rPr>
        <w:t>sample collector</w:t>
      </w:r>
      <w:r>
        <w:rPr>
          <w:b/>
        </w:rPr>
        <w:t>”</w:t>
      </w:r>
      <w:r>
        <w:t xml:space="preserve"> means a medical practitioner or a person approved under regulation 46(1)(b); </w:t>
      </w:r>
    </w:p>
    <w:p>
      <w:pPr>
        <w:pStyle w:val="Defstart"/>
      </w:pPr>
      <w:r>
        <w:rPr>
          <w:b/>
        </w:rPr>
        <w:tab/>
        <w:t>“</w:t>
      </w:r>
      <w:r>
        <w:rPr>
          <w:rStyle w:val="CharDefText"/>
        </w:rPr>
        <w:t>sampling equipment</w:t>
      </w:r>
      <w:r>
        <w:rPr>
          <w:b/>
        </w:rPr>
        <w:t>”</w:t>
      </w:r>
      <w:r>
        <w:t xml:space="preserve"> means blood sampling equipment or urine sampling equipment;</w:t>
      </w:r>
    </w:p>
    <w:p>
      <w:pPr>
        <w:pStyle w:val="Defstart"/>
      </w:pPr>
      <w:r>
        <w:rPr>
          <w:b/>
        </w:rPr>
        <w:tab/>
        <w:t>“</w:t>
      </w:r>
      <w:r>
        <w:rPr>
          <w:rStyle w:val="CharDefText"/>
        </w:rPr>
        <w:t>technologist</w:t>
      </w:r>
      <w:r>
        <w:rPr>
          <w:b/>
        </w:rPr>
        <w:t>”</w:t>
      </w:r>
      <w:r>
        <w:t xml:space="preserve"> means — </w:t>
      </w:r>
    </w:p>
    <w:p>
      <w:pPr>
        <w:pStyle w:val="Defpara"/>
      </w:pPr>
      <w:r>
        <w:tab/>
        <w:t>(a)</w:t>
      </w:r>
      <w:r>
        <w:tab/>
        <w:t xml:space="preserve">a person who is registered as an analyst under section 203 of the </w:t>
      </w:r>
      <w:r>
        <w:rPr>
          <w:i/>
        </w:rPr>
        <w:t>Health Act 1911</w:t>
      </w:r>
      <w:r>
        <w:t>; or</w:t>
      </w:r>
    </w:p>
    <w:p>
      <w:pPr>
        <w:pStyle w:val="Defpara"/>
      </w:pPr>
      <w:r>
        <w:tab/>
        <w:t>(b)</w:t>
      </w:r>
      <w:r>
        <w:tab/>
        <w:t xml:space="preserve">a person approved under regulation 46(1)(a); </w:t>
      </w:r>
    </w:p>
    <w:p>
      <w:pPr>
        <w:pStyle w:val="Defstart"/>
      </w:pPr>
      <w:r>
        <w:rPr>
          <w:b/>
        </w:rPr>
        <w:tab/>
        <w:t>“</w:t>
      </w:r>
      <w:r>
        <w:rPr>
          <w:rStyle w:val="CharDefText"/>
        </w:rPr>
        <w:t>urine sampling equipment</w:t>
      </w:r>
      <w:r>
        <w:rPr>
          <w:b/>
        </w:rPr>
        <w:t>”</w:t>
      </w:r>
      <w:r>
        <w:t xml:space="preserve"> means the equipment prescribed by regulation 47(2).</w:t>
      </w:r>
    </w:p>
    <w:p>
      <w:pPr>
        <w:pStyle w:val="Heading5"/>
        <w:rPr>
          <w:snapToGrid w:val="0"/>
        </w:rPr>
      </w:pPr>
      <w:bookmarkStart w:id="350" w:name="_Toc489429238"/>
      <w:bookmarkStart w:id="351" w:name="_Toc509894453"/>
      <w:bookmarkStart w:id="352" w:name="_Toc511206264"/>
      <w:bookmarkStart w:id="353" w:name="_Toc71963153"/>
      <w:bookmarkStart w:id="354" w:name="_Toc78350857"/>
      <w:bookmarkStart w:id="355" w:name="_Toc92873993"/>
      <w:bookmarkStart w:id="356" w:name="_Toc117913961"/>
      <w:bookmarkStart w:id="357" w:name="_Toc120077242"/>
      <w:r>
        <w:rPr>
          <w:rStyle w:val="CharSectno"/>
        </w:rPr>
        <w:t>45</w:t>
      </w:r>
      <w:r>
        <w:rPr>
          <w:snapToGrid w:val="0"/>
        </w:rPr>
        <w:t>.</w:t>
      </w:r>
      <w:r>
        <w:rPr>
          <w:snapToGrid w:val="0"/>
        </w:rPr>
        <w:tab/>
        <w:t>Prescribed drugs</w:t>
      </w:r>
      <w:bookmarkEnd w:id="350"/>
      <w:bookmarkEnd w:id="351"/>
      <w:bookmarkEnd w:id="352"/>
      <w:bookmarkEnd w:id="353"/>
      <w:bookmarkEnd w:id="354"/>
      <w:bookmarkEnd w:id="355"/>
      <w:bookmarkEnd w:id="356"/>
      <w:bookmarkEnd w:id="357"/>
      <w:r>
        <w:rPr>
          <w:snapToGrid w:val="0"/>
        </w:rPr>
        <w:t xml:space="preserve"> </w:t>
      </w:r>
    </w:p>
    <w:p>
      <w:pPr>
        <w:pStyle w:val="Subsection"/>
        <w:rPr>
          <w:snapToGrid w:val="0"/>
        </w:rPr>
      </w:pPr>
      <w:r>
        <w:rPr>
          <w:snapToGrid w:val="0"/>
        </w:rPr>
        <w:tab/>
      </w:r>
      <w:r>
        <w:rPr>
          <w:snapToGrid w:val="0"/>
        </w:rPr>
        <w:tab/>
        <w:t xml:space="preserve">The drugs referred to in Schedule 3 are prescribed for the purposes of section 80. </w:t>
      </w:r>
    </w:p>
    <w:p>
      <w:pPr>
        <w:pStyle w:val="Heading5"/>
        <w:rPr>
          <w:snapToGrid w:val="0"/>
        </w:rPr>
      </w:pPr>
      <w:bookmarkStart w:id="358" w:name="_Toc489429239"/>
      <w:bookmarkStart w:id="359" w:name="_Toc509894454"/>
      <w:bookmarkStart w:id="360" w:name="_Toc511206265"/>
      <w:bookmarkStart w:id="361" w:name="_Toc71963154"/>
      <w:bookmarkStart w:id="362" w:name="_Toc78350858"/>
      <w:bookmarkStart w:id="363" w:name="_Toc92873994"/>
      <w:bookmarkStart w:id="364" w:name="_Toc117913962"/>
      <w:bookmarkStart w:id="365" w:name="_Toc120077243"/>
      <w:r>
        <w:rPr>
          <w:rStyle w:val="CharSectno"/>
        </w:rPr>
        <w:t>46</w:t>
      </w:r>
      <w:r>
        <w:rPr>
          <w:snapToGrid w:val="0"/>
        </w:rPr>
        <w:t>.</w:t>
      </w:r>
      <w:r>
        <w:rPr>
          <w:snapToGrid w:val="0"/>
        </w:rPr>
        <w:tab/>
        <w:t>Approval of technologists, sample collectors and analysts</w:t>
      </w:r>
      <w:bookmarkEnd w:id="358"/>
      <w:bookmarkEnd w:id="359"/>
      <w:bookmarkEnd w:id="360"/>
      <w:bookmarkEnd w:id="361"/>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 xml:space="preserve">The Commissioner of Health (as defined in the </w:t>
      </w:r>
      <w:r>
        <w:rPr>
          <w:i/>
          <w:snapToGrid w:val="0"/>
        </w:rPr>
        <w:t>Health Act 1911</w:t>
      </w:r>
      <w:r>
        <w:rPr>
          <w:snapToGrid w:val="0"/>
        </w:rPr>
        <w:t>) may approve a person as — </w:t>
      </w:r>
    </w:p>
    <w:p>
      <w:pPr>
        <w:pStyle w:val="Indenta"/>
        <w:rPr>
          <w:snapToGrid w:val="0"/>
        </w:rPr>
      </w:pPr>
      <w:r>
        <w:rPr>
          <w:snapToGrid w:val="0"/>
        </w:rPr>
        <w:tab/>
        <w:t>(a)</w:t>
      </w:r>
      <w:r>
        <w:rPr>
          <w:snapToGrid w:val="0"/>
        </w:rPr>
        <w:tab/>
        <w:t>a technologist for the purposes of this Part if the Commissioner considers the person is competent to prepare sampling equipment;</w:t>
      </w:r>
    </w:p>
    <w:p>
      <w:pPr>
        <w:pStyle w:val="Indenta"/>
        <w:rPr>
          <w:snapToGrid w:val="0"/>
        </w:rPr>
      </w:pPr>
      <w:r>
        <w:rPr>
          <w:snapToGrid w:val="0"/>
        </w:rPr>
        <w:tab/>
        <w:t>(b)</w:t>
      </w:r>
      <w:r>
        <w:rPr>
          <w:snapToGrid w:val="0"/>
        </w:rPr>
        <w:tab/>
        <w:t xml:space="preserve">a sample collector for the purposes of this Part if the Commissioner considers the person is competent to take or collect blood and urine samples. </w:t>
      </w:r>
    </w:p>
    <w:p>
      <w:pPr>
        <w:pStyle w:val="Subsection"/>
        <w:spacing w:before="120"/>
        <w:rPr>
          <w:snapToGrid w:val="0"/>
        </w:rPr>
      </w:pPr>
      <w:r>
        <w:rPr>
          <w:snapToGrid w:val="0"/>
        </w:rPr>
        <w:tab/>
        <w:t>(2)</w:t>
      </w:r>
      <w:r>
        <w:rPr>
          <w:snapToGrid w:val="0"/>
        </w:rPr>
        <w:tab/>
        <w:t>The Director of the Chemistry Centre (WA) may approve a person as an analyst for the purposes of Part 9 of the Act if the Director considers the person is competent to ascertain whether, and to what extent, drugs are present in blood and urine samples.</w:t>
      </w:r>
    </w:p>
    <w:p>
      <w:pPr>
        <w:pStyle w:val="Subsection"/>
        <w:spacing w:before="120"/>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spacing w:before="120"/>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 xml:space="preserve">is to be given in writing; </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spacing w:before="120"/>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Heading5"/>
        <w:spacing w:before="180"/>
        <w:rPr>
          <w:snapToGrid w:val="0"/>
        </w:rPr>
      </w:pPr>
      <w:bookmarkStart w:id="366" w:name="_Toc489429240"/>
      <w:bookmarkStart w:id="367" w:name="_Toc509894455"/>
      <w:bookmarkStart w:id="368" w:name="_Toc511206266"/>
      <w:bookmarkStart w:id="369" w:name="_Toc71963155"/>
      <w:bookmarkStart w:id="370" w:name="_Toc78350859"/>
      <w:bookmarkStart w:id="371" w:name="_Toc92873995"/>
      <w:bookmarkStart w:id="372" w:name="_Toc117913963"/>
      <w:bookmarkStart w:id="373" w:name="_Toc120077244"/>
      <w:r>
        <w:rPr>
          <w:rStyle w:val="CharSectno"/>
        </w:rPr>
        <w:t>47</w:t>
      </w:r>
      <w:r>
        <w:rPr>
          <w:snapToGrid w:val="0"/>
        </w:rPr>
        <w:t>.</w:t>
      </w:r>
      <w:r>
        <w:rPr>
          <w:snapToGrid w:val="0"/>
        </w:rPr>
        <w:tab/>
        <w:t>Prescribed sampling equipment</w:t>
      </w:r>
      <w:bookmarkEnd w:id="366"/>
      <w:bookmarkEnd w:id="367"/>
      <w:bookmarkEnd w:id="368"/>
      <w:bookmarkEnd w:id="369"/>
      <w:bookmarkEnd w:id="370"/>
      <w:bookmarkEnd w:id="371"/>
      <w:bookmarkEnd w:id="372"/>
      <w:bookmarkEnd w:id="373"/>
      <w:r>
        <w:rPr>
          <w:snapToGrid w:val="0"/>
        </w:rPr>
        <w:t xml:space="preserve"> </w:t>
      </w:r>
    </w:p>
    <w:p>
      <w:pPr>
        <w:pStyle w:val="Subsection"/>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 xml:space="preserve">a sterile syringe with a capacity of approximately 30 ml; </w:t>
      </w:r>
    </w:p>
    <w:p>
      <w:pPr>
        <w:pStyle w:val="Indenta"/>
        <w:rPr>
          <w:snapToGrid w:val="0"/>
        </w:rPr>
      </w:pPr>
      <w:r>
        <w:rPr>
          <w:snapToGrid w:val="0"/>
        </w:rPr>
        <w:tab/>
        <w:t>(b)</w:t>
      </w:r>
      <w:r>
        <w:rPr>
          <w:snapToGrid w:val="0"/>
        </w:rPr>
        <w:tab/>
        <w:t xml:space="preserve">a sterile needle to be attached to the syringe; </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t>(d)</w:t>
      </w:r>
      <w:r>
        <w:rPr>
          <w:snapToGrid w:val="0"/>
        </w:rPr>
        <w:tab/>
        <w:t xml:space="preserve">a container containing a solution of 1 part mercury bichloride to 1 000 parts distilled water; </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rPr>
          <w:snapToGrid w:val="0"/>
        </w:rPr>
      </w:pPr>
      <w:r>
        <w:rPr>
          <w:snapToGrid w:val="0"/>
        </w:rPr>
        <w:tab/>
        <w:t>(2)</w:t>
      </w:r>
      <w:r>
        <w:rPr>
          <w:snapToGrid w:val="0"/>
        </w:rPr>
        <w:tab/>
        <w:t>For the purposes of this Part the following is prescribed as urine sampling equipment — </w:t>
      </w:r>
    </w:p>
    <w:p>
      <w:pPr>
        <w:pStyle w:val="Indenta"/>
        <w:rPr>
          <w:snapToGrid w:val="0"/>
        </w:rPr>
      </w:pPr>
      <w:r>
        <w:rPr>
          <w:snapToGrid w:val="0"/>
        </w:rPr>
        <w:tab/>
        <w:t>(a)</w:t>
      </w:r>
      <w:r>
        <w:rPr>
          <w:snapToGrid w:val="0"/>
        </w:rPr>
        <w:tab/>
        <w:t>a container for collecting urine;</w:t>
      </w:r>
    </w:p>
    <w:p>
      <w:pPr>
        <w:pStyle w:val="Indenta"/>
        <w:rPr>
          <w:snapToGrid w:val="0"/>
        </w:rPr>
      </w:pPr>
      <w:r>
        <w:rPr>
          <w:snapToGrid w:val="0"/>
        </w:rPr>
        <w:tab/>
        <w:t>(b)</w:t>
      </w:r>
      <w:r>
        <w:rPr>
          <w:snapToGrid w:val="0"/>
        </w:rPr>
        <w:tab/>
        <w:t>2 specimen jars; and</w:t>
      </w:r>
    </w:p>
    <w:p>
      <w:pPr>
        <w:pStyle w:val="Indenta"/>
        <w:rPr>
          <w:snapToGrid w:val="0"/>
        </w:rPr>
      </w:pPr>
      <w:r>
        <w:rPr>
          <w:snapToGrid w:val="0"/>
        </w:rPr>
        <w:tab/>
        <w:t>(c)</w:t>
      </w:r>
      <w:r>
        <w:rPr>
          <w:snapToGrid w:val="0"/>
        </w:rPr>
        <w:tab/>
        <w:t>a pair of disposable gloves.</w:t>
      </w:r>
    </w:p>
    <w:p>
      <w:pPr>
        <w:pStyle w:val="Heading5"/>
        <w:rPr>
          <w:snapToGrid w:val="0"/>
        </w:rPr>
      </w:pPr>
      <w:bookmarkStart w:id="374" w:name="_Toc489429241"/>
      <w:bookmarkStart w:id="375" w:name="_Toc509894456"/>
      <w:bookmarkStart w:id="376" w:name="_Toc511206267"/>
      <w:bookmarkStart w:id="377" w:name="_Toc71963156"/>
      <w:bookmarkStart w:id="378" w:name="_Toc78350860"/>
      <w:bookmarkStart w:id="379" w:name="_Toc92873996"/>
      <w:bookmarkStart w:id="380" w:name="_Toc117913964"/>
      <w:bookmarkStart w:id="381" w:name="_Toc120077245"/>
      <w:r>
        <w:rPr>
          <w:rStyle w:val="CharSectno"/>
        </w:rPr>
        <w:t>48</w:t>
      </w:r>
      <w:r>
        <w:rPr>
          <w:snapToGrid w:val="0"/>
        </w:rPr>
        <w:t>.</w:t>
      </w:r>
      <w:r>
        <w:rPr>
          <w:snapToGrid w:val="0"/>
        </w:rPr>
        <w:tab/>
        <w:t>Preparation and use of sampling equipment</w:t>
      </w:r>
      <w:bookmarkEnd w:id="374"/>
      <w:bookmarkEnd w:id="375"/>
      <w:bookmarkEnd w:id="376"/>
      <w:bookmarkEnd w:id="377"/>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Sampling equipment is to be prepared by a technologist who must, in relation to each set of equipment — </w:t>
      </w:r>
    </w:p>
    <w:p>
      <w:pPr>
        <w:pStyle w:val="Indenta"/>
        <w:rPr>
          <w:snapToGrid w:val="0"/>
        </w:rPr>
      </w:pPr>
      <w:r>
        <w:rPr>
          <w:snapToGrid w:val="0"/>
        </w:rPr>
        <w:tab/>
        <w:t>(a)</w:t>
      </w:r>
      <w:r>
        <w:rPr>
          <w:snapToGrid w:val="0"/>
        </w:rPr>
        <w:tab/>
        <w:t>complete and sign a certificate in the approved form; and</w:t>
      </w:r>
    </w:p>
    <w:p>
      <w:pPr>
        <w:pStyle w:val="Indenta"/>
        <w:rPr>
          <w:snapToGrid w:val="0"/>
        </w:rPr>
      </w:pPr>
      <w:r>
        <w:rPr>
          <w:snapToGrid w:val="0"/>
        </w:rPr>
        <w:tab/>
        <w:t>(b)</w:t>
      </w:r>
      <w:r>
        <w:rPr>
          <w:snapToGrid w:val="0"/>
        </w:rPr>
        <w:tab/>
        <w:t>seal the equipment in a serially numbered package and sign his or her name over the sealed portion or flap of the package.</w:t>
      </w:r>
    </w:p>
    <w:p>
      <w:pPr>
        <w:pStyle w:val="Subsection"/>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Heading5"/>
      </w:pPr>
      <w:bookmarkStart w:id="382" w:name="_Toc117913965"/>
      <w:bookmarkStart w:id="383" w:name="_Toc120077246"/>
      <w:bookmarkStart w:id="384" w:name="_Toc489429242"/>
      <w:bookmarkStart w:id="385" w:name="_Toc509894457"/>
      <w:bookmarkStart w:id="386" w:name="_Toc511206268"/>
      <w:bookmarkStart w:id="387" w:name="_Toc71963157"/>
      <w:bookmarkStart w:id="388" w:name="_Toc78350861"/>
      <w:bookmarkStart w:id="389" w:name="_Toc92873997"/>
      <w:r>
        <w:rPr>
          <w:rStyle w:val="CharSectno"/>
        </w:rPr>
        <w:t>48A</w:t>
      </w:r>
      <w:r>
        <w:t>.</w:t>
      </w:r>
      <w:r>
        <w:tab/>
        <w:t>Identity card to be produced when blood, urine collected</w:t>
      </w:r>
      <w:bookmarkEnd w:id="382"/>
      <w:bookmarkEnd w:id="383"/>
    </w:p>
    <w:p>
      <w:pPr>
        <w:pStyle w:val="Subsection"/>
      </w:pPr>
      <w:r>
        <w:tab/>
        <w:t>(1)</w:t>
      </w:r>
      <w:r>
        <w:tab/>
        <w:t>A crowd controller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pPr>
      <w:r>
        <w:tab/>
        <w:t>Penalty: $2 000.</w:t>
      </w:r>
    </w:p>
    <w:p>
      <w:pPr>
        <w:pStyle w:val="Subsection"/>
      </w:pPr>
      <w:r>
        <w:tab/>
        <w:t>(2)</w:t>
      </w:r>
      <w:r>
        <w:tab/>
        <w:t>A failure to produce an identity card in accordance with subregulation (1) is to be taken to be a failure to comply with a direction under section 80.</w:t>
      </w:r>
    </w:p>
    <w:p>
      <w:pPr>
        <w:pStyle w:val="Subsection"/>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pPr>
      <w:r>
        <w:tab/>
        <w:t>[Regulation 48A inserted in Gazette 1 Sep 2005 p. 4083</w:t>
      </w:r>
      <w:r>
        <w:noBreakHyphen/>
        <w:t>4.]</w:t>
      </w:r>
    </w:p>
    <w:p>
      <w:pPr>
        <w:pStyle w:val="Heading5"/>
        <w:spacing w:before="200"/>
        <w:rPr>
          <w:snapToGrid w:val="0"/>
        </w:rPr>
      </w:pPr>
      <w:bookmarkStart w:id="390" w:name="_Toc117913966"/>
      <w:bookmarkStart w:id="391" w:name="_Toc120077247"/>
      <w:r>
        <w:rPr>
          <w:rStyle w:val="CharSectno"/>
        </w:rPr>
        <w:t>49</w:t>
      </w:r>
      <w:r>
        <w:rPr>
          <w:snapToGrid w:val="0"/>
        </w:rPr>
        <w:t>.</w:t>
      </w:r>
      <w:r>
        <w:rPr>
          <w:snapToGrid w:val="0"/>
        </w:rPr>
        <w:tab/>
        <w:t>Method of collecting blood</w:t>
      </w:r>
      <w:bookmarkEnd w:id="384"/>
      <w:bookmarkEnd w:id="385"/>
      <w:bookmarkEnd w:id="386"/>
      <w:bookmarkEnd w:id="387"/>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t>A blood sample is to be taken by a sample collector by venepuncture using the syringe.</w:t>
      </w:r>
    </w:p>
    <w:p>
      <w:pPr>
        <w:pStyle w:val="Subsection"/>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 xml:space="preserve">the sample collector must discharge approximately half of the sample into each of the 2 sterile bottles; </w:t>
      </w:r>
    </w:p>
    <w:p>
      <w:pPr>
        <w:pStyle w:val="Indenta"/>
        <w:rPr>
          <w:snapToGrid w:val="0"/>
        </w:rPr>
      </w:pPr>
      <w:r>
        <w:rPr>
          <w:snapToGrid w:val="0"/>
        </w:rPr>
        <w:tab/>
        <w:t>(b)</w:t>
      </w:r>
      <w:r>
        <w:rPr>
          <w:snapToGrid w:val="0"/>
        </w:rPr>
        <w:tab/>
        <w:t xml:space="preserve">the sample collector must securely tighten the cap on each bottle and shake it thoroughly (by inverting it at least 20 times) to mix the contents; </w:t>
      </w:r>
    </w:p>
    <w:p>
      <w:pPr>
        <w:pStyle w:val="Indenta"/>
        <w:spacing w:before="60"/>
        <w:rPr>
          <w:snapToGrid w:val="0"/>
        </w:rPr>
      </w:pPr>
      <w:r>
        <w:rPr>
          <w:snapToGrid w:val="0"/>
        </w:rPr>
        <w:tab/>
        <w:t>(c)</w:t>
      </w:r>
      <w:r>
        <w:rPr>
          <w:snapToGrid w:val="0"/>
        </w:rPr>
        <w:tab/>
        <w:t xml:space="preserve">the sample collector and a police officer or employee must each complete and sign the relevant parts of the approved form; </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rPr>
          <w:snapToGrid w:val="0"/>
        </w:rPr>
      </w:pPr>
      <w:bookmarkStart w:id="392" w:name="_Toc489429243"/>
      <w:bookmarkStart w:id="393" w:name="_Toc509894458"/>
      <w:bookmarkStart w:id="394" w:name="_Toc511206269"/>
      <w:bookmarkStart w:id="395" w:name="_Toc71963158"/>
      <w:bookmarkStart w:id="396" w:name="_Toc78350862"/>
      <w:bookmarkStart w:id="397" w:name="_Toc92873998"/>
      <w:bookmarkStart w:id="398" w:name="_Toc117913967"/>
      <w:bookmarkStart w:id="399" w:name="_Toc120077248"/>
      <w:r>
        <w:rPr>
          <w:rStyle w:val="CharSectno"/>
        </w:rPr>
        <w:t>50</w:t>
      </w:r>
      <w:r>
        <w:rPr>
          <w:snapToGrid w:val="0"/>
        </w:rPr>
        <w:t>.</w:t>
      </w:r>
      <w:r>
        <w:rPr>
          <w:snapToGrid w:val="0"/>
        </w:rPr>
        <w:tab/>
        <w:t>Method of collecting urine</w:t>
      </w:r>
      <w:bookmarkEnd w:id="392"/>
      <w:bookmarkEnd w:id="393"/>
      <w:bookmarkEnd w:id="394"/>
      <w:bookmarkEnd w:id="395"/>
      <w:bookmarkEnd w:id="396"/>
      <w:bookmarkEnd w:id="397"/>
      <w:bookmarkEnd w:id="398"/>
      <w:bookmarkEnd w:id="399"/>
      <w:r>
        <w:rPr>
          <w:snapToGrid w:val="0"/>
        </w:rPr>
        <w:t xml:space="preserve"> </w:t>
      </w:r>
    </w:p>
    <w:p>
      <w:pPr>
        <w:pStyle w:val="Subsection"/>
        <w:rPr>
          <w:snapToGrid w:val="0"/>
        </w:rPr>
      </w:pPr>
      <w:r>
        <w:rPr>
          <w:snapToGrid w:val="0"/>
        </w:rPr>
        <w:tab/>
        <w:t>(1)</w:t>
      </w:r>
      <w:r>
        <w:rPr>
          <w:snapToGrid w:val="0"/>
        </w:rPr>
        <w:tab/>
        <w:t>A urine sample is to be collected by a sample collector in the urine collecting container.</w:t>
      </w:r>
    </w:p>
    <w:p>
      <w:pPr>
        <w:pStyle w:val="Subsection"/>
        <w:rPr>
          <w:snapToGrid w:val="0"/>
        </w:rPr>
      </w:pPr>
      <w:r>
        <w:rPr>
          <w:snapToGrid w:val="0"/>
        </w:rPr>
        <w:tab/>
        <w:t>(2)</w:t>
      </w:r>
      <w:r>
        <w:rPr>
          <w:snapToGrid w:val="0"/>
        </w:rPr>
        <w:tab/>
        <w:t>After a urine sample has been collected — </w:t>
      </w:r>
    </w:p>
    <w:p>
      <w:pPr>
        <w:pStyle w:val="Indenta"/>
        <w:rPr>
          <w:snapToGrid w:val="0"/>
        </w:rPr>
      </w:pPr>
      <w:r>
        <w:rPr>
          <w:snapToGrid w:val="0"/>
        </w:rPr>
        <w:tab/>
        <w:t>(a)</w:t>
      </w:r>
      <w:r>
        <w:rPr>
          <w:snapToGrid w:val="0"/>
        </w:rPr>
        <w:tab/>
        <w:t xml:space="preserve">the sample collector must pour as much of the urine into each of the 2 specimen jars as is necessary to enable an analysis of the urine to be made and securely tighten the cap on each specimen jar; </w:t>
      </w:r>
    </w:p>
    <w:p>
      <w:pPr>
        <w:pStyle w:val="Indenta"/>
        <w:rPr>
          <w:snapToGrid w:val="0"/>
        </w:rPr>
      </w:pPr>
      <w:r>
        <w:rPr>
          <w:snapToGrid w:val="0"/>
        </w:rPr>
        <w:tab/>
        <w:t>(b)</w:t>
      </w:r>
      <w:r>
        <w:rPr>
          <w:snapToGrid w:val="0"/>
        </w:rPr>
        <w:tab/>
        <w:t xml:space="preserve">the sample collector and a police officer or employee must each complete and sign the relevant parts of the approved form; </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Heading5"/>
        <w:rPr>
          <w:snapToGrid w:val="0"/>
        </w:rPr>
      </w:pPr>
      <w:bookmarkStart w:id="400" w:name="_Toc489429244"/>
      <w:bookmarkStart w:id="401" w:name="_Toc509894459"/>
      <w:bookmarkStart w:id="402" w:name="_Toc511206270"/>
      <w:bookmarkStart w:id="403" w:name="_Toc71963159"/>
      <w:bookmarkStart w:id="404" w:name="_Toc78350863"/>
      <w:bookmarkStart w:id="405" w:name="_Toc92873999"/>
      <w:bookmarkStart w:id="406" w:name="_Toc117913968"/>
      <w:bookmarkStart w:id="407" w:name="_Toc120077249"/>
      <w:r>
        <w:rPr>
          <w:rStyle w:val="CharSectno"/>
        </w:rPr>
        <w:t>51</w:t>
      </w:r>
      <w:r>
        <w:rPr>
          <w:snapToGrid w:val="0"/>
        </w:rPr>
        <w:t>.</w:t>
      </w:r>
      <w:r>
        <w:rPr>
          <w:snapToGrid w:val="0"/>
        </w:rPr>
        <w:tab/>
        <w:t>Analysis of samples</w:t>
      </w:r>
      <w:bookmarkEnd w:id="400"/>
      <w:bookmarkEnd w:id="401"/>
      <w:bookmarkEnd w:id="402"/>
      <w:bookmarkEnd w:id="403"/>
      <w:bookmarkEnd w:id="404"/>
      <w:bookmarkEnd w:id="405"/>
      <w:bookmarkEnd w:id="406"/>
      <w:bookmarkEnd w:id="407"/>
      <w:r>
        <w:rPr>
          <w:snapToGrid w:val="0"/>
        </w:rPr>
        <w:t xml:space="preserve"> </w:t>
      </w:r>
    </w:p>
    <w:p>
      <w:pPr>
        <w:pStyle w:val="Subsection"/>
        <w:rPr>
          <w:snapToGrid w:val="0"/>
        </w:rPr>
      </w:pPr>
      <w:r>
        <w:rPr>
          <w:snapToGrid w:val="0"/>
        </w:rPr>
        <w:tab/>
        <w:t>(1)</w:t>
      </w:r>
      <w:r>
        <w:rPr>
          <w:snapToGrid w:val="0"/>
        </w:rPr>
        <w:tab/>
        <w:t>A police officer or employee who is given a sample under regulation 49(3)(f) or 50(2)(e) must cause that sample to be delivered promptly to the Director of the Chemistry Centre (WA) for analysis.</w:t>
      </w:r>
    </w:p>
    <w:p>
      <w:pPr>
        <w:pStyle w:val="Subsection"/>
        <w:rPr>
          <w:snapToGrid w:val="0"/>
        </w:rPr>
      </w:pPr>
      <w:r>
        <w:rPr>
          <w:snapToGrid w:val="0"/>
        </w:rPr>
        <w:tab/>
        <w:t>(2)</w:t>
      </w:r>
      <w:r>
        <w:rPr>
          <w:snapToGrid w:val="0"/>
        </w:rPr>
        <w:tab/>
        <w:t>The Director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Heading5"/>
        <w:rPr>
          <w:snapToGrid w:val="0"/>
        </w:rPr>
      </w:pPr>
      <w:bookmarkStart w:id="408" w:name="_Toc489429245"/>
      <w:bookmarkStart w:id="409" w:name="_Toc509894460"/>
      <w:bookmarkStart w:id="410" w:name="_Toc511206271"/>
      <w:bookmarkStart w:id="411" w:name="_Toc71963160"/>
      <w:bookmarkStart w:id="412" w:name="_Toc78350864"/>
      <w:bookmarkStart w:id="413" w:name="_Toc92874000"/>
      <w:bookmarkStart w:id="414" w:name="_Toc117913969"/>
      <w:bookmarkStart w:id="415" w:name="_Toc120077250"/>
      <w:r>
        <w:rPr>
          <w:rStyle w:val="CharSectno"/>
        </w:rPr>
        <w:t>52</w:t>
      </w:r>
      <w:r>
        <w:rPr>
          <w:snapToGrid w:val="0"/>
        </w:rPr>
        <w:t>.</w:t>
      </w:r>
      <w:r>
        <w:rPr>
          <w:snapToGrid w:val="0"/>
        </w:rPr>
        <w:tab/>
        <w:t>Definition of non</w:t>
      </w:r>
      <w:r>
        <w:rPr>
          <w:snapToGrid w:val="0"/>
        </w:rPr>
        <w:noBreakHyphen/>
        <w:t>complying sample</w:t>
      </w:r>
      <w:bookmarkEnd w:id="408"/>
      <w:bookmarkEnd w:id="409"/>
      <w:bookmarkEnd w:id="410"/>
      <w:bookmarkEnd w:id="411"/>
      <w:bookmarkEnd w:id="412"/>
      <w:bookmarkEnd w:id="413"/>
      <w:bookmarkEnd w:id="414"/>
      <w:bookmarkEnd w:id="415"/>
      <w:r>
        <w:rPr>
          <w:snapToGrid w:val="0"/>
        </w:rPr>
        <w:t xml:space="preserve"> </w:t>
      </w:r>
    </w:p>
    <w:p>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spacing w:before="120"/>
        <w:rPr>
          <w:snapToGrid w:val="0"/>
        </w:rPr>
      </w:pPr>
      <w:bookmarkStart w:id="416" w:name="_Toc489429246"/>
      <w:bookmarkStart w:id="417" w:name="_Toc509894461"/>
      <w:bookmarkStart w:id="418" w:name="_Toc511206272"/>
      <w:bookmarkStart w:id="419" w:name="_Toc71963161"/>
      <w:bookmarkStart w:id="420" w:name="_Toc78350865"/>
      <w:bookmarkStart w:id="421" w:name="_Toc92874001"/>
      <w:bookmarkStart w:id="422" w:name="_Toc117913970"/>
      <w:bookmarkStart w:id="423" w:name="_Toc120077251"/>
      <w:r>
        <w:rPr>
          <w:rStyle w:val="CharSectno"/>
        </w:rPr>
        <w:t>53</w:t>
      </w:r>
      <w:r>
        <w:rPr>
          <w:snapToGrid w:val="0"/>
        </w:rPr>
        <w:t>.</w:t>
      </w:r>
      <w:r>
        <w:rPr>
          <w:snapToGrid w:val="0"/>
        </w:rPr>
        <w:tab/>
        <w:t>Certificate evidence</w:t>
      </w:r>
      <w:bookmarkEnd w:id="416"/>
      <w:bookmarkEnd w:id="417"/>
      <w:bookmarkEnd w:id="418"/>
      <w:bookmarkEnd w:id="419"/>
      <w:bookmarkEnd w:id="420"/>
      <w:bookmarkEnd w:id="421"/>
      <w:bookmarkEnd w:id="422"/>
      <w:bookmarkEnd w:id="423"/>
      <w:r>
        <w:rPr>
          <w:snapToGrid w:val="0"/>
        </w:rPr>
        <w:t xml:space="preserve"> </w:t>
      </w:r>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a certificate purporting to be signed by the Director of the Chemistry Centre (WA), certifying that a named person is, or was at a particular time, approved as an analyst under regulation 46(2);</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 xml:space="preserve">identified sampling equipment comprises the items required by regulation 47; </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 xml:space="preserve">from a named person; </w:t>
      </w:r>
    </w:p>
    <w:p>
      <w:pPr>
        <w:pStyle w:val="Indenti"/>
        <w:rPr>
          <w:snapToGrid w:val="0"/>
        </w:rPr>
      </w:pPr>
      <w:r>
        <w:rPr>
          <w:snapToGrid w:val="0"/>
        </w:rPr>
        <w:tab/>
        <w:t>(ii)</w:t>
      </w:r>
      <w:r>
        <w:rPr>
          <w:snapToGrid w:val="0"/>
        </w:rPr>
        <w:tab/>
        <w:t xml:space="preserve">at a specified date and time; </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keepNext/>
        <w:keepLines/>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Heading2"/>
      </w:pPr>
      <w:bookmarkStart w:id="424" w:name="_Toc77657681"/>
      <w:bookmarkStart w:id="425" w:name="_Toc78350753"/>
      <w:bookmarkStart w:id="426" w:name="_Toc78350866"/>
      <w:bookmarkStart w:id="427" w:name="_Toc92874002"/>
      <w:bookmarkStart w:id="428" w:name="_Toc113259676"/>
      <w:bookmarkStart w:id="429" w:name="_Toc113260392"/>
      <w:bookmarkStart w:id="430" w:name="_Toc113263542"/>
      <w:bookmarkStart w:id="431" w:name="_Toc116795509"/>
      <w:bookmarkStart w:id="432" w:name="_Toc116967030"/>
      <w:bookmarkStart w:id="433" w:name="_Toc117567772"/>
      <w:bookmarkStart w:id="434" w:name="_Toc117659528"/>
      <w:bookmarkStart w:id="435" w:name="_Toc117913971"/>
      <w:bookmarkStart w:id="436" w:name="_Toc117914062"/>
      <w:bookmarkStart w:id="437" w:name="_Toc120077252"/>
      <w:r>
        <w:rPr>
          <w:rStyle w:val="CharPartNo"/>
        </w:rPr>
        <w:t>Part 8</w:t>
      </w:r>
      <w:r>
        <w:rPr>
          <w:rStyle w:val="CharDivNo"/>
        </w:rPr>
        <w:t> </w:t>
      </w:r>
      <w:r>
        <w:t>—</w:t>
      </w:r>
      <w:r>
        <w:rPr>
          <w:rStyle w:val="CharDivText"/>
        </w:rPr>
        <w:t> </w:t>
      </w:r>
      <w:r>
        <w:rPr>
          <w:rStyle w:val="CharPartText"/>
        </w:rPr>
        <w:t>Miscellaneous</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r>
        <w:rPr>
          <w:rStyle w:val="CharPartText"/>
        </w:rPr>
        <w:t xml:space="preserve"> </w:t>
      </w:r>
    </w:p>
    <w:p>
      <w:pPr>
        <w:pStyle w:val="Heading5"/>
        <w:rPr>
          <w:snapToGrid w:val="0"/>
        </w:rPr>
      </w:pPr>
      <w:bookmarkStart w:id="438" w:name="_Toc489429247"/>
      <w:bookmarkStart w:id="439" w:name="_Toc509894462"/>
      <w:bookmarkStart w:id="440" w:name="_Toc511206273"/>
      <w:bookmarkStart w:id="441" w:name="_Toc71963162"/>
      <w:bookmarkStart w:id="442" w:name="_Toc78350867"/>
      <w:bookmarkStart w:id="443" w:name="_Toc92874003"/>
      <w:bookmarkStart w:id="444" w:name="_Toc117913972"/>
      <w:bookmarkStart w:id="445" w:name="_Toc120077253"/>
      <w:r>
        <w:rPr>
          <w:rStyle w:val="CharSectno"/>
        </w:rPr>
        <w:t>54</w:t>
      </w:r>
      <w:r>
        <w:rPr>
          <w:snapToGrid w:val="0"/>
        </w:rPr>
        <w:t>.</w:t>
      </w:r>
      <w:r>
        <w:rPr>
          <w:snapToGrid w:val="0"/>
        </w:rPr>
        <w:tab/>
        <w:t>Fees</w:t>
      </w:r>
      <w:bookmarkEnd w:id="438"/>
      <w:bookmarkEnd w:id="439"/>
      <w:bookmarkEnd w:id="440"/>
      <w:bookmarkEnd w:id="441"/>
      <w:bookmarkEnd w:id="442"/>
      <w:bookmarkEnd w:id="443"/>
      <w:bookmarkEnd w:id="444"/>
      <w:bookmarkEnd w:id="445"/>
      <w:r>
        <w:rPr>
          <w:snapToGrid w:val="0"/>
        </w:rPr>
        <w:t xml:space="preserve"> </w:t>
      </w:r>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446" w:name="_Toc117913973"/>
      <w:bookmarkStart w:id="447" w:name="_Toc120077254"/>
      <w:bookmarkStart w:id="448" w:name="_Toc77657683"/>
      <w:bookmarkStart w:id="449" w:name="_Toc78350755"/>
      <w:bookmarkStart w:id="450" w:name="_Toc78350868"/>
      <w:bookmarkStart w:id="451" w:name="_Toc92874004"/>
      <w:r>
        <w:rPr>
          <w:rStyle w:val="CharSectno"/>
        </w:rPr>
        <w:t>54A</w:t>
      </w:r>
      <w:r>
        <w:t>.</w:t>
      </w:r>
      <w:r>
        <w:tab/>
        <w:t>Codes of conduct</w:t>
      </w:r>
      <w:bookmarkEnd w:id="446"/>
      <w:bookmarkEnd w:id="447"/>
    </w:p>
    <w:p>
      <w:pPr>
        <w:pStyle w:val="Subsection"/>
      </w:pPr>
      <w:r>
        <w:tab/>
        <w:t>(1)</w:t>
      </w:r>
      <w:r>
        <w:tab/>
        <w:t>A draft code of conduct may be prepared by an association representing a group of persons licensed under the Act who will be affected by the proposed code of conduct.</w:t>
      </w:r>
    </w:p>
    <w:p>
      <w:pPr>
        <w:pStyle w:val="Subsection"/>
      </w:pPr>
      <w:r>
        <w:tab/>
        <w:t>(2)</w:t>
      </w:r>
      <w:r>
        <w:tab/>
        <w:t xml:space="preserve">In preparing a draft code of conduct an association is to invite the following persons to make submissions in relation to the draft code of conduct — </w:t>
      </w:r>
    </w:p>
    <w:p>
      <w:pPr>
        <w:pStyle w:val="Indenta"/>
      </w:pPr>
      <w:r>
        <w:tab/>
        <w:t>(a)</w:t>
      </w:r>
      <w:r>
        <w:tab/>
        <w:t>the persons who are the holders of licences of a kind that would be affected by the proposed code of conduct;</w:t>
      </w:r>
    </w:p>
    <w:p>
      <w:pPr>
        <w:pStyle w:val="Indenta"/>
      </w:pPr>
      <w:r>
        <w:tab/>
        <w:t>(b)</w:t>
      </w:r>
      <w:r>
        <w:tab/>
        <w:t>the Commissioner; and</w:t>
      </w:r>
    </w:p>
    <w:p>
      <w:pPr>
        <w:pStyle w:val="Indenta"/>
      </w:pPr>
      <w:r>
        <w:tab/>
        <w:t>(c)</w:t>
      </w:r>
      <w:r>
        <w:tab/>
        <w:t>members of the public.</w:t>
      </w:r>
    </w:p>
    <w:p>
      <w:pPr>
        <w:pStyle w:val="Subsection"/>
      </w:pPr>
      <w:r>
        <w:tab/>
        <w:t>(3)</w:t>
      </w:r>
      <w:r>
        <w:tab/>
        <w:t>The Commissioner is to ensure that appropriate consultation has occurred in relation to a draft code of conduct before submitting it to the Minister.</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iCs/>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iCs/>
        </w:rPr>
        <w:t>Gazette</w:t>
      </w:r>
      <w:r>
        <w:t xml:space="preserve"> is a proper cause for disciplinary action against a licensee under section 67(1a)(d).</w:t>
      </w:r>
    </w:p>
    <w:p>
      <w:pPr>
        <w:pStyle w:val="Footnotesection"/>
      </w:pPr>
      <w:r>
        <w:tab/>
        <w:t>[Regulation 54A inserted in Gazette 1 Sep 2005 p. 4084</w:t>
      </w:r>
      <w:r>
        <w:noBreakHyphen/>
        <w:t>5.]</w:t>
      </w:r>
    </w:p>
    <w:p>
      <w:pPr>
        <w:pStyle w:val="Heading2"/>
      </w:pPr>
      <w:bookmarkStart w:id="452" w:name="_Toc113259679"/>
      <w:bookmarkStart w:id="453" w:name="_Toc113260395"/>
      <w:bookmarkStart w:id="454" w:name="_Toc113263545"/>
      <w:bookmarkStart w:id="455" w:name="_Toc116795512"/>
      <w:bookmarkStart w:id="456" w:name="_Toc116967033"/>
      <w:bookmarkStart w:id="457" w:name="_Toc117567775"/>
      <w:bookmarkStart w:id="458" w:name="_Toc117659531"/>
      <w:bookmarkStart w:id="459" w:name="_Toc117913974"/>
      <w:bookmarkStart w:id="460" w:name="_Toc117914065"/>
      <w:bookmarkStart w:id="461" w:name="_Toc120077255"/>
      <w:r>
        <w:rPr>
          <w:rStyle w:val="CharPartNo"/>
        </w:rPr>
        <w:t>Part 9</w:t>
      </w:r>
      <w:r>
        <w:rPr>
          <w:rStyle w:val="CharDivNo"/>
        </w:rPr>
        <w:t> </w:t>
      </w:r>
      <w:r>
        <w:t>—</w:t>
      </w:r>
      <w:r>
        <w:rPr>
          <w:rStyle w:val="CharDivText"/>
        </w:rPr>
        <w:t> </w:t>
      </w:r>
      <w:r>
        <w:rPr>
          <w:rStyle w:val="CharPartText"/>
        </w:rPr>
        <w:t>Transitional provisions</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r>
        <w:rPr>
          <w:rStyle w:val="CharPartText"/>
        </w:rPr>
        <w:t xml:space="preserve"> </w:t>
      </w:r>
    </w:p>
    <w:p>
      <w:pPr>
        <w:pStyle w:val="Heading5"/>
        <w:rPr>
          <w:snapToGrid w:val="0"/>
        </w:rPr>
      </w:pPr>
      <w:bookmarkStart w:id="462" w:name="_Toc489429248"/>
      <w:bookmarkStart w:id="463" w:name="_Toc509894463"/>
      <w:bookmarkStart w:id="464" w:name="_Toc511206274"/>
      <w:bookmarkStart w:id="465" w:name="_Toc71963163"/>
      <w:bookmarkStart w:id="466" w:name="_Toc78350869"/>
      <w:bookmarkStart w:id="467" w:name="_Toc92874005"/>
      <w:bookmarkStart w:id="468" w:name="_Toc117913975"/>
      <w:bookmarkStart w:id="469" w:name="_Toc120077256"/>
      <w:r>
        <w:rPr>
          <w:rStyle w:val="CharSectno"/>
        </w:rPr>
        <w:t>55</w:t>
      </w:r>
      <w:r>
        <w:rPr>
          <w:snapToGrid w:val="0"/>
        </w:rPr>
        <w:t>.</w:t>
      </w:r>
      <w:r>
        <w:rPr>
          <w:snapToGrid w:val="0"/>
        </w:rPr>
        <w:tab/>
        <w:t>Existing licences</w:t>
      </w:r>
      <w:bookmarkEnd w:id="462"/>
      <w:bookmarkEnd w:id="463"/>
      <w:bookmarkEnd w:id="464"/>
      <w:bookmarkEnd w:id="465"/>
      <w:bookmarkEnd w:id="466"/>
      <w:bookmarkEnd w:id="467"/>
      <w:bookmarkEnd w:id="468"/>
      <w:bookmarkEnd w:id="469"/>
      <w:r>
        <w:rPr>
          <w:snapToGrid w:val="0"/>
        </w:rPr>
        <w:t xml:space="preserve"> </w:t>
      </w:r>
    </w:p>
    <w:p>
      <w:pPr>
        <w:pStyle w:val="Subsection"/>
        <w:rPr>
          <w:snapToGrid w:val="0"/>
        </w:rPr>
      </w:pPr>
      <w:r>
        <w:rPr>
          <w:snapToGrid w:val="0"/>
        </w:rPr>
        <w:tab/>
        <w:t>(1)</w:t>
      </w:r>
      <w:r>
        <w:rPr>
          <w:snapToGrid w:val="0"/>
        </w:rPr>
        <w:tab/>
        <w:t xml:space="preserve">A licence that is to be treated, under clause 2(3) of Schedule 1 to the Act, as a security officer’s licence is to be treated as if it had been endorsed under section 24 if the licensee was licensed under the </w:t>
      </w:r>
      <w:r>
        <w:rPr>
          <w:i/>
          <w:snapToGrid w:val="0"/>
        </w:rPr>
        <w:t>Security Agents Act 1976 </w:t>
      </w:r>
      <w:r>
        <w:rPr>
          <w:snapToGrid w:val="0"/>
          <w:vertAlign w:val="superscript"/>
        </w:rPr>
        <w:t>2</w:t>
      </w:r>
      <w:r>
        <w:rPr>
          <w:i/>
          <w:snapToGrid w:val="0"/>
        </w:rPr>
        <w:t xml:space="preserve"> </w:t>
      </w:r>
      <w:r>
        <w:rPr>
          <w:snapToGrid w:val="0"/>
        </w:rPr>
        <w:t xml:space="preserve">to carry on the class of business described in regulation 6(b)(ii) of the </w:t>
      </w:r>
      <w:r>
        <w:rPr>
          <w:i/>
          <w:snapToGrid w:val="0"/>
        </w:rPr>
        <w:t>Security Agents Regulations 1977 </w:t>
      </w:r>
      <w:r>
        <w:rPr>
          <w:snapToGrid w:val="0"/>
          <w:vertAlign w:val="superscript"/>
        </w:rPr>
        <w:t>2</w:t>
      </w:r>
      <w:r>
        <w:rPr>
          <w:snapToGrid w:val="0"/>
        </w:rPr>
        <w:t>, and this Act applies to that endorsement as if it had been issued under this Act.</w:t>
      </w:r>
    </w:p>
    <w:p>
      <w:pPr>
        <w:pStyle w:val="Subsection"/>
        <w:rPr>
          <w:snapToGrid w:val="0"/>
        </w:rPr>
      </w:pPr>
      <w:r>
        <w:rPr>
          <w:snapToGrid w:val="0"/>
        </w:rPr>
        <w:tab/>
        <w:t>(2)</w:t>
      </w:r>
      <w:r>
        <w:rPr>
          <w:snapToGrid w:val="0"/>
        </w:rPr>
        <w:tab/>
        <w:t xml:space="preserve">A licence for a security guard under the </w:t>
      </w:r>
      <w:r>
        <w:rPr>
          <w:i/>
          <w:snapToGrid w:val="0"/>
        </w:rPr>
        <w:t>Security Agents Act 1976 </w:t>
      </w:r>
      <w:r>
        <w:rPr>
          <w:snapToGrid w:val="0"/>
          <w:vertAlign w:val="superscript"/>
        </w:rPr>
        <w:t>2</w:t>
      </w:r>
      <w:r>
        <w:rPr>
          <w:i/>
          <w:snapToGrid w:val="0"/>
        </w:rPr>
        <w:t xml:space="preserve"> </w:t>
      </w:r>
      <w:r>
        <w:rPr>
          <w:snapToGrid w:val="0"/>
        </w:rPr>
        <w:t xml:space="preserve">is to be treated as if it were a security consultant’s licence if the licensee was licensed under that Act to carry on the class of business described in regulation 6(b)(iv) of the </w:t>
      </w:r>
      <w:r>
        <w:rPr>
          <w:i/>
          <w:snapToGrid w:val="0"/>
        </w:rPr>
        <w:t>Security Agents Regulations 1977 </w:t>
      </w:r>
      <w:r>
        <w:rPr>
          <w:snapToGrid w:val="0"/>
          <w:vertAlign w:val="superscript"/>
        </w:rPr>
        <w:t>2</w:t>
      </w:r>
      <w:r>
        <w:rPr>
          <w:snapToGrid w:val="0"/>
        </w:rPr>
        <w:t>, and this Act applies to that licence as if it had been issued under this Act.</w:t>
      </w:r>
    </w:p>
    <w:p>
      <w:pPr>
        <w:pStyle w:val="Subsection"/>
        <w:rPr>
          <w:snapToGrid w:val="0"/>
        </w:rPr>
      </w:pPr>
      <w:r>
        <w:rPr>
          <w:snapToGrid w:val="0"/>
        </w:rPr>
        <w:tab/>
        <w:t>(3)</w:t>
      </w:r>
      <w:r>
        <w:rPr>
          <w:snapToGrid w:val="0"/>
        </w:rPr>
        <w:tab/>
        <w:t xml:space="preserve">A licence for a security agent or security guard under the </w:t>
      </w:r>
      <w:r>
        <w:rPr>
          <w:i/>
          <w:snapToGrid w:val="0"/>
        </w:rPr>
        <w:t>Security Agents Act 1976 </w:t>
      </w:r>
      <w:r>
        <w:rPr>
          <w:snapToGrid w:val="0"/>
          <w:vertAlign w:val="superscript"/>
        </w:rPr>
        <w:t>2</w:t>
      </w:r>
      <w:r>
        <w:rPr>
          <w:i/>
          <w:snapToGrid w:val="0"/>
        </w:rPr>
        <w:t xml:space="preserve"> </w:t>
      </w:r>
      <w:r>
        <w:rPr>
          <w:snapToGrid w:val="0"/>
        </w:rPr>
        <w:t xml:space="preserve">is to be treated as if it were a security installer’s licence if the licensee was licensed under that Act to carry on one or more of the classes of business described in regulation 6(b)(v) to (ix) of the </w:t>
      </w:r>
      <w:r>
        <w:rPr>
          <w:i/>
          <w:snapToGrid w:val="0"/>
        </w:rPr>
        <w:t>Security Agents Regulations 1977 </w:t>
      </w:r>
      <w:r>
        <w:rPr>
          <w:snapToGrid w:val="0"/>
          <w:vertAlign w:val="superscript"/>
        </w:rPr>
        <w:t>2</w:t>
      </w:r>
      <w:r>
        <w:rPr>
          <w:snapToGrid w:val="0"/>
        </w:rPr>
        <w:t>, and this Act applies to that licence as if it had been issued under this Act.</w:t>
      </w:r>
    </w:p>
    <w:p>
      <w:pPr>
        <w:pStyle w:val="Heading5"/>
        <w:rPr>
          <w:snapToGrid w:val="0"/>
        </w:rPr>
      </w:pPr>
      <w:bookmarkStart w:id="470" w:name="_Toc489429249"/>
      <w:bookmarkStart w:id="471" w:name="_Toc509894464"/>
      <w:bookmarkStart w:id="472" w:name="_Toc511206275"/>
      <w:bookmarkStart w:id="473" w:name="_Toc71963164"/>
      <w:bookmarkStart w:id="474" w:name="_Toc78350870"/>
      <w:bookmarkStart w:id="475" w:name="_Toc92874006"/>
      <w:bookmarkStart w:id="476" w:name="_Toc117913976"/>
      <w:bookmarkStart w:id="477" w:name="_Toc120077257"/>
      <w:r>
        <w:rPr>
          <w:rStyle w:val="CharSectno"/>
        </w:rPr>
        <w:t>56</w:t>
      </w:r>
      <w:r>
        <w:rPr>
          <w:snapToGrid w:val="0"/>
        </w:rPr>
        <w:t>.</w:t>
      </w:r>
      <w:r>
        <w:rPr>
          <w:snapToGrid w:val="0"/>
        </w:rPr>
        <w:tab/>
        <w:t>Continuation of conditions</w:t>
      </w:r>
      <w:bookmarkEnd w:id="470"/>
      <w:bookmarkEnd w:id="471"/>
      <w:bookmarkEnd w:id="472"/>
      <w:bookmarkEnd w:id="473"/>
      <w:bookmarkEnd w:id="474"/>
      <w:bookmarkEnd w:id="475"/>
      <w:bookmarkEnd w:id="476"/>
      <w:bookmarkEnd w:id="477"/>
      <w:r>
        <w:rPr>
          <w:snapToGrid w:val="0"/>
        </w:rPr>
        <w:t xml:space="preserve"> </w:t>
      </w:r>
    </w:p>
    <w:p>
      <w:pPr>
        <w:pStyle w:val="Subsection"/>
        <w:rPr>
          <w:snapToGrid w:val="0"/>
        </w:rPr>
      </w:pPr>
      <w:r>
        <w:rPr>
          <w:snapToGrid w:val="0"/>
        </w:rPr>
        <w:tab/>
      </w:r>
      <w:r>
        <w:rPr>
          <w:snapToGrid w:val="0"/>
        </w:rPr>
        <w:tab/>
        <w:t xml:space="preserve">Where a licence under the </w:t>
      </w:r>
      <w:r>
        <w:rPr>
          <w:i/>
          <w:snapToGrid w:val="0"/>
        </w:rPr>
        <w:t>Security Agents Act 1976 </w:t>
      </w:r>
      <w:r>
        <w:rPr>
          <w:snapToGrid w:val="0"/>
          <w:vertAlign w:val="superscript"/>
        </w:rPr>
        <w:t>2</w:t>
      </w:r>
      <w:r>
        <w:rPr>
          <w:snapToGrid w:val="0"/>
        </w:rPr>
        <w:t xml:space="preserve"> or the </w:t>
      </w:r>
      <w:r>
        <w:rPr>
          <w:i/>
          <w:snapToGrid w:val="0"/>
        </w:rPr>
        <w:t>Inquiry Agents Licensing Act 1954 </w:t>
      </w:r>
      <w:r>
        <w:rPr>
          <w:snapToGrid w:val="0"/>
          <w:vertAlign w:val="superscript"/>
        </w:rPr>
        <w:t>2</w:t>
      </w:r>
      <w:r>
        <w:rPr>
          <w:snapToGrid w:val="0"/>
        </w:rPr>
        <w:t xml:space="preserve"> is to be treated as a licence under this Act all the conditions and restrictions that applied to the licence under the repealed Act continue to apply to the licence until it is renewed under this Act.</w:t>
      </w:r>
    </w:p>
    <w:p>
      <w:pPr>
        <w:pStyle w:val="Heading5"/>
        <w:rPr>
          <w:snapToGrid w:val="0"/>
        </w:rPr>
      </w:pPr>
      <w:bookmarkStart w:id="478" w:name="_Toc489429250"/>
      <w:bookmarkStart w:id="479" w:name="_Toc509894465"/>
      <w:bookmarkStart w:id="480" w:name="_Toc511206276"/>
      <w:bookmarkStart w:id="481" w:name="_Toc71963165"/>
      <w:bookmarkStart w:id="482" w:name="_Toc78350871"/>
      <w:bookmarkStart w:id="483" w:name="_Toc92874007"/>
      <w:bookmarkStart w:id="484" w:name="_Toc117913977"/>
      <w:bookmarkStart w:id="485" w:name="_Toc120077258"/>
      <w:r>
        <w:rPr>
          <w:rStyle w:val="CharSectno"/>
        </w:rPr>
        <w:t>57</w:t>
      </w:r>
      <w:r>
        <w:rPr>
          <w:snapToGrid w:val="0"/>
        </w:rPr>
        <w:t>.</w:t>
      </w:r>
      <w:r>
        <w:rPr>
          <w:snapToGrid w:val="0"/>
        </w:rPr>
        <w:tab/>
        <w:t>Uniforms and vehicle markings</w:t>
      </w:r>
      <w:bookmarkEnd w:id="478"/>
      <w:bookmarkEnd w:id="479"/>
      <w:bookmarkEnd w:id="480"/>
      <w:bookmarkEnd w:id="481"/>
      <w:bookmarkEnd w:id="482"/>
      <w:bookmarkEnd w:id="483"/>
      <w:bookmarkEnd w:id="484"/>
      <w:bookmarkEnd w:id="485"/>
      <w:r>
        <w:rPr>
          <w:snapToGrid w:val="0"/>
        </w:rPr>
        <w:t xml:space="preserve"> </w:t>
      </w:r>
    </w:p>
    <w:p>
      <w:pPr>
        <w:pStyle w:val="Subsection"/>
        <w:rPr>
          <w:snapToGrid w:val="0"/>
        </w:rPr>
      </w:pPr>
      <w:r>
        <w:rPr>
          <w:snapToGrid w:val="0"/>
        </w:rPr>
        <w:tab/>
        <w:t>(1)</w:t>
      </w:r>
      <w:r>
        <w:rPr>
          <w:snapToGrid w:val="0"/>
        </w:rPr>
        <w:tab/>
        <w:t xml:space="preserve">If, immediately before the commencement of these regulations, a certificate was in force under section 41(6) of the </w:t>
      </w:r>
      <w:r>
        <w:rPr>
          <w:i/>
          <w:snapToGrid w:val="0"/>
        </w:rPr>
        <w:t>Security Agents Act 1976 </w:t>
      </w:r>
      <w:r>
        <w:rPr>
          <w:snapToGrid w:val="0"/>
          <w:vertAlign w:val="superscript"/>
        </w:rPr>
        <w:t xml:space="preserve">2 </w:t>
      </w:r>
      <w:r>
        <w:rPr>
          <w:snapToGrid w:val="0"/>
        </w:rPr>
        <w:t>in respect of a uniform or vehicle marking, that uniform or vehicle marking is taken to have been approved by the Commissioner under regulation 22 unless cancelled under regulation 22(4).</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 licence for a security agent under the </w:t>
      </w:r>
      <w:r>
        <w:rPr>
          <w:i/>
          <w:snapToGrid w:val="0"/>
        </w:rPr>
        <w:t>Security Agents Act 1976 </w:t>
      </w:r>
      <w:r>
        <w:rPr>
          <w:snapToGrid w:val="0"/>
          <w:vertAlign w:val="superscript"/>
        </w:rPr>
        <w:t>2</w:t>
      </w:r>
      <w:r>
        <w:rPr>
          <w:snapToGrid w:val="0"/>
        </w:rPr>
        <w:t xml:space="preserve"> is to be treated, under clause 2(3) of Schedule 1 to the Act, as a security agent’s licence; and </w:t>
      </w:r>
    </w:p>
    <w:p>
      <w:pPr>
        <w:pStyle w:val="Indenta"/>
        <w:rPr>
          <w:snapToGrid w:val="0"/>
        </w:rPr>
      </w:pPr>
      <w:r>
        <w:rPr>
          <w:snapToGrid w:val="0"/>
        </w:rPr>
        <w:tab/>
        <w:t>(b)</w:t>
      </w:r>
      <w:r>
        <w:rPr>
          <w:snapToGrid w:val="0"/>
        </w:rPr>
        <w:tab/>
        <w:t xml:space="preserve">the licensee does not have a certificate issued under section 41(6) of the </w:t>
      </w:r>
      <w:r>
        <w:rPr>
          <w:i/>
          <w:snapToGrid w:val="0"/>
        </w:rPr>
        <w:t>Security Agents Act 1976 </w:t>
      </w:r>
      <w:r>
        <w:rPr>
          <w:snapToGrid w:val="0"/>
          <w:vertAlign w:val="superscript"/>
        </w:rPr>
        <w:t>2</w:t>
      </w:r>
      <w:r>
        <w:rPr>
          <w:snapToGrid w:val="0"/>
        </w:rPr>
        <w:t xml:space="preserve"> in relation to a uniform or vehicle markings, </w:t>
      </w:r>
    </w:p>
    <w:p>
      <w:pPr>
        <w:pStyle w:val="Subsection"/>
        <w:rPr>
          <w:snapToGrid w:val="0"/>
        </w:rPr>
      </w:pPr>
      <w:r>
        <w:rPr>
          <w:snapToGrid w:val="0"/>
        </w:rPr>
        <w:tab/>
      </w:r>
      <w:r>
        <w:rPr>
          <w:snapToGrid w:val="0"/>
        </w:rPr>
        <w:tab/>
        <w:t>any licence condition under Schedule 1 as to a matter for which the licensee does not have such a certificate does not apply until — </w:t>
      </w:r>
    </w:p>
    <w:p>
      <w:pPr>
        <w:pStyle w:val="Indenta"/>
        <w:rPr>
          <w:snapToGrid w:val="0"/>
        </w:rPr>
      </w:pPr>
      <w:r>
        <w:rPr>
          <w:snapToGrid w:val="0"/>
        </w:rPr>
        <w:tab/>
        <w:t>(c)</w:t>
      </w:r>
      <w:r>
        <w:rPr>
          <w:snapToGrid w:val="0"/>
        </w:rPr>
        <w:tab/>
        <w:t>the licence is renewed under this Act; or</w:t>
      </w:r>
    </w:p>
    <w:p>
      <w:pPr>
        <w:pStyle w:val="Indenta"/>
        <w:rPr>
          <w:snapToGrid w:val="0"/>
        </w:rPr>
      </w:pPr>
      <w:r>
        <w:rPr>
          <w:snapToGrid w:val="0"/>
        </w:rPr>
        <w:tab/>
        <w:t>(d)</w:t>
      </w:r>
      <w:r>
        <w:rPr>
          <w:snapToGrid w:val="0"/>
        </w:rPr>
        <w:tab/>
        <w:t xml:space="preserve">the licensee has obtained an approval under regulation 22 in relation to that matter.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486" w:name="_Toc71963166"/>
    </w:p>
    <w:p>
      <w:pPr>
        <w:pStyle w:val="yScheduleHeading"/>
      </w:pPr>
      <w:bookmarkStart w:id="487" w:name="_Toc78350872"/>
      <w:bookmarkStart w:id="488" w:name="_Toc92874008"/>
      <w:bookmarkStart w:id="489" w:name="_Toc113259683"/>
      <w:bookmarkStart w:id="490" w:name="_Toc113260399"/>
      <w:bookmarkStart w:id="491" w:name="_Toc113263549"/>
      <w:bookmarkStart w:id="492" w:name="_Toc116795516"/>
      <w:bookmarkStart w:id="493" w:name="_Toc116967037"/>
      <w:bookmarkStart w:id="494" w:name="_Toc117567779"/>
      <w:bookmarkStart w:id="495" w:name="_Toc117659535"/>
      <w:bookmarkStart w:id="496" w:name="_Toc117913978"/>
      <w:bookmarkStart w:id="497" w:name="_Toc117914069"/>
      <w:bookmarkStart w:id="498" w:name="_Toc120077259"/>
      <w:r>
        <w:rPr>
          <w:rStyle w:val="CharSchNo"/>
        </w:rPr>
        <w:t>Schedule 1</w:t>
      </w:r>
      <w:r>
        <w:t> — </w:t>
      </w:r>
      <w:r>
        <w:rPr>
          <w:rStyle w:val="CharSchText"/>
        </w:rPr>
        <w:t>Conditions and restrictions attached to licences</w:t>
      </w:r>
      <w:bookmarkEnd w:id="486"/>
      <w:bookmarkEnd w:id="487"/>
      <w:bookmarkEnd w:id="488"/>
      <w:bookmarkEnd w:id="489"/>
      <w:bookmarkEnd w:id="490"/>
      <w:bookmarkEnd w:id="491"/>
      <w:bookmarkEnd w:id="492"/>
      <w:bookmarkEnd w:id="493"/>
      <w:bookmarkEnd w:id="494"/>
      <w:bookmarkEnd w:id="495"/>
      <w:bookmarkEnd w:id="496"/>
      <w:bookmarkEnd w:id="497"/>
      <w:bookmarkEnd w:id="498"/>
    </w:p>
    <w:p>
      <w:pPr>
        <w:pStyle w:val="yShoulderClause"/>
        <w:rPr>
          <w:snapToGrid w:val="0"/>
        </w:rPr>
      </w:pPr>
      <w:r>
        <w:rPr>
          <w:snapToGrid w:val="0"/>
        </w:rPr>
        <w:t>[Regulation 21]</w:t>
      </w:r>
    </w:p>
    <w:p>
      <w:pPr>
        <w:pStyle w:val="yHeading3"/>
        <w:rPr>
          <w:snapToGrid w:val="0"/>
        </w:rPr>
      </w:pPr>
      <w:bookmarkStart w:id="499" w:name="_Toc71963167"/>
      <w:bookmarkStart w:id="500" w:name="_Toc78350873"/>
      <w:bookmarkStart w:id="501" w:name="_Toc92874009"/>
      <w:bookmarkStart w:id="502" w:name="_Toc113259684"/>
      <w:bookmarkStart w:id="503" w:name="_Toc113260400"/>
      <w:bookmarkStart w:id="504" w:name="_Toc113263550"/>
      <w:bookmarkStart w:id="505" w:name="_Toc116795517"/>
      <w:bookmarkStart w:id="506" w:name="_Toc116967038"/>
      <w:bookmarkStart w:id="507" w:name="_Toc117567780"/>
      <w:bookmarkStart w:id="508" w:name="_Toc117659536"/>
      <w:bookmarkStart w:id="509" w:name="_Toc117913979"/>
      <w:bookmarkStart w:id="510" w:name="_Toc117914070"/>
      <w:bookmarkStart w:id="511" w:name="_Toc120077260"/>
      <w:r>
        <w:rPr>
          <w:rStyle w:val="CharSDivNo"/>
        </w:rPr>
        <w:t>Division 1</w:t>
      </w:r>
      <w:r>
        <w:rPr>
          <w:snapToGrid w:val="0"/>
        </w:rPr>
        <w:t> — </w:t>
      </w:r>
      <w:r>
        <w:rPr>
          <w:rStyle w:val="CharSDivText"/>
        </w:rPr>
        <w:t>Security agent’s licence</w:t>
      </w:r>
      <w:bookmarkEnd w:id="499"/>
      <w:bookmarkEnd w:id="500"/>
      <w:bookmarkEnd w:id="501"/>
      <w:bookmarkEnd w:id="502"/>
      <w:bookmarkEnd w:id="503"/>
      <w:bookmarkEnd w:id="504"/>
      <w:bookmarkEnd w:id="505"/>
      <w:bookmarkEnd w:id="506"/>
      <w:bookmarkEnd w:id="507"/>
      <w:bookmarkEnd w:id="508"/>
      <w:bookmarkEnd w:id="509"/>
      <w:bookmarkEnd w:id="510"/>
      <w:bookmarkEnd w:id="511"/>
    </w:p>
    <w:p>
      <w:pPr>
        <w:pStyle w:val="yHeading5"/>
        <w:outlineLvl w:val="9"/>
        <w:rPr>
          <w:snapToGrid w:val="0"/>
        </w:rPr>
      </w:pPr>
      <w:bookmarkStart w:id="512" w:name="_Toc509894466"/>
      <w:bookmarkStart w:id="513" w:name="_Toc511206277"/>
      <w:bookmarkStart w:id="514" w:name="_Toc71963168"/>
      <w:bookmarkStart w:id="515" w:name="_Toc78350874"/>
      <w:bookmarkStart w:id="516" w:name="_Toc92874010"/>
      <w:bookmarkStart w:id="517" w:name="_Toc117913980"/>
      <w:bookmarkStart w:id="518" w:name="_Toc120077261"/>
      <w:r>
        <w:rPr>
          <w:rStyle w:val="CharSClsNo"/>
        </w:rPr>
        <w:t>1</w:t>
      </w:r>
      <w:r>
        <w:rPr>
          <w:snapToGrid w:val="0"/>
        </w:rPr>
        <w:t>.</w:t>
      </w:r>
      <w:r>
        <w:rPr>
          <w:snapToGrid w:val="0"/>
        </w:rPr>
        <w:tab/>
        <w:t>Notification of change of personnel</w:t>
      </w:r>
      <w:bookmarkEnd w:id="512"/>
      <w:bookmarkEnd w:id="513"/>
      <w:bookmarkEnd w:id="514"/>
      <w:bookmarkEnd w:id="515"/>
      <w:bookmarkEnd w:id="516"/>
      <w:bookmarkEnd w:id="517"/>
      <w:bookmarkEnd w:id="518"/>
      <w:r>
        <w:rPr>
          <w:snapToGrid w:val="0"/>
        </w:rPr>
        <w:t xml:space="preserve"> </w:t>
      </w:r>
    </w:p>
    <w:p>
      <w:pPr>
        <w:pStyle w:val="ySubsection"/>
        <w:rPr>
          <w:snapToGrid w:val="0"/>
        </w:rPr>
      </w:pPr>
      <w:r>
        <w:rPr>
          <w:snapToGrid w:val="0"/>
        </w:rPr>
        <w:tab/>
        <w:t>(1)</w:t>
      </w:r>
      <w:r>
        <w:rPr>
          <w:snapToGrid w:val="0"/>
        </w:rPr>
        <w:tab/>
        <w:t>A security agent must notify the Commissioner —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security consultant or security installer commences or ceases to be employed in the business. </w:t>
      </w:r>
    </w:p>
    <w:p>
      <w:pPr>
        <w:pStyle w:val="ySubsection"/>
        <w:rPr>
          <w:snapToGrid w:val="0"/>
        </w:rPr>
      </w:pPr>
      <w:r>
        <w:rPr>
          <w:snapToGrid w:val="0"/>
        </w:rPr>
        <w:tab/>
        <w:t>(2)</w:t>
      </w:r>
      <w:r>
        <w:rPr>
          <w:snapToGrid w:val="0"/>
        </w:rPr>
        <w:tab/>
        <w:t>The notice under subclause (1) is to be in writing and given to the Commissioner within 21 days of the occurrence to which it relates.</w:t>
      </w:r>
    </w:p>
    <w:p>
      <w:pPr>
        <w:pStyle w:val="yHeading5"/>
      </w:pPr>
      <w:bookmarkStart w:id="519" w:name="_Toc117913981"/>
      <w:bookmarkStart w:id="520" w:name="_Toc120077262"/>
      <w:bookmarkStart w:id="521" w:name="_Toc509894468"/>
      <w:bookmarkStart w:id="522" w:name="_Toc511206279"/>
      <w:bookmarkStart w:id="523" w:name="_Toc71963170"/>
      <w:bookmarkStart w:id="524" w:name="_Toc78350876"/>
      <w:bookmarkStart w:id="525" w:name="_Toc92874012"/>
      <w:r>
        <w:rPr>
          <w:rStyle w:val="CharSClsNo"/>
        </w:rPr>
        <w:t>2</w:t>
      </w:r>
      <w:r>
        <w:rPr>
          <w:bCs/>
        </w:rPr>
        <w:t>.</w:t>
      </w:r>
      <w:r>
        <w:rPr>
          <w:bCs/>
        </w:rPr>
        <w:tab/>
        <w:t>Uniforms</w:t>
      </w:r>
      <w:bookmarkEnd w:id="519"/>
      <w:bookmarkEnd w:id="520"/>
    </w:p>
    <w:p>
      <w:pPr>
        <w:pStyle w:val="ySubsection"/>
      </w:pPr>
      <w:r>
        <w:tab/>
        <w:t>(1)</w:t>
      </w:r>
      <w:r>
        <w:tab/>
        <w:t>All security officers must, at all times while performing licensed activities for a business, wear a uniform that is of a type approved by the Commissioner.</w:t>
      </w:r>
    </w:p>
    <w:p>
      <w:pPr>
        <w:pStyle w:val="ySubsection"/>
      </w:pPr>
      <w:r>
        <w:tab/>
        <w:t>(2)</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(3)</w:t>
      </w:r>
      <w:r>
        <w:tab/>
        <w:t>A security officer to whom subclause (2)(a) or (b) applies must not, while performing licensed activities for a business, wear a uniform that is confusingly similar to a uniform in use by a police force.</w:t>
      </w:r>
    </w:p>
    <w:p>
      <w:pPr>
        <w:pStyle w:val="yFootnotesection"/>
      </w:pPr>
      <w:r>
        <w:tab/>
        <w:t>[Clause 2 inserted in Gazette 1 Sep 2005 p. 4085.]</w:t>
      </w:r>
    </w:p>
    <w:p>
      <w:pPr>
        <w:pStyle w:val="yHeading5"/>
      </w:pPr>
      <w:bookmarkStart w:id="526" w:name="_Toc117913982"/>
      <w:bookmarkStart w:id="527" w:name="_Toc120077263"/>
      <w:bookmarkStart w:id="528" w:name="_Toc509894469"/>
      <w:bookmarkStart w:id="529" w:name="_Toc511206280"/>
      <w:bookmarkStart w:id="530" w:name="_Toc71963171"/>
      <w:bookmarkStart w:id="531" w:name="_Toc78350877"/>
      <w:bookmarkStart w:id="532" w:name="_Toc92874013"/>
      <w:bookmarkEnd w:id="521"/>
      <w:bookmarkEnd w:id="522"/>
      <w:bookmarkEnd w:id="523"/>
      <w:bookmarkEnd w:id="524"/>
      <w:bookmarkEnd w:id="525"/>
      <w:r>
        <w:rPr>
          <w:rStyle w:val="CharSClsNo"/>
        </w:rPr>
        <w:t>3</w:t>
      </w:r>
      <w:r>
        <w:rPr>
          <w:bCs/>
        </w:rPr>
        <w:t>.</w:t>
      </w:r>
      <w:r>
        <w:rPr>
          <w:bCs/>
        </w:rPr>
        <w:tab/>
        <w:t>Vehicle markings</w:t>
      </w:r>
      <w:bookmarkEnd w:id="526"/>
      <w:bookmarkEnd w:id="527"/>
    </w:p>
    <w:p>
      <w:pPr>
        <w:pStyle w:val="ySubsection"/>
      </w:pPr>
      <w:r>
        <w:tab/>
      </w:r>
      <w:r>
        <w:tab/>
        <w:t>A marking on a vehicle used by a security officer while performing licensed activities for a business must not be confusingly similar to a vehicle marking in use by a police force.</w:t>
      </w:r>
    </w:p>
    <w:p>
      <w:pPr>
        <w:pStyle w:val="yFootnotesection"/>
      </w:pPr>
      <w:r>
        <w:tab/>
        <w:t>[Clause 3 inserted in Gazette 1 Sep 2005 p. 4086.]</w:t>
      </w:r>
    </w:p>
    <w:p>
      <w:pPr>
        <w:pStyle w:val="yHeading5"/>
        <w:rPr>
          <w:snapToGrid w:val="0"/>
        </w:rPr>
      </w:pPr>
      <w:bookmarkStart w:id="533" w:name="_Toc117913983"/>
      <w:bookmarkStart w:id="534" w:name="_Toc120077264"/>
      <w:r>
        <w:rPr>
          <w:rStyle w:val="CharSClsNo"/>
        </w:rPr>
        <w:t>4</w:t>
      </w:r>
      <w:r>
        <w:rPr>
          <w:snapToGrid w:val="0"/>
        </w:rPr>
        <w:t>.</w:t>
      </w:r>
      <w:r>
        <w:rPr>
          <w:snapToGrid w:val="0"/>
        </w:rPr>
        <w:tab/>
        <w:t>Armed security officers</w:t>
      </w:r>
      <w:bookmarkEnd w:id="528"/>
      <w:bookmarkEnd w:id="529"/>
      <w:bookmarkEnd w:id="530"/>
      <w:bookmarkEnd w:id="531"/>
      <w:bookmarkEnd w:id="532"/>
      <w:bookmarkEnd w:id="533"/>
      <w:bookmarkEnd w:id="534"/>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for the business unless — </w:t>
      </w:r>
    </w:p>
    <w:p>
      <w:pPr>
        <w:pStyle w:val="yIndenta"/>
        <w:rPr>
          <w:snapToGrid w:val="0"/>
        </w:rPr>
      </w:pPr>
      <w:r>
        <w:rPr>
          <w:snapToGrid w:val="0"/>
        </w:rPr>
        <w:tab/>
        <w:t>(a)</w:t>
      </w:r>
      <w:r>
        <w:rPr>
          <w:snapToGrid w:val="0"/>
        </w:rPr>
        <w:tab/>
        <w:t xml:space="preserve">the security officer’s licence is endorsed under section 24 for that activity or the security officer holds a permit under section 25 for the relevant occasion; </w:t>
      </w:r>
    </w:p>
    <w:p>
      <w:pPr>
        <w:pStyle w:val="yIndenta"/>
        <w:rPr>
          <w:snapToGrid w:val="0"/>
        </w:rPr>
      </w:pPr>
      <w:r>
        <w:rPr>
          <w:snapToGrid w:val="0"/>
        </w:rPr>
        <w:tab/>
        <w:t>(b)</w:t>
      </w:r>
      <w:r>
        <w:rPr>
          <w:snapToGrid w:val="0"/>
        </w:rPr>
        <w:tab/>
        <w:t xml:space="preserve">the business is an organization which holds a licence, permit or approval, 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is a firearm to which the licence referred to in paragraph (b) applies.</w:t>
      </w:r>
    </w:p>
    <w:p>
      <w:pPr>
        <w:pStyle w:val="ySubsection"/>
        <w:rPr>
          <w:snapToGrid w:val="0"/>
        </w:rPr>
      </w:pPr>
      <w:r>
        <w:rPr>
          <w:snapToGrid w:val="0"/>
        </w:rPr>
        <w:tab/>
        <w:t>(2)</w:t>
      </w:r>
      <w:r>
        <w:rPr>
          <w:snapToGrid w:val="0"/>
        </w:rPr>
        <w:tab/>
        <w:t>A security officer must not be in possession of a baton while performing any licensed activity for the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 for the business.</w:t>
      </w:r>
    </w:p>
    <w:p>
      <w:pPr>
        <w:pStyle w:val="yFootnotesection"/>
      </w:pPr>
      <w:r>
        <w:tab/>
        <w:t>[Clause 4 amended in Gazette 1 Sep 2005 p. 4086.]</w:t>
      </w:r>
    </w:p>
    <w:p>
      <w:pPr>
        <w:pStyle w:val="yHeading5"/>
        <w:rPr>
          <w:snapToGrid w:val="0"/>
        </w:rPr>
      </w:pPr>
      <w:bookmarkStart w:id="535" w:name="_Toc509894470"/>
      <w:bookmarkStart w:id="536" w:name="_Toc511206281"/>
      <w:bookmarkStart w:id="537" w:name="_Toc71963172"/>
      <w:bookmarkStart w:id="538" w:name="_Toc78350878"/>
      <w:bookmarkStart w:id="539" w:name="_Toc92874014"/>
      <w:bookmarkStart w:id="540" w:name="_Toc117913984"/>
      <w:bookmarkStart w:id="541" w:name="_Toc120077265"/>
      <w:r>
        <w:rPr>
          <w:rStyle w:val="CharSClsNo"/>
        </w:rPr>
        <w:t>5</w:t>
      </w:r>
      <w:r>
        <w:rPr>
          <w:snapToGrid w:val="0"/>
        </w:rPr>
        <w:t>.</w:t>
      </w:r>
      <w:r>
        <w:rPr>
          <w:snapToGrid w:val="0"/>
        </w:rPr>
        <w:tab/>
        <w:t>Firearm security</w:t>
      </w:r>
      <w:bookmarkEnd w:id="535"/>
      <w:bookmarkEnd w:id="536"/>
      <w:bookmarkEnd w:id="537"/>
      <w:bookmarkEnd w:id="538"/>
      <w:bookmarkEnd w:id="539"/>
      <w:bookmarkEnd w:id="540"/>
      <w:bookmarkEnd w:id="541"/>
      <w:r>
        <w:rPr>
          <w:snapToGrid w:val="0"/>
        </w:rPr>
        <w:t xml:space="preserve"> </w:t>
      </w:r>
    </w:p>
    <w:p>
      <w:pPr>
        <w:pStyle w:val="ySubsection"/>
        <w:rPr>
          <w:snapToGrid w:val="0"/>
        </w:rPr>
      </w:pPr>
      <w:r>
        <w:rPr>
          <w:snapToGrid w:val="0"/>
        </w:rPr>
        <w:tab/>
        <w:t>(1)</w:t>
      </w:r>
      <w:r>
        <w:rPr>
          <w:snapToGrid w:val="0"/>
        </w:rPr>
        <w:tab/>
        <w:t xml:space="preserve">A firearm used in the business must be kept, while not being used, at the place of business specified in the security agent’s licence in storage facilities which are adequate to ensure its safety and to safeguard it from loss or improper use. </w:t>
      </w:r>
    </w:p>
    <w:p>
      <w:pPr>
        <w:pStyle w:val="ySubsection"/>
      </w:pPr>
      <w:bookmarkStart w:id="542" w:name="_Toc509894471"/>
      <w:bookmarkStart w:id="543" w:name="_Toc511206282"/>
      <w:bookmarkStart w:id="544" w:name="_Toc71963173"/>
      <w:bookmarkStart w:id="545" w:name="_Toc78350879"/>
      <w:bookmarkStart w:id="546" w:name="_Toc92874015"/>
      <w:r>
        <w:tab/>
        <w:t>(2)</w:t>
      </w:r>
      <w:r>
        <w:tab/>
        <w:t xml:space="preserve">This condition does not prevent a firearm used in the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5 amended in Gazette 1 Sep 2005 p. 4086.]</w:t>
      </w:r>
    </w:p>
    <w:p>
      <w:pPr>
        <w:pStyle w:val="yHeading5"/>
      </w:pPr>
      <w:bookmarkStart w:id="547" w:name="_Toc117913985"/>
      <w:bookmarkStart w:id="548" w:name="_Toc120077266"/>
      <w:bookmarkStart w:id="549" w:name="_Toc71963174"/>
      <w:bookmarkStart w:id="550" w:name="_Toc78350880"/>
      <w:bookmarkStart w:id="551" w:name="_Toc92874016"/>
      <w:bookmarkEnd w:id="542"/>
      <w:bookmarkEnd w:id="543"/>
      <w:bookmarkEnd w:id="544"/>
      <w:bookmarkEnd w:id="545"/>
      <w:bookmarkEnd w:id="546"/>
      <w:r>
        <w:rPr>
          <w:rStyle w:val="CharSClsNo"/>
        </w:rPr>
        <w:t>6</w:t>
      </w:r>
      <w:r>
        <w:t>.</w:t>
      </w:r>
      <w:r>
        <w:rPr>
          <w:b w:val="0"/>
        </w:rPr>
        <w:tab/>
      </w:r>
      <w:r>
        <w:t>Weapons training</w:t>
      </w:r>
      <w:bookmarkEnd w:id="547"/>
      <w:bookmarkEnd w:id="548"/>
    </w:p>
    <w:p>
      <w:pPr>
        <w:pStyle w:val="ySubsection"/>
        <w:rPr>
          <w:snapToGrid w:val="0"/>
        </w:rPr>
      </w:pPr>
      <w:r>
        <w:tab/>
        <w:t>(1)</w:t>
      </w:r>
      <w:r>
        <w:tab/>
      </w:r>
      <w:r>
        <w:rPr>
          <w:snapToGrid w:val="0"/>
        </w:rPr>
        <w:t xml:space="preserve">A security officer whose licence is endorsed under section 24 must not be in possession of a firearm while performing any licensed activity for the business unless he or she successfully completes an approved training course in firearm use at least once every 6 months commencing on the day on which the security officer first — </w:t>
      </w:r>
    </w:p>
    <w:p>
      <w:pPr>
        <w:pStyle w:val="yIndenta"/>
      </w:pPr>
      <w:r>
        <w:tab/>
        <w:t>(a)</w:t>
      </w:r>
      <w:r>
        <w:tab/>
        <w:t>successfully completed an approved training course in firearm use; or</w:t>
      </w:r>
    </w:p>
    <w:p>
      <w:pPr>
        <w:pStyle w:val="yIndenta"/>
      </w:pPr>
      <w:r>
        <w:tab/>
        <w:t>(b)</w:t>
      </w:r>
      <w:r>
        <w:tab/>
        <w:t>obtained a qualification, approved by the Commissioner, in firearm use.</w:t>
      </w:r>
    </w:p>
    <w:p>
      <w:pPr>
        <w:pStyle w:val="ySubsection"/>
        <w:rPr>
          <w:snapToGrid w:val="0"/>
        </w:rPr>
      </w:pPr>
      <w:r>
        <w:tab/>
        <w:t>(2)</w:t>
      </w:r>
      <w:r>
        <w:tab/>
      </w:r>
      <w:r>
        <w:rPr>
          <w:snapToGrid w:val="0"/>
        </w:rPr>
        <w:t xml:space="preserve">A security officer whose licence is endorsed under section 26 must not be in possession of a baton while performing any licensed activity for the business unless he or she successfully completes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6 inserted in Gazette 1 Sep 2005 p. 4086</w:t>
      </w:r>
      <w:r>
        <w:noBreakHyphen/>
        <w:t>7.]</w:t>
      </w:r>
    </w:p>
    <w:p>
      <w:pPr>
        <w:pStyle w:val="yHeading3"/>
        <w:rPr>
          <w:snapToGrid w:val="0"/>
        </w:rPr>
      </w:pPr>
      <w:bookmarkStart w:id="552" w:name="_Toc113259694"/>
      <w:bookmarkStart w:id="553" w:name="_Toc113260410"/>
      <w:bookmarkStart w:id="554" w:name="_Toc113263557"/>
      <w:bookmarkStart w:id="555" w:name="_Toc116795524"/>
      <w:bookmarkStart w:id="556" w:name="_Toc116967045"/>
      <w:bookmarkStart w:id="557" w:name="_Toc117567787"/>
      <w:bookmarkStart w:id="558" w:name="_Toc117659543"/>
      <w:bookmarkStart w:id="559" w:name="_Toc117913986"/>
      <w:bookmarkStart w:id="560" w:name="_Toc117914077"/>
      <w:bookmarkStart w:id="561" w:name="_Toc120077267"/>
      <w:r>
        <w:rPr>
          <w:rStyle w:val="CharSDivNo"/>
        </w:rPr>
        <w:t>Division 2</w:t>
      </w:r>
      <w:r>
        <w:rPr>
          <w:snapToGrid w:val="0"/>
        </w:rPr>
        <w:t> — </w:t>
      </w:r>
      <w:r>
        <w:rPr>
          <w:rStyle w:val="CharSDivText"/>
        </w:rPr>
        <w:t>Security officer’s licence</w:t>
      </w:r>
      <w:bookmarkEnd w:id="549"/>
      <w:bookmarkEnd w:id="550"/>
      <w:bookmarkEnd w:id="551"/>
      <w:bookmarkEnd w:id="552"/>
      <w:bookmarkEnd w:id="553"/>
      <w:bookmarkEnd w:id="554"/>
      <w:bookmarkEnd w:id="555"/>
      <w:bookmarkEnd w:id="556"/>
      <w:bookmarkEnd w:id="557"/>
      <w:bookmarkEnd w:id="558"/>
      <w:bookmarkEnd w:id="559"/>
      <w:bookmarkEnd w:id="560"/>
      <w:bookmarkEnd w:id="561"/>
      <w:r>
        <w:rPr>
          <w:snapToGrid w:val="0"/>
        </w:rPr>
        <w:t xml:space="preserve"> </w:t>
      </w:r>
    </w:p>
    <w:p>
      <w:pPr>
        <w:pStyle w:val="yHeading5"/>
        <w:rPr>
          <w:snapToGrid w:val="0"/>
        </w:rPr>
      </w:pPr>
      <w:bookmarkStart w:id="562" w:name="_Toc509894472"/>
      <w:bookmarkStart w:id="563" w:name="_Toc511206283"/>
      <w:bookmarkStart w:id="564" w:name="_Toc71963175"/>
      <w:bookmarkStart w:id="565" w:name="_Toc78350881"/>
      <w:bookmarkStart w:id="566" w:name="_Toc92874017"/>
      <w:bookmarkStart w:id="567" w:name="_Toc117913987"/>
      <w:bookmarkStart w:id="568" w:name="_Toc120077268"/>
      <w:r>
        <w:rPr>
          <w:rStyle w:val="CharSClsNo"/>
        </w:rPr>
        <w:t>7</w:t>
      </w:r>
      <w:r>
        <w:rPr>
          <w:snapToGrid w:val="0"/>
        </w:rPr>
        <w:t>.</w:t>
      </w:r>
      <w:r>
        <w:rPr>
          <w:snapToGrid w:val="0"/>
        </w:rPr>
        <w:tab/>
        <w:t>Uniforms</w:t>
      </w:r>
      <w:bookmarkEnd w:id="562"/>
      <w:bookmarkEnd w:id="563"/>
      <w:bookmarkEnd w:id="564"/>
      <w:bookmarkEnd w:id="565"/>
      <w:bookmarkEnd w:id="566"/>
      <w:bookmarkEnd w:id="567"/>
      <w:bookmarkEnd w:id="568"/>
      <w:r>
        <w:rPr>
          <w:snapToGrid w:val="0"/>
        </w:rPr>
        <w:t xml:space="preserve"> </w:t>
      </w:r>
    </w:p>
    <w:p>
      <w:pPr>
        <w:pStyle w:val="ySubsection"/>
      </w:pPr>
      <w:r>
        <w:tab/>
        <w:t>(1)</w:t>
      </w:r>
      <w:r>
        <w:tab/>
        <w:t>A security officer must, at all times while performing a licensed activity for a business, wear a uniform that is of a type approved by the Commissioner.</w:t>
      </w:r>
    </w:p>
    <w:p>
      <w:pPr>
        <w:pStyle w:val="ySubsection"/>
        <w:rPr>
          <w:snapToGrid w:val="0"/>
        </w:rPr>
      </w:pPr>
      <w:r>
        <w:rPr>
          <w:snapToGrid w:val="0"/>
        </w:rPr>
        <w:tab/>
        <w:t>(2)</w:t>
      </w:r>
      <w:r>
        <w:rPr>
          <w:snapToGrid w:val="0"/>
        </w:rPr>
        <w:tab/>
        <w:t>This condition 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bookmarkStart w:id="569" w:name="_Toc509894473"/>
      <w:bookmarkStart w:id="570" w:name="_Toc511206284"/>
      <w:bookmarkStart w:id="571" w:name="_Toc71963176"/>
      <w:bookmarkStart w:id="572" w:name="_Toc78350882"/>
      <w:bookmarkStart w:id="573" w:name="_Toc92874018"/>
      <w:r>
        <w:tab/>
        <w:t>(3)</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(4)</w:t>
      </w:r>
      <w:r>
        <w:tab/>
        <w:t>A security officer to whom subclause (3)(a) or (b) applies must not, while performing a licensed activity for a business, wear a uniform that is confusingly similar to a uniform in use by a police force.</w:t>
      </w:r>
    </w:p>
    <w:p>
      <w:pPr>
        <w:pStyle w:val="yFootnotesection"/>
      </w:pPr>
      <w:r>
        <w:tab/>
        <w:t>[Clause 7 amended in Gazette 1 Sep 2005 p. 4087</w:t>
      </w:r>
      <w:r>
        <w:noBreakHyphen/>
        <w:t>8.]</w:t>
      </w:r>
    </w:p>
    <w:p>
      <w:pPr>
        <w:pStyle w:val="yHeading5"/>
      </w:pPr>
      <w:bookmarkStart w:id="574" w:name="_Toc117913988"/>
      <w:bookmarkStart w:id="575" w:name="_Toc120077269"/>
      <w:bookmarkStart w:id="576" w:name="_Toc509894474"/>
      <w:bookmarkStart w:id="577" w:name="_Toc511206285"/>
      <w:bookmarkStart w:id="578" w:name="_Toc71963177"/>
      <w:bookmarkStart w:id="579" w:name="_Toc78350883"/>
      <w:bookmarkStart w:id="580" w:name="_Toc92874019"/>
      <w:bookmarkEnd w:id="569"/>
      <w:bookmarkEnd w:id="570"/>
      <w:bookmarkEnd w:id="571"/>
      <w:bookmarkEnd w:id="572"/>
      <w:bookmarkEnd w:id="573"/>
      <w:r>
        <w:rPr>
          <w:rStyle w:val="CharSClsNo"/>
        </w:rPr>
        <w:t>8</w:t>
      </w:r>
      <w:r>
        <w:rPr>
          <w:bCs/>
        </w:rPr>
        <w:t>.</w:t>
      </w:r>
      <w:r>
        <w:rPr>
          <w:bCs/>
        </w:rPr>
        <w:tab/>
      </w:r>
      <w:r>
        <w:rPr>
          <w:snapToGrid w:val="0"/>
        </w:rPr>
        <w:t>Vehicle markings</w:t>
      </w:r>
      <w:bookmarkEnd w:id="574"/>
      <w:bookmarkEnd w:id="575"/>
    </w:p>
    <w:p>
      <w:pPr>
        <w:pStyle w:val="ySubsection"/>
      </w:pPr>
      <w:r>
        <w:tab/>
      </w:r>
      <w:r>
        <w:tab/>
        <w:t>A security officer must not use a vehicle while performing licensed activities for a business if a marking on the vehicle is confusingly similar to a vehicle marking in use by a police force.</w:t>
      </w:r>
    </w:p>
    <w:p>
      <w:pPr>
        <w:pStyle w:val="yFootnotesection"/>
      </w:pPr>
      <w:r>
        <w:tab/>
        <w:t>[Clause 8 inserted in Gazette 1 Sep 2005 p. 4088.]</w:t>
      </w:r>
    </w:p>
    <w:p>
      <w:pPr>
        <w:pStyle w:val="yHeading5"/>
        <w:rPr>
          <w:snapToGrid w:val="0"/>
        </w:rPr>
      </w:pPr>
      <w:bookmarkStart w:id="581" w:name="_Toc117913989"/>
      <w:bookmarkStart w:id="582" w:name="_Toc120077270"/>
      <w:r>
        <w:rPr>
          <w:rStyle w:val="CharSClsNo"/>
        </w:rPr>
        <w:t>9</w:t>
      </w:r>
      <w:r>
        <w:rPr>
          <w:snapToGrid w:val="0"/>
        </w:rPr>
        <w:t>.</w:t>
      </w:r>
      <w:r>
        <w:rPr>
          <w:snapToGrid w:val="0"/>
        </w:rPr>
        <w:tab/>
        <w:t>Carrying of weapons</w:t>
      </w:r>
      <w:bookmarkEnd w:id="576"/>
      <w:bookmarkEnd w:id="577"/>
      <w:bookmarkEnd w:id="578"/>
      <w:bookmarkEnd w:id="579"/>
      <w:bookmarkEnd w:id="580"/>
      <w:bookmarkEnd w:id="581"/>
      <w:bookmarkEnd w:id="582"/>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unless — </w:t>
      </w:r>
    </w:p>
    <w:p>
      <w:pPr>
        <w:pStyle w:val="yIndenta"/>
        <w:rPr>
          <w:snapToGrid w:val="0"/>
        </w:rPr>
      </w:pPr>
      <w:r>
        <w:rPr>
          <w:snapToGrid w:val="0"/>
        </w:rPr>
        <w:tab/>
        <w:t>(a)</w:t>
      </w:r>
      <w:r>
        <w:rPr>
          <w:snapToGrid w:val="0"/>
        </w:rPr>
        <w:tab/>
        <w:t>the security officer’s licence is endorsed under section 24 for that activity or the security officer holds a permit under section 25 for the relevant occasion; and</w:t>
      </w:r>
    </w:p>
    <w:p>
      <w:pPr>
        <w:pStyle w:val="yIndenta"/>
        <w:rPr>
          <w:snapToGrid w:val="0"/>
        </w:rPr>
      </w:pPr>
      <w:r>
        <w:rPr>
          <w:snapToGrid w:val="0"/>
        </w:rPr>
        <w:tab/>
        <w:t>(b)</w:t>
      </w:r>
      <w:r>
        <w:rPr>
          <w:snapToGrid w:val="0"/>
        </w:rPr>
        <w:tab/>
        <w:t>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bookmarkStart w:id="583" w:name="_Toc509894475"/>
      <w:bookmarkStart w:id="584" w:name="_Toc511206286"/>
      <w:bookmarkStart w:id="585" w:name="_Toc71963178"/>
      <w:bookmarkStart w:id="586" w:name="_Toc78350884"/>
      <w:bookmarkStart w:id="587" w:name="_Toc92874020"/>
      <w:r>
        <w:tab/>
        <w:t>[Clause 9 amended in Gazette 1 Sep 2005 p. 4088.]</w:t>
      </w:r>
    </w:p>
    <w:p>
      <w:pPr>
        <w:pStyle w:val="yHeading5"/>
        <w:rPr>
          <w:snapToGrid w:val="0"/>
        </w:rPr>
      </w:pPr>
      <w:bookmarkStart w:id="588" w:name="_Toc117913990"/>
      <w:bookmarkStart w:id="589" w:name="_Toc120077271"/>
      <w:r>
        <w:rPr>
          <w:rStyle w:val="CharSClsNo"/>
        </w:rPr>
        <w:t>10.</w:t>
      </w:r>
      <w:r>
        <w:rPr>
          <w:rStyle w:val="CharSClsNo"/>
        </w:rPr>
        <w:tab/>
      </w:r>
      <w:r>
        <w:rPr>
          <w:snapToGrid w:val="0"/>
        </w:rPr>
        <w:t>Firearm security</w:t>
      </w:r>
      <w:bookmarkEnd w:id="583"/>
      <w:bookmarkEnd w:id="584"/>
      <w:bookmarkEnd w:id="585"/>
      <w:bookmarkEnd w:id="586"/>
      <w:bookmarkEnd w:id="587"/>
      <w:bookmarkEnd w:id="588"/>
      <w:bookmarkEnd w:id="589"/>
      <w:r>
        <w:rPr>
          <w:snapToGrid w:val="0"/>
        </w:rPr>
        <w:t xml:space="preserve"> </w:t>
      </w:r>
    </w:p>
    <w:p>
      <w:pPr>
        <w:pStyle w:val="ySubsection"/>
        <w:rPr>
          <w:snapToGrid w:val="0"/>
        </w:rPr>
      </w:pPr>
      <w:r>
        <w:rPr>
          <w:snapToGrid w:val="0"/>
        </w:rPr>
        <w:tab/>
        <w:t>(1)</w:t>
      </w:r>
      <w:r>
        <w:rPr>
          <w:snapToGrid w:val="0"/>
        </w:rPr>
        <w:tab/>
        <w:t>A security officer who is in possession of a firearm while performing a licensed activity</w:t>
      </w:r>
      <w:r>
        <w:t xml:space="preserve"> for a security agent</w:t>
      </w:r>
      <w:r>
        <w:rPr>
          <w:snapToGrid w:val="0"/>
        </w:rPr>
        <w:t xml:space="preserve"> must, at the end of the activity, promptly return the firearm to the security agent. </w:t>
      </w:r>
    </w:p>
    <w:p>
      <w:pPr>
        <w:pStyle w:val="ySubsection"/>
      </w:pPr>
      <w:bookmarkStart w:id="590" w:name="_Toc509894476"/>
      <w:bookmarkStart w:id="591" w:name="_Toc511206287"/>
      <w:bookmarkStart w:id="592" w:name="_Toc71963179"/>
      <w:bookmarkStart w:id="593" w:name="_Toc78350885"/>
      <w:bookmarkStart w:id="594" w:name="_Toc92874021"/>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in Gazette 1 Sep 2005 p. 4088.]</w:t>
      </w:r>
    </w:p>
    <w:p>
      <w:pPr>
        <w:pStyle w:val="yHeading5"/>
        <w:rPr>
          <w:rStyle w:val="CharSClsNo"/>
        </w:rPr>
      </w:pPr>
      <w:bookmarkStart w:id="595" w:name="_Toc117913991"/>
      <w:bookmarkStart w:id="596" w:name="_Toc120077272"/>
      <w:bookmarkStart w:id="597" w:name="_Toc71963180"/>
      <w:bookmarkStart w:id="598" w:name="_Toc78350886"/>
      <w:bookmarkStart w:id="599" w:name="_Toc92874022"/>
      <w:bookmarkEnd w:id="590"/>
      <w:bookmarkEnd w:id="591"/>
      <w:bookmarkEnd w:id="592"/>
      <w:bookmarkEnd w:id="593"/>
      <w:bookmarkEnd w:id="594"/>
      <w:r>
        <w:rPr>
          <w:rStyle w:val="CharSClsNo"/>
        </w:rPr>
        <w:t>11.</w:t>
      </w:r>
      <w:r>
        <w:rPr>
          <w:rStyle w:val="CharSClsNo"/>
        </w:rPr>
        <w:tab/>
      </w:r>
      <w:r>
        <w:rPr>
          <w:snapToGrid w:val="0"/>
        </w:rPr>
        <w:t>Weapons training</w:t>
      </w:r>
      <w:bookmarkEnd w:id="595"/>
      <w:bookmarkEnd w:id="596"/>
    </w:p>
    <w:p>
      <w:pPr>
        <w:pStyle w:val="ySubsection"/>
      </w:pPr>
      <w:r>
        <w:rPr>
          <w:snapToGrid w:val="0"/>
        </w:rPr>
        <w:tab/>
        <w:t>(1)</w:t>
      </w:r>
      <w:r>
        <w:rPr>
          <w:snapToGrid w:val="0"/>
        </w:rPr>
        <w:tab/>
        <w:t xml:space="preserve">A security officer whose licence is endorsed under section 24 must successfully complete an approved training course in firearm use at least once every 6 months commencing on the day on which the security officer first — </w:t>
      </w:r>
    </w:p>
    <w:p>
      <w:pPr>
        <w:pStyle w:val="yIndenta"/>
      </w:pPr>
      <w:r>
        <w:tab/>
        <w:t>(a)</w:t>
      </w:r>
      <w:r>
        <w:tab/>
        <w:t>successfully completed an approved training course in firearm use; or</w:t>
      </w:r>
    </w:p>
    <w:p>
      <w:pPr>
        <w:pStyle w:val="yIndenta"/>
      </w:pPr>
      <w:r>
        <w:tab/>
        <w:t>(b)</w:t>
      </w:r>
      <w:r>
        <w:tab/>
        <w:t>obtained a qualification, approved by the Commissioner, in firearm use.</w:t>
      </w:r>
    </w:p>
    <w:p>
      <w:pPr>
        <w:pStyle w:val="ySubsection"/>
      </w:pPr>
      <w:r>
        <w:rPr>
          <w:snapToGrid w:val="0"/>
        </w:rPr>
        <w:tab/>
        <w:t>(2)</w:t>
      </w:r>
      <w:r>
        <w:rPr>
          <w:snapToGrid w:val="0"/>
        </w:rPr>
        <w:tab/>
        <w:t xml:space="preserve">A security officer whose licence is endorsed under section 26 must successfully complete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11 inserted in Gazette 1 Sep 2005 p. 4089.]</w:t>
      </w:r>
    </w:p>
    <w:p>
      <w:pPr>
        <w:pStyle w:val="yHeading3"/>
        <w:rPr>
          <w:snapToGrid w:val="0"/>
        </w:rPr>
      </w:pPr>
      <w:bookmarkStart w:id="600" w:name="_Toc113259702"/>
      <w:bookmarkStart w:id="601" w:name="_Toc113260418"/>
      <w:bookmarkStart w:id="602" w:name="_Toc113263563"/>
      <w:bookmarkStart w:id="603" w:name="_Toc116795530"/>
      <w:bookmarkStart w:id="604" w:name="_Toc116967051"/>
      <w:bookmarkStart w:id="605" w:name="_Toc117567793"/>
      <w:bookmarkStart w:id="606" w:name="_Toc117659549"/>
      <w:bookmarkStart w:id="607" w:name="_Toc117913992"/>
      <w:bookmarkStart w:id="608" w:name="_Toc117914083"/>
      <w:bookmarkStart w:id="609" w:name="_Toc120077273"/>
      <w:r>
        <w:rPr>
          <w:rStyle w:val="CharSDivNo"/>
        </w:rPr>
        <w:t>Division 3</w:t>
      </w:r>
      <w:r>
        <w:rPr>
          <w:snapToGrid w:val="0"/>
        </w:rPr>
        <w:t> — </w:t>
      </w:r>
      <w:r>
        <w:rPr>
          <w:rStyle w:val="CharSDivText"/>
        </w:rPr>
        <w:t>Inquiry agent’s licence</w:t>
      </w:r>
      <w:bookmarkEnd w:id="597"/>
      <w:bookmarkEnd w:id="598"/>
      <w:bookmarkEnd w:id="599"/>
      <w:bookmarkEnd w:id="600"/>
      <w:bookmarkEnd w:id="601"/>
      <w:bookmarkEnd w:id="602"/>
      <w:bookmarkEnd w:id="603"/>
      <w:bookmarkEnd w:id="604"/>
      <w:bookmarkEnd w:id="605"/>
      <w:bookmarkEnd w:id="606"/>
      <w:bookmarkEnd w:id="607"/>
      <w:bookmarkEnd w:id="608"/>
      <w:bookmarkEnd w:id="609"/>
      <w:r>
        <w:rPr>
          <w:snapToGrid w:val="0"/>
        </w:rPr>
        <w:t xml:space="preserve"> </w:t>
      </w:r>
    </w:p>
    <w:p>
      <w:pPr>
        <w:pStyle w:val="yHeading5"/>
        <w:rPr>
          <w:rStyle w:val="CharSClsNo"/>
        </w:rPr>
      </w:pPr>
      <w:bookmarkStart w:id="610" w:name="_Toc509894477"/>
      <w:bookmarkStart w:id="611" w:name="_Toc511206288"/>
      <w:bookmarkStart w:id="612" w:name="_Toc71963181"/>
      <w:bookmarkStart w:id="613" w:name="_Toc78350887"/>
      <w:bookmarkStart w:id="614" w:name="_Toc92874023"/>
      <w:bookmarkStart w:id="615" w:name="_Toc117913993"/>
      <w:bookmarkStart w:id="616" w:name="_Toc120077274"/>
      <w:r>
        <w:rPr>
          <w:rStyle w:val="CharSClsNo"/>
        </w:rPr>
        <w:t>12.</w:t>
      </w:r>
      <w:r>
        <w:rPr>
          <w:rStyle w:val="CharSClsNo"/>
        </w:rPr>
        <w:tab/>
      </w:r>
      <w:r>
        <w:rPr>
          <w:snapToGrid w:val="0"/>
        </w:rPr>
        <w:t>Notification of change of personnel</w:t>
      </w:r>
      <w:bookmarkEnd w:id="610"/>
      <w:bookmarkEnd w:id="611"/>
      <w:bookmarkEnd w:id="612"/>
      <w:bookmarkEnd w:id="613"/>
      <w:bookmarkEnd w:id="614"/>
      <w:bookmarkEnd w:id="615"/>
      <w:bookmarkEnd w:id="616"/>
      <w:r>
        <w:rPr>
          <w:rStyle w:val="CharSClsNo"/>
        </w:rPr>
        <w:t xml:space="preserve"> </w:t>
      </w:r>
    </w:p>
    <w:p>
      <w:pPr>
        <w:pStyle w:val="ySubsection"/>
        <w:rPr>
          <w:snapToGrid w:val="0"/>
        </w:rPr>
      </w:pPr>
      <w:r>
        <w:rPr>
          <w:snapToGrid w:val="0"/>
        </w:rPr>
        <w:tab/>
        <w:t>(1)</w:t>
      </w:r>
      <w:r>
        <w:rPr>
          <w:snapToGrid w:val="0"/>
        </w:rPr>
        <w:tab/>
        <w:t>An inquiry agent must notify the Commissioner —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The notice under subclause (1) is to be in writing and given to the Commissioner within 21 days of the occurrence to which it relates.</w:t>
      </w:r>
    </w:p>
    <w:p>
      <w:pPr>
        <w:pStyle w:val="yHeading3"/>
        <w:rPr>
          <w:snapToGrid w:val="0"/>
        </w:rPr>
      </w:pPr>
      <w:bookmarkStart w:id="617" w:name="_Toc71963182"/>
      <w:bookmarkStart w:id="618" w:name="_Toc78350888"/>
      <w:bookmarkStart w:id="619" w:name="_Toc92874024"/>
      <w:bookmarkStart w:id="620" w:name="_Toc113259704"/>
      <w:bookmarkStart w:id="621" w:name="_Toc113260420"/>
      <w:bookmarkStart w:id="622" w:name="_Toc113263565"/>
      <w:bookmarkStart w:id="623" w:name="_Toc116795532"/>
      <w:bookmarkStart w:id="624" w:name="_Toc116967053"/>
      <w:bookmarkStart w:id="625" w:name="_Toc117567795"/>
      <w:bookmarkStart w:id="626" w:name="_Toc117659551"/>
      <w:bookmarkStart w:id="627" w:name="_Toc117913994"/>
      <w:bookmarkStart w:id="628" w:name="_Toc117914085"/>
      <w:bookmarkStart w:id="629" w:name="_Toc120077275"/>
      <w:r>
        <w:rPr>
          <w:rStyle w:val="CharSDivNo"/>
        </w:rPr>
        <w:t>Division 4</w:t>
      </w:r>
      <w:r>
        <w:rPr>
          <w:snapToGrid w:val="0"/>
        </w:rPr>
        <w:t> — </w:t>
      </w:r>
      <w:r>
        <w:rPr>
          <w:rStyle w:val="CharSDivText"/>
        </w:rPr>
        <w:t>Crowd control agent’s licence</w:t>
      </w:r>
      <w:bookmarkEnd w:id="617"/>
      <w:bookmarkEnd w:id="618"/>
      <w:bookmarkEnd w:id="619"/>
      <w:bookmarkEnd w:id="620"/>
      <w:bookmarkEnd w:id="621"/>
      <w:bookmarkEnd w:id="622"/>
      <w:bookmarkEnd w:id="623"/>
      <w:bookmarkEnd w:id="624"/>
      <w:bookmarkEnd w:id="625"/>
      <w:bookmarkEnd w:id="626"/>
      <w:bookmarkEnd w:id="627"/>
      <w:bookmarkEnd w:id="628"/>
      <w:bookmarkEnd w:id="629"/>
      <w:r>
        <w:rPr>
          <w:snapToGrid w:val="0"/>
        </w:rPr>
        <w:t xml:space="preserve"> </w:t>
      </w:r>
    </w:p>
    <w:p>
      <w:pPr>
        <w:pStyle w:val="yHeading5"/>
        <w:rPr>
          <w:rStyle w:val="CharSClsNo"/>
        </w:rPr>
      </w:pPr>
      <w:bookmarkStart w:id="630" w:name="_Toc509894478"/>
      <w:bookmarkStart w:id="631" w:name="_Toc511206289"/>
      <w:bookmarkStart w:id="632" w:name="_Toc71963183"/>
      <w:bookmarkStart w:id="633" w:name="_Toc78350889"/>
      <w:bookmarkStart w:id="634" w:name="_Toc92874025"/>
      <w:bookmarkStart w:id="635" w:name="_Toc117913995"/>
      <w:bookmarkStart w:id="636" w:name="_Toc120077276"/>
      <w:r>
        <w:rPr>
          <w:rStyle w:val="CharSClsNo"/>
        </w:rPr>
        <w:t>13.</w:t>
      </w:r>
      <w:r>
        <w:rPr>
          <w:rStyle w:val="CharSClsNo"/>
        </w:rPr>
        <w:tab/>
      </w:r>
      <w:r>
        <w:rPr>
          <w:snapToGrid w:val="0"/>
        </w:rPr>
        <w:t>Notification of change of personnel</w:t>
      </w:r>
      <w:bookmarkEnd w:id="630"/>
      <w:bookmarkEnd w:id="631"/>
      <w:bookmarkEnd w:id="632"/>
      <w:bookmarkEnd w:id="633"/>
      <w:bookmarkEnd w:id="634"/>
      <w:bookmarkEnd w:id="635"/>
      <w:bookmarkEnd w:id="636"/>
      <w:r>
        <w:rPr>
          <w:rStyle w:val="CharSClsNo"/>
        </w:rPr>
        <w:t xml:space="preserve"> </w:t>
      </w:r>
    </w:p>
    <w:p>
      <w:pPr>
        <w:pStyle w:val="ySubsection"/>
        <w:rPr>
          <w:snapToGrid w:val="0"/>
        </w:rPr>
      </w:pPr>
      <w:r>
        <w:rPr>
          <w:snapToGrid w:val="0"/>
        </w:rPr>
        <w:tab/>
        <w:t>(1)</w:t>
      </w:r>
      <w:r>
        <w:rPr>
          <w:snapToGrid w:val="0"/>
        </w:rPr>
        <w:tab/>
        <w:t>A crowd control agent must notify the Commissioner —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The notice under subclause (1) is to be in writing and given to the Commissioner within 21 days of the occurrence to which it relates.</w:t>
      </w:r>
    </w:p>
    <w:p>
      <w:pPr>
        <w:pStyle w:val="yHeading5"/>
        <w:rPr>
          <w:rStyle w:val="CharSClsNo"/>
        </w:rPr>
      </w:pPr>
      <w:bookmarkStart w:id="637" w:name="_Toc509894479"/>
      <w:bookmarkStart w:id="638" w:name="_Toc511206290"/>
      <w:bookmarkStart w:id="639" w:name="_Toc71963184"/>
      <w:bookmarkStart w:id="640" w:name="_Toc78350890"/>
      <w:bookmarkStart w:id="641" w:name="_Toc92874026"/>
      <w:bookmarkStart w:id="642" w:name="_Toc117913996"/>
      <w:bookmarkStart w:id="643" w:name="_Toc120077277"/>
      <w:r>
        <w:rPr>
          <w:rStyle w:val="CharSClsNo"/>
        </w:rPr>
        <w:t>14.</w:t>
      </w:r>
      <w:r>
        <w:rPr>
          <w:rStyle w:val="CharSClsNo"/>
        </w:rPr>
        <w:tab/>
      </w:r>
      <w:r>
        <w:rPr>
          <w:snapToGrid w:val="0"/>
        </w:rPr>
        <w:t>Wearing of identification cards</w:t>
      </w:r>
      <w:bookmarkEnd w:id="637"/>
      <w:bookmarkEnd w:id="638"/>
      <w:bookmarkEnd w:id="639"/>
      <w:bookmarkEnd w:id="640"/>
      <w:bookmarkEnd w:id="641"/>
      <w:bookmarkEnd w:id="642"/>
      <w:bookmarkEnd w:id="643"/>
      <w:r>
        <w:rPr>
          <w:rStyle w:val="CharSClsNo"/>
        </w:rPr>
        <w:t xml:space="preserve"> </w:t>
      </w:r>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bookmarkStart w:id="644" w:name="_Toc509894480"/>
      <w:bookmarkStart w:id="645" w:name="_Toc511206291"/>
      <w:bookmarkStart w:id="646" w:name="_Toc71963185"/>
      <w:bookmarkStart w:id="647" w:name="_Toc78350891"/>
      <w:bookmarkStart w:id="648" w:name="_Toc92874027"/>
      <w:r>
        <w:tab/>
        <w:t>[Clause 14 amended in Gazette 1 Sep 2005 p. 4089.]</w:t>
      </w:r>
    </w:p>
    <w:p>
      <w:pPr>
        <w:pStyle w:val="yHeading5"/>
        <w:rPr>
          <w:snapToGrid w:val="0"/>
        </w:rPr>
      </w:pPr>
      <w:bookmarkStart w:id="649" w:name="_Toc117913997"/>
      <w:bookmarkStart w:id="650" w:name="_Toc120077278"/>
      <w:r>
        <w:rPr>
          <w:rStyle w:val="CharSClsNo"/>
        </w:rPr>
        <w:t>15.</w:t>
      </w:r>
      <w:r>
        <w:rPr>
          <w:rStyle w:val="CharSClsNo"/>
        </w:rPr>
        <w:tab/>
      </w:r>
      <w:r>
        <w:rPr>
          <w:snapToGrid w:val="0"/>
        </w:rPr>
        <w:t>Information to clients</w:t>
      </w:r>
      <w:bookmarkEnd w:id="644"/>
      <w:bookmarkEnd w:id="645"/>
      <w:bookmarkEnd w:id="646"/>
      <w:bookmarkEnd w:id="647"/>
      <w:bookmarkEnd w:id="648"/>
      <w:bookmarkEnd w:id="649"/>
      <w:bookmarkEnd w:id="650"/>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 xml:space="preserve">the name and licence number of the crowd control agent; </w:t>
      </w:r>
    </w:p>
    <w:p>
      <w:pPr>
        <w:pStyle w:val="yIndenta"/>
        <w:rPr>
          <w:snapToGrid w:val="0"/>
        </w:rPr>
      </w:pPr>
      <w:r>
        <w:rPr>
          <w:snapToGrid w:val="0"/>
        </w:rPr>
        <w:tab/>
        <w:t>(b)</w:t>
      </w:r>
      <w:r>
        <w:rPr>
          <w:snapToGrid w:val="0"/>
        </w:rPr>
        <w:tab/>
        <w:t xml:space="preserve">if the crowd control agent’s licence is held on behalf of a partnership or body corporate, the name of the partnership or body corporate; </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xml:space="preserve">; </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bookmarkStart w:id="651" w:name="_Toc509894481"/>
      <w:bookmarkStart w:id="652" w:name="_Toc511206292"/>
      <w:bookmarkStart w:id="653" w:name="_Toc71963186"/>
      <w:bookmarkStart w:id="654" w:name="_Toc78350892"/>
      <w:bookmarkStart w:id="655" w:name="_Toc92874028"/>
      <w:r>
        <w:tab/>
        <w:t>[Clause 15 amended in Gazette 1 Sep 2005 p. 4089.]</w:t>
      </w:r>
    </w:p>
    <w:p>
      <w:pPr>
        <w:pStyle w:val="yHeading5"/>
        <w:rPr>
          <w:snapToGrid w:val="0"/>
        </w:rPr>
      </w:pPr>
      <w:bookmarkStart w:id="656" w:name="_Toc117913998"/>
      <w:bookmarkStart w:id="657" w:name="_Toc120077279"/>
      <w:r>
        <w:rPr>
          <w:rStyle w:val="CharSClsNo"/>
        </w:rPr>
        <w:t>16.</w:t>
      </w:r>
      <w:r>
        <w:rPr>
          <w:rStyle w:val="CharSClsNo"/>
        </w:rPr>
        <w:tab/>
      </w:r>
      <w:r>
        <w:rPr>
          <w:snapToGrid w:val="0"/>
        </w:rPr>
        <w:t>No weapons to be carried by crowd controllers</w:t>
      </w:r>
      <w:bookmarkEnd w:id="651"/>
      <w:bookmarkEnd w:id="652"/>
      <w:bookmarkEnd w:id="653"/>
      <w:bookmarkEnd w:id="654"/>
      <w:bookmarkEnd w:id="655"/>
      <w:bookmarkEnd w:id="656"/>
      <w:bookmarkEnd w:id="657"/>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bookmarkStart w:id="658" w:name="_Toc71963187"/>
      <w:bookmarkStart w:id="659" w:name="_Toc78350893"/>
      <w:bookmarkStart w:id="660" w:name="_Toc92874029"/>
      <w:r>
        <w:tab/>
        <w:t>[Clause 16 amended in Gazette 1 Sep 2005 p. 4089.]</w:t>
      </w:r>
    </w:p>
    <w:p>
      <w:pPr>
        <w:pStyle w:val="yHeading5"/>
      </w:pPr>
      <w:bookmarkStart w:id="661" w:name="_Toc117913999"/>
      <w:bookmarkStart w:id="662" w:name="_Toc120077280"/>
      <w:r>
        <w:rPr>
          <w:rStyle w:val="CharSClsNo"/>
        </w:rPr>
        <w:t>16A.</w:t>
      </w:r>
      <w:r>
        <w:rPr>
          <w:rStyle w:val="CharSClsNo"/>
        </w:rPr>
        <w:tab/>
      </w:r>
      <w:r>
        <w:rPr>
          <w:snapToGrid w:val="0"/>
        </w:rPr>
        <w:t>Incident register</w:t>
      </w:r>
      <w:bookmarkEnd w:id="661"/>
      <w:bookmarkEnd w:id="662"/>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in Gazette 1 Sep 2005 p. 4090.]</w:t>
      </w:r>
    </w:p>
    <w:p>
      <w:pPr>
        <w:pStyle w:val="yHeading3"/>
        <w:rPr>
          <w:snapToGrid w:val="0"/>
        </w:rPr>
      </w:pPr>
      <w:bookmarkStart w:id="663" w:name="_Toc113259710"/>
      <w:bookmarkStart w:id="664" w:name="_Toc113260426"/>
      <w:bookmarkStart w:id="665" w:name="_Toc113263571"/>
      <w:bookmarkStart w:id="666" w:name="_Toc116795538"/>
      <w:bookmarkStart w:id="667" w:name="_Toc116967059"/>
      <w:bookmarkStart w:id="668" w:name="_Toc117567801"/>
      <w:bookmarkStart w:id="669" w:name="_Toc117659557"/>
      <w:bookmarkStart w:id="670" w:name="_Toc117914000"/>
      <w:bookmarkStart w:id="671" w:name="_Toc117914091"/>
      <w:bookmarkStart w:id="672" w:name="_Toc120077281"/>
      <w:r>
        <w:rPr>
          <w:rStyle w:val="CharSDivNo"/>
        </w:rPr>
        <w:t>Division 5</w:t>
      </w:r>
      <w:r>
        <w:rPr>
          <w:snapToGrid w:val="0"/>
        </w:rPr>
        <w:t> — </w:t>
      </w:r>
      <w:r>
        <w:rPr>
          <w:rStyle w:val="CharSDivText"/>
        </w:rPr>
        <w:t>Crowd controller’s licence</w:t>
      </w:r>
      <w:bookmarkEnd w:id="658"/>
      <w:bookmarkEnd w:id="659"/>
      <w:bookmarkEnd w:id="660"/>
      <w:bookmarkEnd w:id="663"/>
      <w:bookmarkEnd w:id="664"/>
      <w:bookmarkEnd w:id="665"/>
      <w:bookmarkEnd w:id="666"/>
      <w:bookmarkEnd w:id="667"/>
      <w:bookmarkEnd w:id="668"/>
      <w:bookmarkEnd w:id="669"/>
      <w:bookmarkEnd w:id="670"/>
      <w:bookmarkEnd w:id="671"/>
      <w:bookmarkEnd w:id="672"/>
      <w:r>
        <w:rPr>
          <w:snapToGrid w:val="0"/>
        </w:rPr>
        <w:t xml:space="preserve"> </w:t>
      </w:r>
    </w:p>
    <w:p>
      <w:pPr>
        <w:pStyle w:val="yHeading5"/>
        <w:rPr>
          <w:snapToGrid w:val="0"/>
        </w:rPr>
      </w:pPr>
      <w:bookmarkStart w:id="673" w:name="_Toc509894482"/>
      <w:bookmarkStart w:id="674" w:name="_Toc511206293"/>
      <w:bookmarkStart w:id="675" w:name="_Toc71963188"/>
      <w:bookmarkStart w:id="676" w:name="_Toc78350894"/>
      <w:bookmarkStart w:id="677" w:name="_Toc92874030"/>
      <w:bookmarkStart w:id="678" w:name="_Toc117914001"/>
      <w:bookmarkStart w:id="679" w:name="_Toc120077282"/>
      <w:r>
        <w:rPr>
          <w:rStyle w:val="CharSClsNo"/>
        </w:rPr>
        <w:t>17.</w:t>
      </w:r>
      <w:r>
        <w:rPr>
          <w:rStyle w:val="CharSClsNo"/>
        </w:rPr>
        <w:tab/>
      </w:r>
      <w:r>
        <w:rPr>
          <w:snapToGrid w:val="0"/>
        </w:rPr>
        <w:t>Wearing of identification card</w:t>
      </w:r>
      <w:bookmarkEnd w:id="673"/>
      <w:bookmarkEnd w:id="674"/>
      <w:bookmarkEnd w:id="675"/>
      <w:bookmarkEnd w:id="676"/>
      <w:bookmarkEnd w:id="677"/>
      <w:bookmarkEnd w:id="678"/>
      <w:bookmarkEnd w:id="679"/>
      <w:r>
        <w:rPr>
          <w:snapToGrid w:val="0"/>
        </w:rPr>
        <w:t xml:space="preserve"> </w:t>
      </w:r>
    </w:p>
    <w:p>
      <w:pPr>
        <w:pStyle w:val="ySubsection"/>
        <w:rPr>
          <w:snapToGrid w:val="0"/>
        </w:rPr>
      </w:pPr>
      <w:r>
        <w:rPr>
          <w:snapToGrid w:val="0"/>
        </w:rPr>
        <w:tab/>
      </w:r>
      <w:r>
        <w:rPr>
          <w:snapToGrid w:val="0"/>
        </w:rPr>
        <w:tab/>
        <w:t>A crowd controller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bookmarkStart w:id="680" w:name="_Toc509894483"/>
      <w:bookmarkStart w:id="681" w:name="_Toc511206294"/>
      <w:bookmarkStart w:id="682" w:name="_Toc71963189"/>
      <w:bookmarkStart w:id="683" w:name="_Toc78350895"/>
      <w:bookmarkStart w:id="684" w:name="_Toc92874031"/>
      <w:r>
        <w:tab/>
        <w:t>[Clause 17 amended in Gazette 1 Sep 2005 p. 4090.]</w:t>
      </w:r>
    </w:p>
    <w:p>
      <w:pPr>
        <w:pStyle w:val="yHeading5"/>
        <w:rPr>
          <w:rStyle w:val="CharSClsNo"/>
        </w:rPr>
      </w:pPr>
      <w:bookmarkStart w:id="685" w:name="_Toc117914002"/>
      <w:bookmarkStart w:id="686" w:name="_Toc120077283"/>
      <w:r>
        <w:rPr>
          <w:rStyle w:val="CharSClsNo"/>
        </w:rPr>
        <w:t>18.</w:t>
      </w:r>
      <w:r>
        <w:rPr>
          <w:rStyle w:val="CharSClsNo"/>
        </w:rPr>
        <w:tab/>
      </w:r>
      <w:r>
        <w:rPr>
          <w:snapToGrid w:val="0"/>
        </w:rPr>
        <w:t>No weapons to be carried by crowd controller</w:t>
      </w:r>
      <w:bookmarkEnd w:id="680"/>
      <w:bookmarkEnd w:id="681"/>
      <w:bookmarkEnd w:id="682"/>
      <w:bookmarkEnd w:id="683"/>
      <w:bookmarkEnd w:id="684"/>
      <w:bookmarkEnd w:id="685"/>
      <w:bookmarkEnd w:id="686"/>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687" w:name="_Toc117914003"/>
      <w:bookmarkStart w:id="688" w:name="_Toc120077284"/>
      <w:bookmarkStart w:id="689" w:name="_Toc71963191"/>
      <w:bookmarkStart w:id="690" w:name="_Toc78350897"/>
      <w:r>
        <w:rPr>
          <w:rStyle w:val="CharSClsNo"/>
        </w:rPr>
        <w:t>19.</w:t>
      </w:r>
      <w:r>
        <w:rPr>
          <w:rStyle w:val="CharSClsNo"/>
        </w:rPr>
        <w:tab/>
      </w:r>
      <w:r>
        <w:rPr>
          <w:snapToGrid w:val="0"/>
        </w:rPr>
        <w:t>Incident register</w:t>
      </w:r>
      <w:bookmarkEnd w:id="687"/>
      <w:bookmarkEnd w:id="688"/>
    </w:p>
    <w:p>
      <w:pPr>
        <w:pStyle w:val="ySubsection"/>
      </w:pPr>
      <w:r>
        <w:tab/>
      </w:r>
      <w:r>
        <w:tab/>
        <w:t xml:space="preserve">A crowd controller, in relation to an incident register referred to in regulation 39 that is kept by the crowd control agent — </w:t>
      </w:r>
    </w:p>
    <w:p>
      <w:pPr>
        <w:pStyle w:val="yIndenta"/>
      </w:pPr>
      <w:r>
        <w:tab/>
        <w:t>(a)</w:t>
      </w:r>
      <w:r>
        <w:tab/>
        <w:t>must ensure that each entry that he or she makes in the incident register is legible;</w:t>
      </w:r>
    </w:p>
    <w:p>
      <w:pPr>
        <w:pStyle w:val="yIndenta"/>
      </w:pPr>
      <w:r>
        <w:tab/>
        <w:t>(b)</w:t>
      </w:r>
      <w:r>
        <w:tab/>
        <w:t>must not remove a page or part of a page from the incident register;</w:t>
      </w:r>
    </w:p>
    <w:p>
      <w:pPr>
        <w:pStyle w:val="yIndenta"/>
      </w:pPr>
      <w:r>
        <w:tab/>
        <w:t>(c)</w:t>
      </w:r>
      <w:r>
        <w:tab/>
        <w:t>must not damage, obscure or replace a page or part of a page of the incident register;</w:t>
      </w:r>
    </w:p>
    <w:p>
      <w:pPr>
        <w:pStyle w:val="yIndenta"/>
      </w:pPr>
      <w:r>
        <w:tab/>
        <w:t>(d)</w:t>
      </w:r>
      <w:r>
        <w:tab/>
        <w:t>must not deliberately erase, obscure or otherwise render illegible any entry or part of an entry in the incident register;</w:t>
      </w:r>
    </w:p>
    <w:p>
      <w:pPr>
        <w:pStyle w:val="yIndenta"/>
      </w:pPr>
      <w:r>
        <w:tab/>
        <w:t>(e)</w:t>
      </w:r>
      <w:r>
        <w:tab/>
        <w:t>must not request or allow another person to deliberately erase, obscure or otherwise render illegible any entry or part of an entry in the incident register;</w:t>
      </w:r>
    </w:p>
    <w:p>
      <w:pPr>
        <w:pStyle w:val="yIndenta"/>
      </w:pPr>
      <w:r>
        <w:tab/>
        <w:t>(f)</w:t>
      </w:r>
      <w:r>
        <w:tab/>
        <w:t>must date and initial any alteration that he or she makes to an entry in the incident register and legibly print his or her full name near the initials.</w:t>
      </w:r>
    </w:p>
    <w:p>
      <w:pPr>
        <w:pStyle w:val="yFootnotesection"/>
      </w:pPr>
      <w:r>
        <w:tab/>
        <w:t>[Clause 19 inserted in Gazette 1 Sep 2005 p. 4091.]</w:t>
      </w:r>
    </w:p>
    <w:p>
      <w:pPr>
        <w:pStyle w:val="yHeading3"/>
      </w:pPr>
      <w:bookmarkStart w:id="691" w:name="_Toc113259714"/>
      <w:bookmarkStart w:id="692" w:name="_Toc113260430"/>
      <w:bookmarkStart w:id="693" w:name="_Toc113263575"/>
      <w:bookmarkStart w:id="694" w:name="_Toc116795542"/>
      <w:bookmarkStart w:id="695" w:name="_Toc116967063"/>
      <w:bookmarkStart w:id="696" w:name="_Toc117567805"/>
      <w:bookmarkStart w:id="697" w:name="_Toc117659561"/>
      <w:bookmarkStart w:id="698" w:name="_Toc117914004"/>
      <w:bookmarkStart w:id="699" w:name="_Toc117914095"/>
      <w:bookmarkStart w:id="700" w:name="_Toc120077285"/>
      <w:r>
        <w:rPr>
          <w:rStyle w:val="CharSDivNo"/>
        </w:rPr>
        <w:t>Division 6 — </w:t>
      </w:r>
      <w:r>
        <w:rPr>
          <w:rStyle w:val="CharSDivText"/>
        </w:rPr>
        <w:t>All licences</w:t>
      </w:r>
      <w:bookmarkEnd w:id="691"/>
      <w:bookmarkEnd w:id="692"/>
      <w:bookmarkEnd w:id="693"/>
      <w:bookmarkEnd w:id="694"/>
      <w:bookmarkEnd w:id="695"/>
      <w:bookmarkEnd w:id="696"/>
      <w:bookmarkEnd w:id="697"/>
      <w:bookmarkEnd w:id="698"/>
      <w:bookmarkEnd w:id="699"/>
      <w:bookmarkEnd w:id="700"/>
    </w:p>
    <w:p>
      <w:pPr>
        <w:pStyle w:val="yFootnoteheading"/>
      </w:pPr>
      <w:r>
        <w:tab/>
        <w:t>[Heading inserted in Gazette 1 Sep 2005 p. 4091.]</w:t>
      </w:r>
    </w:p>
    <w:p>
      <w:pPr>
        <w:pStyle w:val="yHeading5"/>
      </w:pPr>
      <w:bookmarkStart w:id="701" w:name="_Toc117914005"/>
      <w:bookmarkStart w:id="702" w:name="_Toc120077286"/>
      <w:r>
        <w:rPr>
          <w:rStyle w:val="CharSClsNo"/>
        </w:rPr>
        <w:t>20.</w:t>
      </w:r>
      <w:r>
        <w:rPr>
          <w:rStyle w:val="CharSClsNo"/>
        </w:rPr>
        <w:tab/>
      </w:r>
      <w:r>
        <w:rPr>
          <w:snapToGrid w:val="0"/>
        </w:rPr>
        <w:t>Identity cards</w:t>
      </w:r>
      <w:bookmarkEnd w:id="701"/>
      <w:bookmarkEnd w:id="702"/>
    </w:p>
    <w:p>
      <w:pPr>
        <w:pStyle w:val="ySubsection"/>
      </w:pPr>
      <w:r>
        <w:tab/>
      </w:r>
      <w:r>
        <w:tab/>
        <w:t xml:space="preserve">A person to whom an identity card is issued — </w:t>
      </w:r>
    </w:p>
    <w:p>
      <w:pPr>
        <w:pStyle w:val="yIndenta"/>
      </w:pPr>
      <w:r>
        <w:tab/>
        <w:t>(a)</w:t>
      </w:r>
      <w:r>
        <w:tab/>
        <w:t>must not deliberately alter, erase, obscure or otherwise render illegible any written information on the identity card;</w:t>
      </w:r>
    </w:p>
    <w:p>
      <w:pPr>
        <w:pStyle w:val="yIndenta"/>
      </w:pPr>
      <w:r>
        <w:tab/>
        <w:t>(b)</w:t>
      </w:r>
      <w:r>
        <w:tab/>
        <w:t>must not deliberately alter, remove or obscure the photograph on the identity card;</w:t>
      </w:r>
    </w:p>
    <w:p>
      <w:pPr>
        <w:pStyle w:val="yIndenta"/>
      </w:pPr>
      <w:r>
        <w:tab/>
        <w:t>(c)</w:t>
      </w:r>
      <w:r>
        <w:tab/>
        <w:t>must not request or allow another person to deliberately alter, erase, obscure or otherwise render illegible any written information on the identity card; and</w:t>
      </w:r>
    </w:p>
    <w:p>
      <w:pPr>
        <w:pStyle w:val="yIndenta"/>
      </w:pPr>
      <w:r>
        <w:tab/>
        <w:t>(d)</w:t>
      </w:r>
      <w:r>
        <w:tab/>
        <w:t>must not request or allow another person to deliberately alter, remove or obscure the photograph on the identity card.</w:t>
      </w:r>
    </w:p>
    <w:p>
      <w:pPr>
        <w:pStyle w:val="yFootnotesection"/>
      </w:pPr>
      <w:r>
        <w:tab/>
        <w:t>[Clause 20 inserted in Gazette 1 Sep 2005 p. 4091</w:t>
      </w:r>
      <w:r>
        <w:noBreakHyphen/>
        <w:t>2.]</w:t>
      </w:r>
    </w:p>
    <w:p>
      <w:pPr>
        <w:pStyle w:val="yEdnoteschedule"/>
      </w:pPr>
      <w:r>
        <w:t>[Schedule 2 repealed in Gazette 30 Dec 2004 p. 6977.]</w:t>
      </w:r>
    </w:p>
    <w:p>
      <w:pPr>
        <w:pStyle w:val="yScheduleHeading"/>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703" w:name="_Toc92874032"/>
      <w:bookmarkStart w:id="704" w:name="_Toc113259716"/>
      <w:bookmarkStart w:id="705" w:name="_Toc113260432"/>
      <w:bookmarkStart w:id="706" w:name="_Toc113263577"/>
      <w:bookmarkStart w:id="707" w:name="_Toc116795544"/>
      <w:bookmarkStart w:id="708" w:name="_Toc116967065"/>
      <w:bookmarkStart w:id="709" w:name="_Toc117567807"/>
    </w:p>
    <w:p>
      <w:pPr>
        <w:pStyle w:val="yScheduleHeading"/>
      </w:pPr>
      <w:bookmarkStart w:id="710" w:name="_Toc117659563"/>
      <w:bookmarkStart w:id="711" w:name="_Toc117914006"/>
      <w:bookmarkStart w:id="712" w:name="_Toc117914097"/>
      <w:bookmarkStart w:id="713" w:name="_Toc120077287"/>
      <w:r>
        <w:rPr>
          <w:rStyle w:val="CharSchNo"/>
        </w:rPr>
        <w:t>Schedule 3</w:t>
      </w:r>
      <w:r>
        <w:t> — </w:t>
      </w:r>
      <w:r>
        <w:rPr>
          <w:rStyle w:val="CharSchText"/>
        </w:rPr>
        <w:t>Prescribed drugs</w:t>
      </w:r>
      <w:bookmarkEnd w:id="689"/>
      <w:bookmarkEnd w:id="690"/>
      <w:bookmarkEnd w:id="703"/>
      <w:bookmarkEnd w:id="704"/>
      <w:bookmarkEnd w:id="705"/>
      <w:bookmarkEnd w:id="706"/>
      <w:bookmarkEnd w:id="707"/>
      <w:bookmarkEnd w:id="708"/>
      <w:bookmarkEnd w:id="709"/>
      <w:bookmarkEnd w:id="710"/>
      <w:bookmarkEnd w:id="711"/>
      <w:bookmarkEnd w:id="712"/>
      <w:bookmarkEnd w:id="713"/>
      <w:r>
        <w:t xml:space="preserve"> </w:t>
      </w:r>
    </w:p>
    <w:p>
      <w:pPr>
        <w:pStyle w:val="yShoulderClause"/>
        <w:rPr>
          <w:snapToGrid w:val="0"/>
        </w:rPr>
      </w:pPr>
      <w:r>
        <w:rPr>
          <w:snapToGrid w:val="0"/>
        </w:rPr>
        <w:t>[Regulations 45, 51 and 52]</w:t>
      </w:r>
    </w:p>
    <w:p>
      <w:pPr>
        <w:pStyle w:val="yHeading5"/>
        <w:outlineLvl w:val="9"/>
        <w:rPr>
          <w:snapToGrid w:val="0"/>
        </w:rPr>
      </w:pPr>
    </w:p>
    <w:p>
      <w:pPr>
        <w:pStyle w:val="ySubsection"/>
        <w:rPr>
          <w:snapToGrid w:val="0"/>
        </w:rPr>
      </w:pPr>
      <w:r>
        <w:rPr>
          <w:snapToGrid w:val="0"/>
        </w:rPr>
        <w:tab/>
      </w:r>
      <w:r>
        <w:rPr>
          <w:snapToGrid w:val="0"/>
        </w:rPr>
        <w:tab/>
        <w:t>Any drug, other than testosterone, that is from time to time — </w:t>
      </w:r>
    </w:p>
    <w:p>
      <w:pPr>
        <w:pStyle w:val="yIndenta"/>
        <w:rPr>
          <w:snapToGrid w:val="0"/>
        </w:rPr>
      </w:pPr>
      <w:r>
        <w:rPr>
          <w:snapToGrid w:val="0"/>
        </w:rPr>
        <w:tab/>
        <w:t>(a)</w:t>
      </w:r>
      <w:r>
        <w:rPr>
          <w:snapToGrid w:val="0"/>
        </w:rPr>
        <w:tab/>
        <w:t xml:space="preserve">declared under section 22A of the </w:t>
      </w:r>
      <w:r>
        <w:rPr>
          <w:i/>
          <w:snapToGrid w:val="0"/>
        </w:rPr>
        <w:t>Poisons Act 1964</w:t>
      </w:r>
      <w:r>
        <w:rPr>
          <w:snapToGrid w:val="0"/>
        </w:rPr>
        <w:t xml:space="preserve"> to be a specified drug; or</w:t>
      </w:r>
    </w:p>
    <w:p>
      <w:pPr>
        <w:pStyle w:val="yIndenta"/>
        <w:rPr>
          <w:snapToGrid w:val="0"/>
        </w:rPr>
      </w:pPr>
      <w:r>
        <w:rPr>
          <w:snapToGrid w:val="0"/>
        </w:rPr>
        <w:tab/>
        <w:t>(b)</w:t>
      </w:r>
      <w:r>
        <w:rPr>
          <w:snapToGrid w:val="0"/>
        </w:rPr>
        <w:tab/>
        <w:t>included in Schedule 8 or 9 of that Act.</w:t>
      </w:r>
    </w:p>
    <w:p>
      <w:pPr>
        <w:pStyle w:val="yScheduleHeading"/>
      </w:pPr>
      <w:bookmarkStart w:id="714" w:name="_Toc113259718"/>
      <w:bookmarkStart w:id="715" w:name="_Toc113260434"/>
      <w:bookmarkStart w:id="716" w:name="_Toc113263578"/>
      <w:bookmarkStart w:id="717" w:name="_Toc116795545"/>
      <w:bookmarkStart w:id="718" w:name="_Toc116967066"/>
      <w:bookmarkStart w:id="719" w:name="_Toc117567808"/>
      <w:bookmarkStart w:id="720" w:name="_Toc117659564"/>
      <w:bookmarkStart w:id="721" w:name="_Toc117914007"/>
      <w:bookmarkStart w:id="722" w:name="_Toc117914098"/>
      <w:bookmarkStart w:id="723" w:name="_Toc120077288"/>
      <w:r>
        <w:rPr>
          <w:rStyle w:val="CharSchNo"/>
        </w:rPr>
        <w:t>Schedule 4</w:t>
      </w:r>
      <w:r>
        <w:t> — </w:t>
      </w:r>
      <w:r>
        <w:rPr>
          <w:rStyle w:val="CharSchText"/>
        </w:rPr>
        <w:t>Fees</w:t>
      </w:r>
      <w:bookmarkEnd w:id="714"/>
      <w:bookmarkEnd w:id="715"/>
      <w:bookmarkEnd w:id="716"/>
      <w:bookmarkEnd w:id="717"/>
      <w:bookmarkEnd w:id="718"/>
      <w:bookmarkEnd w:id="719"/>
      <w:bookmarkEnd w:id="720"/>
      <w:bookmarkEnd w:id="721"/>
      <w:bookmarkEnd w:id="722"/>
      <w:bookmarkEnd w:id="723"/>
      <w:r>
        <w:t xml:space="preserve"> </w:t>
      </w:r>
    </w:p>
    <w:p>
      <w:pPr>
        <w:pStyle w:val="yFootnoteheading"/>
      </w:pPr>
      <w:r>
        <w:tab/>
        <w:t>[Heading inserted in Gazette 1 Sep 2005 p. 4092.]</w:t>
      </w:r>
    </w:p>
    <w:p>
      <w:pPr>
        <w:pStyle w:val="yShoulderClause"/>
      </w:pPr>
      <w:r>
        <w:rPr>
          <w:snapToGrid w:val="0"/>
        </w:rPr>
        <w:t>[Regulation 54]</w:t>
      </w:r>
    </w:p>
    <w:tbl>
      <w:tblPr>
        <w:tblW w:w="0" w:type="auto"/>
        <w:tblInd w:w="283" w:type="dxa"/>
        <w:tblLayout w:type="fixed"/>
        <w:tblCellMar>
          <w:left w:w="141" w:type="dxa"/>
          <w:right w:w="141" w:type="dxa"/>
        </w:tblCellMar>
        <w:tblLook w:val="0000" w:firstRow="0" w:lastRow="0" w:firstColumn="0" w:lastColumn="0" w:noHBand="0" w:noVBand="0"/>
      </w:tblPr>
      <w:tblGrid>
        <w:gridCol w:w="1559"/>
        <w:gridCol w:w="567"/>
        <w:gridCol w:w="3119"/>
        <w:gridCol w:w="1417"/>
      </w:tblGrid>
      <w:tr>
        <w:trPr>
          <w:tblHeader/>
        </w:trPr>
        <w:tc>
          <w:tcPr>
            <w:tcW w:w="2126" w:type="dxa"/>
            <w:gridSpan w:val="2"/>
            <w:tcBorders>
              <w:top w:val="single" w:sz="4" w:space="0" w:color="auto"/>
              <w:bottom w:val="single" w:sz="4" w:space="0" w:color="auto"/>
            </w:tcBorders>
          </w:tcPr>
          <w:p>
            <w:pPr>
              <w:pStyle w:val="yTable"/>
              <w:rPr>
                <w:b/>
                <w:bCs/>
              </w:rPr>
            </w:pPr>
            <w:r>
              <w:rPr>
                <w:b/>
                <w:bCs/>
              </w:rPr>
              <w:t xml:space="preserve">Provision of Act </w:t>
            </w:r>
            <w:r>
              <w:rPr>
                <w:b/>
                <w:bCs/>
              </w:rPr>
              <w:br/>
              <w:t>or regulations</w:t>
            </w:r>
          </w:p>
          <w:p>
            <w:pPr>
              <w:pStyle w:val="yTable"/>
              <w:rPr>
                <w:b/>
                <w:bCs/>
              </w:rPr>
            </w:pPr>
            <w:r>
              <w:rPr>
                <w:b/>
                <w:bCs/>
              </w:rPr>
              <w:t>Column 1</w:t>
            </w:r>
          </w:p>
        </w:tc>
        <w:tc>
          <w:tcPr>
            <w:tcW w:w="3119" w:type="dxa"/>
            <w:tcBorders>
              <w:top w:val="single" w:sz="4" w:space="0" w:color="auto"/>
              <w:bottom w:val="single" w:sz="4" w:space="0" w:color="auto"/>
            </w:tcBorders>
          </w:tcPr>
          <w:p>
            <w:pPr>
              <w:pStyle w:val="yTable"/>
              <w:rPr>
                <w:b/>
                <w:bCs/>
              </w:rPr>
            </w:pPr>
            <w:r>
              <w:rPr>
                <w:b/>
                <w:bCs/>
              </w:rPr>
              <w:t>Subject matter</w:t>
            </w:r>
          </w:p>
          <w:p>
            <w:pPr>
              <w:pStyle w:val="yTable"/>
              <w:tabs>
                <w:tab w:val="left" w:pos="231"/>
              </w:tabs>
              <w:spacing w:before="320"/>
              <w:rPr>
                <w:b/>
                <w:bCs/>
              </w:rPr>
            </w:pPr>
            <w:r>
              <w:rPr>
                <w:b/>
                <w:bCs/>
              </w:rPr>
              <w:t>Column 2</w:t>
            </w:r>
          </w:p>
        </w:tc>
        <w:tc>
          <w:tcPr>
            <w:tcW w:w="1417" w:type="dxa"/>
            <w:tcBorders>
              <w:top w:val="single" w:sz="4" w:space="0" w:color="auto"/>
              <w:bottom w:val="single" w:sz="4" w:space="0" w:color="auto"/>
            </w:tcBorders>
          </w:tcPr>
          <w:p>
            <w:pPr>
              <w:pStyle w:val="yTable"/>
              <w:rPr>
                <w:b/>
                <w:bCs/>
              </w:rPr>
            </w:pPr>
            <w:r>
              <w:rPr>
                <w:b/>
                <w:bCs/>
              </w:rPr>
              <w:t>Fee ($)</w:t>
            </w:r>
          </w:p>
          <w:p>
            <w:pPr>
              <w:pStyle w:val="yTable"/>
              <w:spacing w:before="320"/>
              <w:rPr>
                <w:b/>
                <w:bCs/>
              </w:rPr>
            </w:pPr>
            <w:r>
              <w:rPr>
                <w:b/>
                <w:bCs/>
              </w:rPr>
              <w:t>Column 3</w:t>
            </w:r>
          </w:p>
        </w:tc>
      </w:tr>
      <w:tr>
        <w:trPr>
          <w:cantSplit/>
        </w:trPr>
        <w:tc>
          <w:tcPr>
            <w:tcW w:w="6662" w:type="dxa"/>
            <w:gridSpan w:val="4"/>
            <w:tcBorders>
              <w:top w:val="single" w:sz="4" w:space="0" w:color="auto"/>
            </w:tcBorders>
          </w:tcPr>
          <w:p>
            <w:pPr>
              <w:pStyle w:val="yTable"/>
            </w:pPr>
            <w:r>
              <w:rPr>
                <w:i/>
                <w:u w:val="single"/>
              </w:rPr>
              <w:t>Agent’s licences</w:t>
            </w:r>
          </w:p>
        </w:tc>
      </w:tr>
      <w:tr>
        <w:trPr>
          <w:cantSplit/>
        </w:trPr>
        <w:tc>
          <w:tcPr>
            <w:tcW w:w="1559" w:type="dxa"/>
          </w:tcPr>
          <w:p>
            <w:pPr>
              <w:pStyle w:val="yTable"/>
            </w:pPr>
            <w:r>
              <w:t>s. 46(1)</w:t>
            </w:r>
          </w:p>
        </w:tc>
        <w:tc>
          <w:tcPr>
            <w:tcW w:w="3686" w:type="dxa"/>
            <w:gridSpan w:val="2"/>
          </w:tcPr>
          <w:p>
            <w:pPr>
              <w:pStyle w:val="yTable"/>
            </w:pPr>
            <w:r>
              <w:t>Application for issue of agent’s licence </w:t>
            </w:r>
            <w:r>
              <w:rPr>
                <w:snapToGrid w:val="0"/>
              </w:rPr>
              <w:t>—</w:t>
            </w:r>
            <w:r>
              <w:t> </w:t>
            </w:r>
          </w:p>
        </w:tc>
        <w:tc>
          <w:tcPr>
            <w:tcW w:w="1417" w:type="dxa"/>
          </w:tcPr>
          <w:p>
            <w:pPr>
              <w:pStyle w:val="yTable"/>
            </w:pPr>
          </w:p>
        </w:tc>
      </w:tr>
      <w:tr>
        <w:trPr>
          <w:cantSplit/>
        </w:trPr>
        <w:tc>
          <w:tcPr>
            <w:tcW w:w="1559" w:type="dxa"/>
          </w:tcPr>
          <w:p>
            <w:pPr>
              <w:pStyle w:val="zytable"/>
              <w:ind w:hanging="566"/>
            </w:pPr>
          </w:p>
        </w:tc>
        <w:tc>
          <w:tcPr>
            <w:tcW w:w="3686" w:type="dxa"/>
            <w:gridSpan w:val="2"/>
          </w:tcPr>
          <w:p>
            <w:pPr>
              <w:pStyle w:val="yTable"/>
              <w:tabs>
                <w:tab w:val="left" w:pos="198"/>
              </w:tabs>
            </w:pPr>
            <w:r>
              <w:tab/>
              <w:t>for one year or less* ……………...</w:t>
            </w:r>
          </w:p>
        </w:tc>
        <w:tc>
          <w:tcPr>
            <w:tcW w:w="1417" w:type="dxa"/>
          </w:tcPr>
          <w:p>
            <w:pPr>
              <w:pStyle w:val="yTable"/>
              <w:ind w:right="303"/>
              <w:jc w:val="right"/>
            </w:pPr>
            <w:r>
              <w:t>370</w:t>
            </w:r>
          </w:p>
        </w:tc>
      </w:tr>
      <w:tr>
        <w:trPr>
          <w:cantSplit/>
        </w:trPr>
        <w:tc>
          <w:tcPr>
            <w:tcW w:w="1559" w:type="dxa"/>
          </w:tcPr>
          <w:p>
            <w:pPr>
              <w:pStyle w:val="zytable"/>
              <w:ind w:hanging="566"/>
            </w:pPr>
          </w:p>
        </w:tc>
        <w:tc>
          <w:tcPr>
            <w:tcW w:w="3686" w:type="dxa"/>
            <w:gridSpan w:val="2"/>
          </w:tcPr>
          <w:p>
            <w:pPr>
              <w:pStyle w:val="yTable"/>
              <w:tabs>
                <w:tab w:val="left" w:pos="198"/>
              </w:tabs>
            </w:pPr>
            <w:r>
              <w:tab/>
              <w:t>for 3 years ………………………..</w:t>
            </w:r>
          </w:p>
        </w:tc>
        <w:tc>
          <w:tcPr>
            <w:tcW w:w="1417" w:type="dxa"/>
          </w:tcPr>
          <w:p>
            <w:pPr>
              <w:pStyle w:val="yTable"/>
              <w:ind w:right="303"/>
              <w:jc w:val="right"/>
            </w:pPr>
            <w:r>
              <w:t>390</w:t>
            </w:r>
          </w:p>
        </w:tc>
      </w:tr>
      <w:tr>
        <w:trPr>
          <w:cantSplit/>
        </w:trPr>
        <w:tc>
          <w:tcPr>
            <w:tcW w:w="1559" w:type="dxa"/>
          </w:tcPr>
          <w:p>
            <w:pPr>
              <w:pStyle w:val="yTable"/>
            </w:pPr>
            <w:r>
              <w:t>s. 46(1)</w:t>
            </w:r>
          </w:p>
        </w:tc>
        <w:tc>
          <w:tcPr>
            <w:tcW w:w="3686" w:type="dxa"/>
            <w:gridSpan w:val="2"/>
          </w:tcPr>
          <w:p>
            <w:pPr>
              <w:pStyle w:val="yTable"/>
            </w:pPr>
            <w:r>
              <w:t>Application by licensee for an additional agent’s licence (each) …….</w:t>
            </w:r>
          </w:p>
        </w:tc>
        <w:tc>
          <w:tcPr>
            <w:tcW w:w="1417" w:type="dxa"/>
          </w:tcPr>
          <w:p>
            <w:pPr>
              <w:pStyle w:val="yTable"/>
              <w:ind w:right="303"/>
              <w:jc w:val="right"/>
            </w:pPr>
            <w:r>
              <w:br/>
              <w:t>150</w:t>
            </w:r>
          </w:p>
        </w:tc>
      </w:tr>
      <w:tr>
        <w:trPr>
          <w:cantSplit/>
        </w:trPr>
        <w:tc>
          <w:tcPr>
            <w:tcW w:w="1559" w:type="dxa"/>
          </w:tcPr>
          <w:p>
            <w:pPr>
              <w:pStyle w:val="yTable"/>
            </w:pPr>
            <w:r>
              <w:t>s. 49(1)(c)</w:t>
            </w:r>
          </w:p>
        </w:tc>
        <w:tc>
          <w:tcPr>
            <w:tcW w:w="3686" w:type="dxa"/>
            <w:gridSpan w:val="2"/>
          </w:tcPr>
          <w:p>
            <w:pPr>
              <w:pStyle w:val="yTable"/>
            </w:pPr>
            <w:r>
              <w:t>Application for renewal of agent’s licence </w:t>
            </w:r>
            <w:r>
              <w:rPr>
                <w:snapToGrid w:val="0"/>
              </w:rPr>
              <w:t xml:space="preserve">— </w:t>
            </w:r>
            <w:r>
              <w:t>3 year (each) ……………..</w:t>
            </w:r>
          </w:p>
        </w:tc>
        <w:tc>
          <w:tcPr>
            <w:tcW w:w="1417" w:type="dxa"/>
          </w:tcPr>
          <w:p>
            <w:pPr>
              <w:pStyle w:val="yTable"/>
              <w:ind w:right="303"/>
              <w:jc w:val="right"/>
            </w:pPr>
            <w:r>
              <w:br/>
              <w:t>205</w:t>
            </w:r>
          </w:p>
        </w:tc>
      </w:tr>
      <w:tr>
        <w:trPr>
          <w:cantSplit/>
        </w:trPr>
        <w:tc>
          <w:tcPr>
            <w:tcW w:w="6662" w:type="dxa"/>
            <w:gridSpan w:val="4"/>
          </w:tcPr>
          <w:p>
            <w:pPr>
              <w:pStyle w:val="yTable"/>
            </w:pPr>
            <w:r>
              <w:rPr>
                <w:i/>
                <w:iCs/>
                <w:u w:val="single"/>
              </w:rPr>
              <w:t>Other</w:t>
            </w:r>
            <w:r>
              <w:rPr>
                <w:i/>
                <w:u w:val="single"/>
              </w:rPr>
              <w:t xml:space="preserve"> licences</w:t>
            </w:r>
          </w:p>
        </w:tc>
      </w:tr>
      <w:tr>
        <w:trPr>
          <w:cantSplit/>
        </w:trPr>
        <w:tc>
          <w:tcPr>
            <w:tcW w:w="1559" w:type="dxa"/>
          </w:tcPr>
          <w:p>
            <w:pPr>
              <w:pStyle w:val="yTable"/>
            </w:pPr>
            <w:r>
              <w:t>s. 46(1)</w:t>
            </w:r>
          </w:p>
        </w:tc>
        <w:tc>
          <w:tcPr>
            <w:tcW w:w="3686" w:type="dxa"/>
            <w:gridSpan w:val="2"/>
          </w:tcPr>
          <w:p>
            <w:pPr>
              <w:pStyle w:val="yTable"/>
            </w:pPr>
            <w:r>
              <w:t>Application for issue of any other licence — </w:t>
            </w:r>
          </w:p>
        </w:tc>
        <w:tc>
          <w:tcPr>
            <w:tcW w:w="1417" w:type="dxa"/>
          </w:tcPr>
          <w:p>
            <w:pPr>
              <w:pStyle w:val="yTable"/>
            </w:pPr>
          </w:p>
        </w:tc>
      </w:tr>
      <w:tr>
        <w:trPr>
          <w:cantSplit/>
        </w:trPr>
        <w:tc>
          <w:tcPr>
            <w:tcW w:w="1559" w:type="dxa"/>
          </w:tcPr>
          <w:p>
            <w:pPr>
              <w:pStyle w:val="zytable"/>
              <w:ind w:hanging="566"/>
            </w:pPr>
          </w:p>
        </w:tc>
        <w:tc>
          <w:tcPr>
            <w:tcW w:w="3686" w:type="dxa"/>
            <w:gridSpan w:val="2"/>
          </w:tcPr>
          <w:p>
            <w:pPr>
              <w:pStyle w:val="yTable"/>
              <w:tabs>
                <w:tab w:val="left" w:pos="198"/>
              </w:tabs>
            </w:pPr>
            <w:r>
              <w:tab/>
              <w:t>for one year or less ……………….</w:t>
            </w:r>
          </w:p>
        </w:tc>
        <w:tc>
          <w:tcPr>
            <w:tcW w:w="1417" w:type="dxa"/>
          </w:tcPr>
          <w:p>
            <w:pPr>
              <w:pStyle w:val="yTable"/>
              <w:ind w:right="303"/>
              <w:jc w:val="right"/>
            </w:pPr>
            <w:r>
              <w:t>129</w:t>
            </w:r>
          </w:p>
        </w:tc>
      </w:tr>
      <w:tr>
        <w:trPr>
          <w:cantSplit/>
        </w:trPr>
        <w:tc>
          <w:tcPr>
            <w:tcW w:w="1559" w:type="dxa"/>
          </w:tcPr>
          <w:p>
            <w:pPr>
              <w:pStyle w:val="zytable"/>
              <w:ind w:hanging="566"/>
            </w:pPr>
          </w:p>
        </w:tc>
        <w:tc>
          <w:tcPr>
            <w:tcW w:w="3686" w:type="dxa"/>
            <w:gridSpan w:val="2"/>
          </w:tcPr>
          <w:p>
            <w:pPr>
              <w:pStyle w:val="yTable"/>
              <w:tabs>
                <w:tab w:val="left" w:pos="198"/>
              </w:tabs>
            </w:pPr>
            <w:r>
              <w:tab/>
              <w:t>for 3 years ………………………..</w:t>
            </w:r>
          </w:p>
        </w:tc>
        <w:tc>
          <w:tcPr>
            <w:tcW w:w="1417" w:type="dxa"/>
          </w:tcPr>
          <w:p>
            <w:pPr>
              <w:pStyle w:val="yTable"/>
              <w:ind w:right="303"/>
              <w:jc w:val="right"/>
            </w:pPr>
            <w:r>
              <w:t>150</w:t>
            </w:r>
          </w:p>
        </w:tc>
      </w:tr>
      <w:tr>
        <w:trPr>
          <w:cantSplit/>
        </w:trPr>
        <w:tc>
          <w:tcPr>
            <w:tcW w:w="1559" w:type="dxa"/>
          </w:tcPr>
          <w:p>
            <w:pPr>
              <w:pStyle w:val="yTable"/>
            </w:pPr>
            <w:r>
              <w:t>s. 46(1)</w:t>
            </w:r>
          </w:p>
        </w:tc>
        <w:tc>
          <w:tcPr>
            <w:tcW w:w="3686" w:type="dxa"/>
            <w:gridSpan w:val="2"/>
          </w:tcPr>
          <w:p>
            <w:pPr>
              <w:pStyle w:val="yTable"/>
            </w:pPr>
            <w:r>
              <w:t>Application by licensee for an additional other licence (each) ………</w:t>
            </w:r>
          </w:p>
        </w:tc>
        <w:tc>
          <w:tcPr>
            <w:tcW w:w="1417" w:type="dxa"/>
          </w:tcPr>
          <w:p>
            <w:pPr>
              <w:pStyle w:val="yTable"/>
              <w:ind w:right="303"/>
              <w:jc w:val="right"/>
            </w:pPr>
            <w:r>
              <w:br/>
              <w:t>95</w:t>
            </w:r>
          </w:p>
        </w:tc>
      </w:tr>
      <w:tr>
        <w:trPr>
          <w:cantSplit/>
        </w:trPr>
        <w:tc>
          <w:tcPr>
            <w:tcW w:w="1559" w:type="dxa"/>
          </w:tcPr>
          <w:p>
            <w:pPr>
              <w:pStyle w:val="yTable"/>
            </w:pPr>
            <w:r>
              <w:t>s. 49(1)(c)</w:t>
            </w:r>
          </w:p>
        </w:tc>
        <w:tc>
          <w:tcPr>
            <w:tcW w:w="3686" w:type="dxa"/>
            <w:gridSpan w:val="2"/>
          </w:tcPr>
          <w:p>
            <w:pPr>
              <w:pStyle w:val="yTable"/>
            </w:pPr>
            <w:r>
              <w:t>Application for renewal of any other licence — 3 year (each) ……………..</w:t>
            </w:r>
          </w:p>
        </w:tc>
        <w:tc>
          <w:tcPr>
            <w:tcW w:w="1417" w:type="dxa"/>
          </w:tcPr>
          <w:p>
            <w:pPr>
              <w:pStyle w:val="yTable"/>
              <w:ind w:right="303"/>
              <w:jc w:val="right"/>
            </w:pPr>
            <w:r>
              <w:br/>
              <w:t>119</w:t>
            </w:r>
          </w:p>
        </w:tc>
      </w:tr>
      <w:tr>
        <w:trPr>
          <w:cantSplit/>
        </w:trPr>
        <w:tc>
          <w:tcPr>
            <w:tcW w:w="1559" w:type="dxa"/>
          </w:tcPr>
          <w:p>
            <w:pPr>
              <w:pStyle w:val="yTable"/>
            </w:pPr>
            <w:r>
              <w:t>r. 10</w:t>
            </w:r>
          </w:p>
        </w:tc>
        <w:tc>
          <w:tcPr>
            <w:tcW w:w="3686" w:type="dxa"/>
            <w:gridSpan w:val="2"/>
          </w:tcPr>
          <w:p>
            <w:pPr>
              <w:pStyle w:val="yTable"/>
            </w:pPr>
            <w:r>
              <w:t>Application for endorsement under section 24 ……………………………</w:t>
            </w:r>
          </w:p>
        </w:tc>
        <w:tc>
          <w:tcPr>
            <w:tcW w:w="1417" w:type="dxa"/>
          </w:tcPr>
          <w:p>
            <w:pPr>
              <w:pStyle w:val="yTable"/>
              <w:ind w:right="303"/>
              <w:jc w:val="right"/>
            </w:pPr>
            <w:r>
              <w:br/>
              <w:t>30</w:t>
            </w:r>
          </w:p>
        </w:tc>
      </w:tr>
      <w:tr>
        <w:trPr>
          <w:cantSplit/>
        </w:trPr>
        <w:tc>
          <w:tcPr>
            <w:tcW w:w="1559" w:type="dxa"/>
          </w:tcPr>
          <w:p>
            <w:pPr>
              <w:pStyle w:val="yTable"/>
            </w:pPr>
            <w:r>
              <w:t>r. 12</w:t>
            </w:r>
          </w:p>
        </w:tc>
        <w:tc>
          <w:tcPr>
            <w:tcW w:w="3686" w:type="dxa"/>
            <w:gridSpan w:val="2"/>
          </w:tcPr>
          <w:p>
            <w:pPr>
              <w:pStyle w:val="yTable"/>
            </w:pPr>
            <w:r>
              <w:t>Application for permit under section 25 ……………………………</w:t>
            </w:r>
          </w:p>
        </w:tc>
        <w:tc>
          <w:tcPr>
            <w:tcW w:w="1417" w:type="dxa"/>
          </w:tcPr>
          <w:p>
            <w:pPr>
              <w:pStyle w:val="yTable"/>
              <w:ind w:right="303"/>
              <w:jc w:val="right"/>
            </w:pPr>
            <w:r>
              <w:br/>
              <w:t>119</w:t>
            </w:r>
          </w:p>
        </w:tc>
      </w:tr>
      <w:tr>
        <w:trPr>
          <w:cantSplit/>
        </w:trPr>
        <w:tc>
          <w:tcPr>
            <w:tcW w:w="1559" w:type="dxa"/>
          </w:tcPr>
          <w:p>
            <w:pPr>
              <w:pStyle w:val="yTable"/>
            </w:pPr>
            <w:r>
              <w:t>r. 13</w:t>
            </w:r>
          </w:p>
        </w:tc>
        <w:tc>
          <w:tcPr>
            <w:tcW w:w="3686" w:type="dxa"/>
            <w:gridSpan w:val="2"/>
          </w:tcPr>
          <w:p>
            <w:pPr>
              <w:pStyle w:val="yTable"/>
            </w:pPr>
            <w:r>
              <w:t>Application for endorsement under section 26 ……………………………</w:t>
            </w:r>
          </w:p>
        </w:tc>
        <w:tc>
          <w:tcPr>
            <w:tcW w:w="1417" w:type="dxa"/>
          </w:tcPr>
          <w:p>
            <w:pPr>
              <w:pStyle w:val="yTable"/>
              <w:ind w:right="303"/>
              <w:jc w:val="right"/>
            </w:pPr>
            <w:r>
              <w:br/>
              <w:t>30</w:t>
            </w:r>
          </w:p>
        </w:tc>
      </w:tr>
      <w:tr>
        <w:trPr>
          <w:cantSplit/>
        </w:trPr>
        <w:tc>
          <w:tcPr>
            <w:tcW w:w="6662" w:type="dxa"/>
            <w:gridSpan w:val="4"/>
          </w:tcPr>
          <w:p>
            <w:pPr>
              <w:pStyle w:val="yTable"/>
            </w:pPr>
            <w:r>
              <w:rPr>
                <w:i/>
                <w:u w:val="single"/>
              </w:rPr>
              <w:t>Miscellaneous</w:t>
            </w:r>
          </w:p>
        </w:tc>
      </w:tr>
      <w:tr>
        <w:trPr>
          <w:cantSplit/>
        </w:trPr>
        <w:tc>
          <w:tcPr>
            <w:tcW w:w="1559" w:type="dxa"/>
          </w:tcPr>
          <w:p>
            <w:pPr>
              <w:pStyle w:val="yTable"/>
            </w:pPr>
            <w:r>
              <w:t>s. 10(2)</w:t>
            </w:r>
          </w:p>
        </w:tc>
        <w:tc>
          <w:tcPr>
            <w:tcW w:w="3686" w:type="dxa"/>
            <w:gridSpan w:val="2"/>
          </w:tcPr>
          <w:p>
            <w:pPr>
              <w:pStyle w:val="yTable"/>
            </w:pPr>
            <w:r>
              <w:t>Application to inspect register ………</w:t>
            </w:r>
          </w:p>
        </w:tc>
        <w:tc>
          <w:tcPr>
            <w:tcW w:w="1417" w:type="dxa"/>
          </w:tcPr>
          <w:p>
            <w:pPr>
              <w:pStyle w:val="yTable"/>
              <w:ind w:right="303"/>
              <w:jc w:val="right"/>
            </w:pPr>
            <w:r>
              <w:t>30</w:t>
            </w:r>
          </w:p>
        </w:tc>
      </w:tr>
      <w:tr>
        <w:trPr>
          <w:cantSplit/>
        </w:trPr>
        <w:tc>
          <w:tcPr>
            <w:tcW w:w="1559" w:type="dxa"/>
          </w:tcPr>
          <w:p>
            <w:pPr>
              <w:pStyle w:val="yTable"/>
            </w:pPr>
            <w:r>
              <w:t>s. 10(3)</w:t>
            </w:r>
          </w:p>
        </w:tc>
        <w:tc>
          <w:tcPr>
            <w:tcW w:w="3686" w:type="dxa"/>
            <w:gridSpan w:val="2"/>
          </w:tcPr>
          <w:p>
            <w:pPr>
              <w:pStyle w:val="yTable"/>
            </w:pPr>
            <w:r>
              <w:t>Certified copy of register entry ……...</w:t>
            </w:r>
          </w:p>
        </w:tc>
        <w:tc>
          <w:tcPr>
            <w:tcW w:w="1417" w:type="dxa"/>
          </w:tcPr>
          <w:p>
            <w:pPr>
              <w:pStyle w:val="yTable"/>
              <w:ind w:right="303"/>
              <w:jc w:val="right"/>
            </w:pPr>
            <w:r>
              <w:t>30</w:t>
            </w:r>
          </w:p>
        </w:tc>
      </w:tr>
      <w:tr>
        <w:trPr>
          <w:cantSplit/>
        </w:trPr>
        <w:tc>
          <w:tcPr>
            <w:tcW w:w="1559" w:type="dxa"/>
          </w:tcPr>
          <w:p>
            <w:pPr>
              <w:pStyle w:val="yTable"/>
            </w:pPr>
            <w:r>
              <w:t>s. 46(1)</w:t>
            </w:r>
          </w:p>
        </w:tc>
        <w:tc>
          <w:tcPr>
            <w:tcW w:w="3686" w:type="dxa"/>
            <w:gridSpan w:val="2"/>
          </w:tcPr>
          <w:p>
            <w:pPr>
              <w:pStyle w:val="yTable"/>
            </w:pPr>
            <w:r>
              <w:t>Fee if fingerprints and palm prints are required under section 48 ……………</w:t>
            </w:r>
          </w:p>
        </w:tc>
        <w:tc>
          <w:tcPr>
            <w:tcW w:w="1417" w:type="dxa"/>
          </w:tcPr>
          <w:p>
            <w:pPr>
              <w:pStyle w:val="yTable"/>
              <w:ind w:right="303"/>
              <w:jc w:val="right"/>
            </w:pPr>
            <w:r>
              <w:br/>
              <w:t>88</w:t>
            </w:r>
          </w:p>
        </w:tc>
      </w:tr>
      <w:tr>
        <w:trPr>
          <w:cantSplit/>
        </w:trPr>
        <w:tc>
          <w:tcPr>
            <w:tcW w:w="1559" w:type="dxa"/>
            <w:tcBorders>
              <w:bottom w:val="single" w:sz="4" w:space="0" w:color="auto"/>
            </w:tcBorders>
          </w:tcPr>
          <w:p>
            <w:pPr>
              <w:pStyle w:val="yTable"/>
            </w:pPr>
            <w:r>
              <w:t>s. 66</w:t>
            </w:r>
          </w:p>
        </w:tc>
        <w:tc>
          <w:tcPr>
            <w:tcW w:w="3686" w:type="dxa"/>
            <w:gridSpan w:val="2"/>
            <w:tcBorders>
              <w:bottom w:val="single" w:sz="4" w:space="0" w:color="auto"/>
            </w:tcBorders>
          </w:tcPr>
          <w:p>
            <w:pPr>
              <w:pStyle w:val="yTable"/>
            </w:pPr>
            <w:r>
              <w:t>Issue of duplicate licence or duplicate identification card …………………...</w:t>
            </w:r>
          </w:p>
        </w:tc>
        <w:tc>
          <w:tcPr>
            <w:tcW w:w="1417" w:type="dxa"/>
            <w:tcBorders>
              <w:bottom w:val="single" w:sz="4" w:space="0" w:color="auto"/>
            </w:tcBorders>
          </w:tcPr>
          <w:p>
            <w:pPr>
              <w:pStyle w:val="yTable"/>
              <w:ind w:right="303"/>
              <w:jc w:val="right"/>
            </w:pPr>
            <w:r>
              <w:br/>
              <w:t>19</w:t>
            </w:r>
          </w:p>
        </w:tc>
      </w:tr>
    </w:tbl>
    <w:p>
      <w:pPr>
        <w:pStyle w:val="yFootnotesection"/>
      </w:pPr>
      <w:r>
        <w:tab/>
        <w:t>[Schedule 4 inserted in Gazette 1 Sep 2005 p. 4092</w:t>
      </w:r>
      <w:r>
        <w:noBreakHyphen/>
        <w:t>3.]</w:t>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nHeading2"/>
      </w:pPr>
      <w:bookmarkStart w:id="724" w:name="_Toc77657714"/>
      <w:bookmarkStart w:id="725" w:name="_Toc78350786"/>
      <w:bookmarkStart w:id="726" w:name="_Toc78350899"/>
      <w:bookmarkStart w:id="727" w:name="_Toc92874034"/>
      <w:bookmarkStart w:id="728" w:name="_Toc113259719"/>
      <w:bookmarkStart w:id="729" w:name="_Toc113260435"/>
      <w:bookmarkStart w:id="730" w:name="_Toc113263579"/>
      <w:bookmarkStart w:id="731" w:name="_Toc116795546"/>
      <w:bookmarkStart w:id="732" w:name="_Toc116967067"/>
      <w:bookmarkStart w:id="733" w:name="_Toc117567809"/>
      <w:bookmarkStart w:id="734" w:name="_Toc117659565"/>
      <w:bookmarkStart w:id="735" w:name="_Toc117914008"/>
      <w:bookmarkStart w:id="736" w:name="_Toc117914099"/>
      <w:bookmarkStart w:id="737" w:name="_Toc120077289"/>
      <w:r>
        <w:t>Notes</w:t>
      </w:r>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p>
    <w:p>
      <w:pPr>
        <w:pStyle w:val="nSubsection"/>
        <w:rPr>
          <w:snapToGrid w:val="0"/>
        </w:rPr>
      </w:pPr>
      <w:r>
        <w:rPr>
          <w:snapToGrid w:val="0"/>
          <w:vertAlign w:val="superscript"/>
        </w:rPr>
        <w:t>1</w:t>
      </w:r>
      <w:r>
        <w:rPr>
          <w:snapToGrid w:val="0"/>
        </w:rPr>
        <w:tab/>
        <w:t xml:space="preserve">This is a compilation of the </w:t>
      </w:r>
      <w:r>
        <w:rPr>
          <w:i/>
          <w:noProof/>
          <w:snapToGrid w:val="0"/>
        </w:rPr>
        <w:t>Security and Related Activities (Control) Regulations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38" w:name="_Toc117914009"/>
      <w:bookmarkStart w:id="739" w:name="_Toc120077290"/>
      <w:r>
        <w:rPr>
          <w:snapToGrid w:val="0"/>
        </w:rPr>
        <w:t>Compilation table</w:t>
      </w:r>
      <w:bookmarkEnd w:id="738"/>
      <w:bookmarkEnd w:id="73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Security and Related Activities (Control) Regulations 1997</w:t>
            </w:r>
          </w:p>
        </w:tc>
        <w:tc>
          <w:tcPr>
            <w:tcW w:w="1276" w:type="dxa"/>
          </w:tcPr>
          <w:p>
            <w:pPr>
              <w:pStyle w:val="nTable"/>
              <w:spacing w:after="40"/>
              <w:rPr>
                <w:sz w:val="19"/>
              </w:rPr>
            </w:pPr>
            <w:r>
              <w:rPr>
                <w:sz w:val="19"/>
              </w:rPr>
              <w:t>27 Mar 1997 p. 1651</w:t>
            </w:r>
            <w:r>
              <w:rPr>
                <w:sz w:val="19"/>
              </w:rPr>
              <w:noBreakHyphen/>
              <w:t>90</w:t>
            </w:r>
          </w:p>
        </w:tc>
        <w:tc>
          <w:tcPr>
            <w:tcW w:w="2693" w:type="dxa"/>
          </w:tcPr>
          <w:p>
            <w:pPr>
              <w:pStyle w:val="nTable"/>
              <w:spacing w:after="40"/>
              <w:rPr>
                <w:sz w:val="19"/>
              </w:rPr>
            </w:pPr>
            <w:r>
              <w:rPr>
                <w:sz w:val="19"/>
              </w:rPr>
              <w:t xml:space="preserve">1 Apr 1997 (see r. 2 and </w:t>
            </w:r>
            <w:r>
              <w:rPr>
                <w:i/>
                <w:sz w:val="19"/>
              </w:rPr>
              <w:t>Gazette</w:t>
            </w:r>
            <w:r>
              <w:rPr>
                <w:sz w:val="19"/>
              </w:rPr>
              <w:t xml:space="preserve"> 27 Mar 1997 p. 1693)</w:t>
            </w:r>
          </w:p>
        </w:tc>
      </w:tr>
      <w:tr>
        <w:trPr>
          <w:cantSplit/>
        </w:trPr>
        <w:tc>
          <w:tcPr>
            <w:tcW w:w="3119" w:type="dxa"/>
          </w:tcPr>
          <w:p>
            <w:pPr>
              <w:pStyle w:val="nTable"/>
              <w:spacing w:after="40"/>
              <w:ind w:right="113"/>
              <w:rPr>
                <w:sz w:val="19"/>
              </w:rPr>
            </w:pPr>
            <w:r>
              <w:rPr>
                <w:i/>
                <w:sz w:val="19"/>
              </w:rPr>
              <w:t>Security and Related Activities (Control) Amendment Regulations (No. 2) 1998</w:t>
            </w:r>
          </w:p>
        </w:tc>
        <w:tc>
          <w:tcPr>
            <w:tcW w:w="1276" w:type="dxa"/>
          </w:tcPr>
          <w:p>
            <w:pPr>
              <w:pStyle w:val="nTable"/>
              <w:spacing w:after="40"/>
              <w:rPr>
                <w:sz w:val="19"/>
              </w:rPr>
            </w:pPr>
            <w:r>
              <w:rPr>
                <w:sz w:val="19"/>
              </w:rPr>
              <w:t>12 Jun 1998 p. 3201</w:t>
            </w:r>
            <w:r>
              <w:rPr>
                <w:sz w:val="19"/>
              </w:rPr>
              <w:noBreakHyphen/>
              <w:t>3</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Security and Related Activities (Control) Amendment Regulations 1999</w:t>
            </w:r>
          </w:p>
        </w:tc>
        <w:tc>
          <w:tcPr>
            <w:tcW w:w="1276" w:type="dxa"/>
          </w:tcPr>
          <w:p>
            <w:pPr>
              <w:pStyle w:val="nTable"/>
              <w:spacing w:after="40"/>
              <w:rPr>
                <w:sz w:val="19"/>
              </w:rPr>
            </w:pPr>
            <w:r>
              <w:rPr>
                <w:sz w:val="19"/>
              </w:rPr>
              <w:t>30 Jun 1999 p. 2865</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Security and Related Activities (Control) Amendment Regulations 2000</w:t>
            </w:r>
          </w:p>
        </w:tc>
        <w:tc>
          <w:tcPr>
            <w:tcW w:w="1276" w:type="dxa"/>
          </w:tcPr>
          <w:p>
            <w:pPr>
              <w:pStyle w:val="nTable"/>
              <w:spacing w:after="40"/>
              <w:rPr>
                <w:sz w:val="19"/>
              </w:rPr>
            </w:pPr>
            <w:r>
              <w:rPr>
                <w:sz w:val="19"/>
              </w:rPr>
              <w:t>10 Mar 2000 p. 1123</w:t>
            </w:r>
            <w:r>
              <w:rPr>
                <w:sz w:val="19"/>
              </w:rPr>
              <w:noBreakHyphen/>
              <w:t>4</w:t>
            </w:r>
          </w:p>
        </w:tc>
        <w:tc>
          <w:tcPr>
            <w:tcW w:w="2693" w:type="dxa"/>
          </w:tcPr>
          <w:p>
            <w:pPr>
              <w:pStyle w:val="nTable"/>
              <w:spacing w:after="40"/>
              <w:rPr>
                <w:sz w:val="19"/>
              </w:rPr>
            </w:pPr>
            <w:r>
              <w:rPr>
                <w:sz w:val="19"/>
              </w:rPr>
              <w:t>10 Mar 2000</w:t>
            </w:r>
          </w:p>
        </w:tc>
      </w:tr>
      <w:tr>
        <w:trPr>
          <w:cantSplit/>
        </w:trPr>
        <w:tc>
          <w:tcPr>
            <w:tcW w:w="3119" w:type="dxa"/>
          </w:tcPr>
          <w:p>
            <w:pPr>
              <w:pStyle w:val="nTable"/>
              <w:spacing w:after="40"/>
              <w:ind w:right="113"/>
              <w:rPr>
                <w:i/>
                <w:sz w:val="19"/>
              </w:rPr>
            </w:pPr>
            <w:r>
              <w:rPr>
                <w:i/>
                <w:sz w:val="19"/>
              </w:rPr>
              <w:t>Security and Related Activities (Control) Amendment Regulations (No. 2) 2000</w:t>
            </w:r>
          </w:p>
        </w:tc>
        <w:tc>
          <w:tcPr>
            <w:tcW w:w="1276" w:type="dxa"/>
          </w:tcPr>
          <w:p>
            <w:pPr>
              <w:pStyle w:val="nTable"/>
              <w:spacing w:after="40"/>
              <w:rPr>
                <w:sz w:val="19"/>
              </w:rPr>
            </w:pPr>
            <w:r>
              <w:rPr>
                <w:sz w:val="19"/>
              </w:rPr>
              <w:t>30 Jun 2000 p. 3425</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Security and Related Activities (Control) Amendment Regulations (No. 3) 2000</w:t>
            </w:r>
          </w:p>
        </w:tc>
        <w:tc>
          <w:tcPr>
            <w:tcW w:w="1276" w:type="dxa"/>
          </w:tcPr>
          <w:p>
            <w:pPr>
              <w:pStyle w:val="nTable"/>
              <w:spacing w:after="40"/>
              <w:rPr>
                <w:sz w:val="19"/>
              </w:rPr>
            </w:pPr>
            <w:r>
              <w:rPr>
                <w:sz w:val="19"/>
              </w:rPr>
              <w:t>28 Jul 2000 p. 4028</w:t>
            </w:r>
          </w:p>
        </w:tc>
        <w:tc>
          <w:tcPr>
            <w:tcW w:w="2693" w:type="dxa"/>
          </w:tcPr>
          <w:p>
            <w:pPr>
              <w:pStyle w:val="nTable"/>
              <w:spacing w:after="40"/>
              <w:rPr>
                <w:sz w:val="19"/>
              </w:rPr>
            </w:pPr>
            <w:r>
              <w:rPr>
                <w:sz w:val="19"/>
              </w:rPr>
              <w:t xml:space="preserve">28 Jul 2000 </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Security and Related Activities (Control) Regulations 1997 </w:t>
            </w:r>
            <w:r>
              <w:rPr>
                <w:b/>
                <w:sz w:val="19"/>
              </w:rPr>
              <w:t>as at 20 Apr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 xml:space="preserve">Security and Related Activities (Control) Amendment Regulations 2001 </w:t>
            </w:r>
          </w:p>
        </w:tc>
        <w:tc>
          <w:tcPr>
            <w:tcW w:w="1276" w:type="dxa"/>
          </w:tcPr>
          <w:p>
            <w:pPr>
              <w:pStyle w:val="nTable"/>
              <w:spacing w:after="40"/>
              <w:rPr>
                <w:sz w:val="19"/>
              </w:rPr>
            </w:pPr>
            <w:r>
              <w:rPr>
                <w:sz w:val="19"/>
              </w:rPr>
              <w:t>12 Jun 2001 p. 2959</w:t>
            </w:r>
            <w:r>
              <w:rPr>
                <w:sz w:val="19"/>
              </w:rPr>
              <w:noBreakHyphen/>
              <w:t>60</w:t>
            </w:r>
          </w:p>
        </w:tc>
        <w:tc>
          <w:tcPr>
            <w:tcW w:w="2693" w:type="dxa"/>
          </w:tcPr>
          <w:p>
            <w:pPr>
              <w:pStyle w:val="nTable"/>
              <w:spacing w:after="40"/>
              <w:rPr>
                <w:sz w:val="19"/>
              </w:rPr>
            </w:pPr>
            <w:r>
              <w:rPr>
                <w:sz w:val="19"/>
              </w:rPr>
              <w:t>12 Jun 2001</w:t>
            </w:r>
          </w:p>
        </w:tc>
      </w:tr>
      <w:tr>
        <w:trPr>
          <w:cantSplit/>
        </w:trPr>
        <w:tc>
          <w:tcPr>
            <w:tcW w:w="3119" w:type="dxa"/>
          </w:tcPr>
          <w:p>
            <w:pPr>
              <w:pStyle w:val="nTable"/>
              <w:spacing w:after="40"/>
              <w:ind w:right="113"/>
              <w:rPr>
                <w:i/>
                <w:sz w:val="19"/>
              </w:rPr>
            </w:pPr>
            <w:r>
              <w:rPr>
                <w:i/>
                <w:sz w:val="19"/>
              </w:rPr>
              <w:t>Security and Related Activities (Control) Amendment Regulations (No. 2) 2001</w:t>
            </w:r>
          </w:p>
        </w:tc>
        <w:tc>
          <w:tcPr>
            <w:tcW w:w="1276" w:type="dxa"/>
          </w:tcPr>
          <w:p>
            <w:pPr>
              <w:pStyle w:val="nTable"/>
              <w:spacing w:after="40"/>
              <w:rPr>
                <w:sz w:val="19"/>
              </w:rPr>
            </w:pPr>
            <w:r>
              <w:rPr>
                <w:sz w:val="19"/>
              </w:rPr>
              <w:t>31 Aug 2001 p. 4885</w:t>
            </w:r>
            <w:r>
              <w:rPr>
                <w:sz w:val="19"/>
              </w:rPr>
              <w:noBreakHyphen/>
              <w:t>6</w:t>
            </w:r>
          </w:p>
        </w:tc>
        <w:tc>
          <w:tcPr>
            <w:tcW w:w="2693" w:type="dxa"/>
          </w:tcPr>
          <w:p>
            <w:pPr>
              <w:pStyle w:val="nTable"/>
              <w:spacing w:after="40"/>
              <w:rPr>
                <w:sz w:val="19"/>
              </w:rPr>
            </w:pPr>
            <w:r>
              <w:rPr>
                <w:sz w:val="19"/>
              </w:rPr>
              <w:t>1 Sep 2001 (see r. 2)</w:t>
            </w:r>
          </w:p>
        </w:tc>
      </w:tr>
      <w:tr>
        <w:trPr>
          <w:cantSplit/>
        </w:trPr>
        <w:tc>
          <w:tcPr>
            <w:tcW w:w="3119" w:type="dxa"/>
          </w:tcPr>
          <w:p>
            <w:pPr>
              <w:pStyle w:val="nTable"/>
              <w:spacing w:after="40"/>
              <w:ind w:right="113"/>
              <w:rPr>
                <w:i/>
                <w:sz w:val="19"/>
              </w:rPr>
            </w:pPr>
            <w:r>
              <w:rPr>
                <w:i/>
                <w:sz w:val="19"/>
              </w:rPr>
              <w:t>Security and Related Activities (Control) Amendment Regulations 2002</w:t>
            </w:r>
          </w:p>
        </w:tc>
        <w:tc>
          <w:tcPr>
            <w:tcW w:w="1276" w:type="dxa"/>
          </w:tcPr>
          <w:p>
            <w:pPr>
              <w:pStyle w:val="nTable"/>
              <w:spacing w:after="40"/>
              <w:rPr>
                <w:sz w:val="19"/>
              </w:rPr>
            </w:pPr>
            <w:r>
              <w:rPr>
                <w:sz w:val="19"/>
              </w:rPr>
              <w:t>28 Jun 2002 p. 3100</w:t>
            </w:r>
            <w:r>
              <w:rPr>
                <w:sz w:val="19"/>
              </w:rPr>
              <w:noBreakHyphen/>
              <w:t>1</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Security and Related Activities (Control) Amendment Regulations 2003</w:t>
            </w:r>
          </w:p>
        </w:tc>
        <w:tc>
          <w:tcPr>
            <w:tcW w:w="1276" w:type="dxa"/>
          </w:tcPr>
          <w:p>
            <w:pPr>
              <w:pStyle w:val="nTable"/>
              <w:spacing w:after="40"/>
              <w:rPr>
                <w:sz w:val="19"/>
              </w:rPr>
            </w:pPr>
            <w:r>
              <w:rPr>
                <w:sz w:val="19"/>
              </w:rPr>
              <w:t>20 Jun 2003 p. 2248</w:t>
            </w:r>
            <w:r>
              <w:rPr>
                <w:sz w:val="19"/>
              </w:rPr>
              <w:noBreakHyphen/>
              <w:t>9</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Security and Related Activities (Control) Amendment Regulations 2004</w:t>
            </w:r>
          </w:p>
        </w:tc>
        <w:tc>
          <w:tcPr>
            <w:tcW w:w="1276" w:type="dxa"/>
          </w:tcPr>
          <w:p>
            <w:pPr>
              <w:pStyle w:val="nTable"/>
              <w:spacing w:after="40"/>
              <w:rPr>
                <w:sz w:val="19"/>
              </w:rPr>
            </w:pPr>
            <w:r>
              <w:rPr>
                <w:sz w:val="19"/>
              </w:rPr>
              <w:t>29 Jun 2004 p. 2542</w:t>
            </w:r>
            <w:r>
              <w:rPr>
                <w:sz w:val="19"/>
              </w:rPr>
              <w:noBreakHyphen/>
              <w:t>3</w:t>
            </w:r>
          </w:p>
        </w:tc>
        <w:tc>
          <w:tcPr>
            <w:tcW w:w="2693" w:type="dxa"/>
          </w:tcPr>
          <w:p>
            <w:pPr>
              <w:pStyle w:val="nTable"/>
              <w:spacing w:after="40"/>
              <w:rPr>
                <w:sz w:val="19"/>
              </w:rPr>
            </w:pPr>
            <w:r>
              <w:rPr>
                <w:sz w:val="19"/>
              </w:rPr>
              <w:t>1 Jul 2004 (see r. 2)</w:t>
            </w:r>
          </w:p>
        </w:tc>
      </w:tr>
      <w:tr>
        <w:trPr>
          <w:cantSplit/>
        </w:trPr>
        <w:tc>
          <w:tcPr>
            <w:tcW w:w="7088" w:type="dxa"/>
            <w:gridSpan w:val="3"/>
          </w:tcPr>
          <w:p>
            <w:pPr>
              <w:pStyle w:val="nTable"/>
              <w:spacing w:after="40"/>
              <w:rPr>
                <w:sz w:val="19"/>
              </w:rPr>
            </w:pPr>
            <w:r>
              <w:rPr>
                <w:b/>
                <w:sz w:val="19"/>
              </w:rPr>
              <w:t xml:space="preserve">Reprint 2:  The </w:t>
            </w:r>
            <w:r>
              <w:rPr>
                <w:b/>
                <w:i/>
                <w:sz w:val="19"/>
              </w:rPr>
              <w:t xml:space="preserve">Security and Related Activities (Control) Regulations 1997 </w:t>
            </w:r>
            <w:r>
              <w:rPr>
                <w:b/>
                <w:sz w:val="19"/>
              </w:rPr>
              <w:t>as at 9 Jul</w:t>
            </w:r>
            <w:r>
              <w:rPr>
                <w:b/>
                <w:i/>
                <w:sz w:val="19"/>
              </w:rPr>
              <w:t> </w:t>
            </w:r>
            <w:r>
              <w:rPr>
                <w:b/>
                <w:bCs/>
                <w:sz w:val="19"/>
              </w:rPr>
              <w:t>2</w:t>
            </w:r>
            <w:r>
              <w:rPr>
                <w:b/>
                <w:sz w:val="19"/>
              </w:rPr>
              <w:t>004</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(No. 2) 2004</w:t>
            </w:r>
          </w:p>
        </w:tc>
        <w:tc>
          <w:tcPr>
            <w:tcW w:w="1276" w:type="dxa"/>
          </w:tcPr>
          <w:p>
            <w:pPr>
              <w:pStyle w:val="nTable"/>
              <w:spacing w:after="40"/>
              <w:rPr>
                <w:sz w:val="19"/>
              </w:rPr>
            </w:pPr>
            <w:r>
              <w:rPr>
                <w:sz w:val="19"/>
              </w:rPr>
              <w:t>30 Dec 2004 p. 6977</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Security and Related Activities (Control) Amendment Regulations 2005</w:t>
            </w:r>
          </w:p>
        </w:tc>
        <w:tc>
          <w:tcPr>
            <w:tcW w:w="1276" w:type="dxa"/>
          </w:tcPr>
          <w:p>
            <w:pPr>
              <w:pStyle w:val="nTable"/>
              <w:spacing w:after="40"/>
              <w:rPr>
                <w:sz w:val="19"/>
              </w:rPr>
            </w:pPr>
            <w:r>
              <w:rPr>
                <w:sz w:val="19"/>
              </w:rPr>
              <w:t>1 Sep 2005 p. 4071</w:t>
            </w:r>
            <w:r>
              <w:rPr>
                <w:sz w:val="19"/>
              </w:rPr>
              <w:noBreakHyphen/>
              <w:t>93</w:t>
            </w:r>
          </w:p>
        </w:tc>
        <w:tc>
          <w:tcPr>
            <w:tcW w:w="2693" w:type="dxa"/>
          </w:tcPr>
          <w:p>
            <w:pPr>
              <w:pStyle w:val="nTable"/>
              <w:spacing w:after="40"/>
              <w:rPr>
                <w:sz w:val="19"/>
              </w:rPr>
            </w:pPr>
            <w:r>
              <w:rPr>
                <w:sz w:val="19"/>
              </w:rPr>
              <w:t>1 Sep 2005 (see r. 2)</w:t>
            </w:r>
          </w:p>
        </w:tc>
      </w:tr>
      <w:tr>
        <w:trPr>
          <w:cantSplit/>
        </w:trPr>
        <w:tc>
          <w:tcPr>
            <w:tcW w:w="7088" w:type="dxa"/>
            <w:gridSpan w:val="3"/>
            <w:tcBorders>
              <w:bottom w:val="single" w:sz="8" w:space="0" w:color="auto"/>
            </w:tcBorders>
          </w:tcPr>
          <w:p>
            <w:pPr>
              <w:pStyle w:val="nTable"/>
              <w:spacing w:after="40"/>
              <w:rPr>
                <w:sz w:val="19"/>
              </w:rPr>
            </w:pPr>
            <w:r>
              <w:rPr>
                <w:b/>
                <w:bCs/>
                <w:iCs/>
                <w:sz w:val="19"/>
              </w:rPr>
              <w:t xml:space="preserve">Reprint 3: The </w:t>
            </w:r>
            <w:r>
              <w:rPr>
                <w:b/>
                <w:bCs/>
                <w:i/>
                <w:sz w:val="19"/>
              </w:rPr>
              <w:t>Security and Related Activities (Control) Regulations 1997</w:t>
            </w:r>
            <w:r>
              <w:rPr>
                <w:b/>
                <w:bCs/>
                <w:iCs/>
                <w:sz w:val="19"/>
              </w:rPr>
              <w:t xml:space="preserve"> as at 4 Nov 2005</w:t>
            </w:r>
            <w:r>
              <w:rPr>
                <w:iCs/>
                <w:sz w:val="19"/>
              </w:rPr>
              <w:t xml:space="preserve"> (includes amendments listed above)</w:t>
            </w:r>
          </w:p>
        </w:tc>
      </w:tr>
    </w:tbl>
    <w:p>
      <w:pPr>
        <w:pStyle w:val="nSubsection"/>
        <w:rPr>
          <w:i/>
        </w:rPr>
      </w:pPr>
      <w:r>
        <w:rPr>
          <w:vertAlign w:val="superscript"/>
        </w:rPr>
        <w:t>2</w:t>
      </w:r>
      <w:r>
        <w:tab/>
        <w:t xml:space="preserve">Repealed by the </w:t>
      </w:r>
      <w:r>
        <w:rPr>
          <w:i/>
        </w:rPr>
        <w:t>Security and Related Activities (Control) Act 1996.</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headerReference w:type="firs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Security and Related Activities (Control)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Security and Related Activities (Control) Regulations 1997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rPr>
              <w:b w:val="0"/>
              <w:bCs/>
            </w:rPr>
          </w:pPr>
          <w:r>
            <w:rPr>
              <w:b w:val="0"/>
              <w:bCs/>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44"/>
      <w:gridCol w:w="5871"/>
    </w:tblGrid>
    <w:tr>
      <w:trPr>
        <w:cantSplit/>
      </w:trPr>
      <w:tc>
        <w:tcPr>
          <w:tcW w:w="7263" w:type="dxa"/>
          <w:gridSpan w:val="3"/>
        </w:tcPr>
        <w:p>
          <w:pPr>
            <w:pStyle w:val="HeaderActNameLeft"/>
          </w:pPr>
          <w:fldSimple w:instr=" Styleref &quot;Name of Act/Reg&quot; ">
            <w:r>
              <w:rPr>
                <w:noProof/>
              </w:rPr>
              <w:t>Security and Related Activities (Control) Regulations 1997</w:t>
            </w:r>
          </w:fldSimple>
        </w:p>
      </w:tc>
    </w:tr>
    <w:tr>
      <w:tc>
        <w:tcPr>
          <w:tcW w:w="1348" w:type="dxa"/>
        </w:tcPr>
        <w:p>
          <w:pPr>
            <w:pStyle w:val="HeaderNumberLeft"/>
          </w:pPr>
          <w:r>
            <w:fldChar w:fldCharType="begin"/>
          </w:r>
          <w:r>
            <w:instrText xml:space="preserve"> styleref CharPartNo </w:instrText>
          </w:r>
          <w:r>
            <w:fldChar w:fldCharType="end"/>
          </w:r>
        </w:p>
      </w:tc>
      <w:tc>
        <w:tcPr>
          <w:tcW w:w="5915" w:type="dxa"/>
          <w:gridSpan w:val="2"/>
        </w:tcPr>
        <w:p>
          <w:pPr>
            <w:pStyle w:val="HeaderTextLeft"/>
          </w:pPr>
          <w:r>
            <w:fldChar w:fldCharType="begin"/>
          </w:r>
          <w:r>
            <w:instrText xml:space="preserve"> styleref CharPartText </w:instrText>
          </w:r>
          <w:r>
            <w:fldChar w:fldCharType="end"/>
          </w:r>
        </w:p>
      </w:tc>
    </w:tr>
    <w:tr>
      <w:tc>
        <w:tcPr>
          <w:tcW w:w="1392" w:type="dxa"/>
          <w:gridSpan w:val="2"/>
        </w:tcPr>
        <w:p>
          <w:pPr>
            <w:pStyle w:val="HeaderNumberLeft"/>
          </w:pPr>
          <w:r>
            <w:fldChar w:fldCharType="begin"/>
          </w:r>
          <w:r>
            <w:instrText xml:space="preserve"> styleref CharDivNo </w:instrText>
          </w:r>
          <w:r>
            <w:fldChar w:fldCharType="end"/>
          </w:r>
        </w:p>
      </w:tc>
      <w:tc>
        <w:tcPr>
          <w:tcW w:w="5871" w:type="dxa"/>
        </w:tcPr>
        <w:p>
          <w:pPr>
            <w:pStyle w:val="HeaderTextLeft"/>
          </w:pPr>
          <w:r>
            <w:fldChar w:fldCharType="begin"/>
          </w:r>
          <w:r>
            <w:instrText xml:space="preserve"> styleref CharDivText </w:instrText>
          </w:r>
          <w:r>
            <w:fldChar w:fldCharType="end"/>
          </w:r>
        </w:p>
      </w:tc>
    </w:tr>
    <w:tr>
      <w:trPr>
        <w:cantSplit/>
      </w:trPr>
      <w:tc>
        <w:tcPr>
          <w:tcW w:w="7263" w:type="dxa"/>
          <w:gridSpan w:val="3"/>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884" w:type="dxa"/>
        </w:tcPr>
        <w:p>
          <w:pPr>
            <w:pStyle w:val="HeaderTextRight"/>
          </w:pPr>
          <w:r>
            <w:fldChar w:fldCharType="begin"/>
          </w:r>
          <w:r>
            <w:instrText xml:space="preserve"> styleref CharPartText </w:instrText>
          </w:r>
          <w:r>
            <w:fldChar w:fldCharType="end"/>
          </w:r>
        </w:p>
      </w:tc>
      <w:tc>
        <w:tcPr>
          <w:tcW w:w="1379" w:type="dxa"/>
        </w:tcPr>
        <w:p>
          <w:pPr>
            <w:pStyle w:val="HeaderNumberRight"/>
            <w:ind w:right="17"/>
          </w:pPr>
          <w:r>
            <w:fldChar w:fldCharType="begin"/>
          </w:r>
          <w:r>
            <w:instrText xml:space="preserve"> styleref CharPartNo </w:instrText>
          </w:r>
          <w: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Security agent’s licence</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Security agent’s licence</w:t>
            </w:r>
          </w:fldSimple>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Conditions and restrictions attached to licences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15" w:type="dxa"/>
        </w:tcPr>
        <w:p>
          <w:pPr>
            <w:pStyle w:val="HeaderTextRight"/>
          </w:pPr>
          <w:fldSimple w:instr=" styleref CharSchText ">
            <w:r>
              <w:rPr>
                <w:noProof/>
              </w:rPr>
              <w:t>Conditions and restrictions attached to licences</w:t>
            </w:r>
          </w:fldSimple>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Security and Related Activities (Control)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Security and Related Activities (Control)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12116</Words>
  <Characters>59613</Characters>
  <Application>Microsoft Office Word</Application>
  <DocSecurity>0</DocSecurity>
  <Lines>1703</Lines>
  <Paragraphs>1070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70659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1997 - 03-a0-03</dc:title>
  <dc:subject/>
  <dc:creator/>
  <cp:keywords/>
  <dc:description/>
  <cp:lastModifiedBy>svcMRProcess</cp:lastModifiedBy>
  <cp:revision>4</cp:revision>
  <cp:lastPrinted>2005-10-24T02:43:00Z</cp:lastPrinted>
  <dcterms:created xsi:type="dcterms:W3CDTF">2018-09-15T17:10:00Z</dcterms:created>
  <dcterms:modified xsi:type="dcterms:W3CDTF">2018-09-15T17:10:00Z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CommencementDate">
    <vt:lpwstr>20051104</vt:lpwstr>
  </property>
  <property fmtid="{D5CDD505-2E9C-101B-9397-08002B2CF9AE}" pid="4" name="DocumentType">
    <vt:lpwstr>Reg</vt:lpwstr>
  </property>
  <property fmtid="{D5CDD505-2E9C-101B-9397-08002B2CF9AE}" pid="5" name="OwlsUID">
    <vt:i4>4767</vt:i4>
  </property>
  <property fmtid="{D5CDD505-2E9C-101B-9397-08002B2CF9AE}" pid="6" name="ReprintNo">
    <vt:lpwstr>3</vt:lpwstr>
  </property>
  <property fmtid="{D5CDD505-2E9C-101B-9397-08002B2CF9AE}" pid="7" name="AsAtDate">
    <vt:lpwstr>04 Nov 2005</vt:lpwstr>
  </property>
  <property fmtid="{D5CDD505-2E9C-101B-9397-08002B2CF9AE}" pid="8" name="Suffix">
    <vt:lpwstr>03-a0-03</vt:lpwstr>
  </property>
</Properties>
</file>