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_Toc51747592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_Toc51747593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_Toc51747594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_Toc51747595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_Toc51747596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_Toc51747597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_Toc51747598 \h </w:instrText>
      </w:r>
      <w:r>
        <w:fldChar w:fldCharType="separate"/>
      </w:r>
      <w:r>
        <w:t>3</w:t>
      </w:r>
      <w:r>
        <w:fldChar w:fldCharType="end"/>
      </w:r>
    </w:p>
    <w:p>
      <w:pPr>
        <w:pStyle w:val="TOC8"/>
        <w:rPr>
          <w:rFonts w:asciiTheme="minorHAnsi" w:eastAsiaTheme="minorEastAsia" w:hAnsiTheme="minorHAnsi" w:cstheme="minorBidi"/>
          <w:szCs w:val="22"/>
        </w:rPr>
      </w:pPr>
      <w:r>
        <w:t>3AAAA.</w:t>
      </w:r>
      <w:r>
        <w:tab/>
      </w:r>
      <w:r>
        <w:tab/>
        <w:t>Form of request for cancellation of licence suspension order (Act s. 20A)</w:t>
      </w:r>
      <w:r>
        <w:tab/>
      </w:r>
      <w:r>
        <w:fldChar w:fldCharType="begin"/>
      </w:r>
      <w:r>
        <w:instrText xml:space="preserve"> PAGEREF _Toc51747599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_Toc51747600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_Toc51747601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_Toc51747602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_Toc51747603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_Toc51747604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_Toc51747605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_Toc51747606 \h </w:instrText>
      </w:r>
      <w:r>
        <w:fldChar w:fldCharType="separate"/>
      </w:r>
      <w:r>
        <w:t>9</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_Toc51747607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_Toc51747608 \h </w:instrText>
      </w:r>
      <w:r>
        <w:fldChar w:fldCharType="separate"/>
      </w:r>
      <w:r>
        <w:t>10</w:t>
      </w:r>
      <w:r>
        <w:fldChar w:fldCharType="end"/>
      </w:r>
    </w:p>
    <w:p>
      <w:pPr>
        <w:pStyle w:val="TOC8"/>
        <w:rPr>
          <w:rFonts w:asciiTheme="minorHAnsi" w:eastAsiaTheme="minorEastAsia" w:hAnsiTheme="minorHAnsi" w:cstheme="minorBidi"/>
          <w:szCs w:val="22"/>
        </w:rPr>
      </w:pPr>
      <w:r>
        <w:t>6BAAA.</w:t>
      </w:r>
      <w:r>
        <w:tab/>
      </w:r>
      <w:r>
        <w:tab/>
        <w:t>Daily expiation amount (Act s. 52B)</w:t>
      </w:r>
      <w:r>
        <w:tab/>
      </w:r>
      <w:r>
        <w:fldChar w:fldCharType="begin"/>
      </w:r>
      <w:r>
        <w:instrText xml:space="preserve"> PAGEREF _Toc51747609 \h </w:instrText>
      </w:r>
      <w:r>
        <w:fldChar w:fldCharType="separate"/>
      </w:r>
      <w:r>
        <w:t>10</w:t>
      </w:r>
      <w:r>
        <w:fldChar w:fldCharType="end"/>
      </w:r>
    </w:p>
    <w:p>
      <w:pPr>
        <w:pStyle w:val="TOC8"/>
        <w:rPr>
          <w:rFonts w:asciiTheme="minorHAnsi" w:eastAsiaTheme="minorEastAsia" w:hAnsiTheme="minorHAnsi" w:cstheme="minorBidi"/>
          <w:szCs w:val="22"/>
        </w:rPr>
      </w:pPr>
      <w:r>
        <w:t>6BAAB.</w:t>
      </w:r>
      <w:r>
        <w:tab/>
      </w:r>
      <w:r>
        <w:tab/>
        <w:t>Form of application for fine expiation order (Act s. 52E)</w:t>
      </w:r>
      <w:r>
        <w:tab/>
      </w:r>
      <w:r>
        <w:fldChar w:fldCharType="begin"/>
      </w:r>
      <w:r>
        <w:instrText xml:space="preserve"> PAGEREF _Toc51747610 \h </w:instrText>
      </w:r>
      <w:r>
        <w:fldChar w:fldCharType="separate"/>
      </w:r>
      <w:r>
        <w:t>10</w:t>
      </w:r>
      <w:r>
        <w:fldChar w:fldCharType="end"/>
      </w:r>
    </w:p>
    <w:p>
      <w:pPr>
        <w:pStyle w:val="TOC8"/>
        <w:rPr>
          <w:rFonts w:asciiTheme="minorHAnsi" w:eastAsiaTheme="minorEastAsia" w:hAnsiTheme="minorHAnsi" w:cstheme="minorBidi"/>
          <w:szCs w:val="22"/>
        </w:rPr>
      </w:pPr>
      <w:r>
        <w:t>6BAAC.</w:t>
      </w:r>
      <w:r>
        <w:tab/>
      </w:r>
      <w:r>
        <w:tab/>
        <w:t>Application for authorisation under Act s. 52E(4)</w:t>
      </w:r>
      <w:r>
        <w:tab/>
      </w:r>
      <w:r>
        <w:fldChar w:fldCharType="begin"/>
      </w:r>
      <w:r>
        <w:instrText xml:space="preserve"> PAGEREF _Toc51747611 \h </w:instrText>
      </w:r>
      <w:r>
        <w:fldChar w:fldCharType="separate"/>
      </w:r>
      <w:r>
        <w:t>11</w:t>
      </w:r>
      <w:r>
        <w:fldChar w:fldCharType="end"/>
      </w:r>
    </w:p>
    <w:p>
      <w:pPr>
        <w:pStyle w:val="TOC8"/>
        <w:rPr>
          <w:rFonts w:asciiTheme="minorHAnsi" w:eastAsiaTheme="minorEastAsia" w:hAnsiTheme="minorHAnsi" w:cstheme="minorBidi"/>
          <w:szCs w:val="22"/>
        </w:rPr>
      </w:pPr>
      <w:r>
        <w:t>6BAAD.</w:t>
      </w:r>
      <w:r>
        <w:tab/>
      </w:r>
      <w:r>
        <w:tab/>
        <w:t>Copies of conditional release undertaking to be given</w:t>
      </w:r>
      <w:r>
        <w:tab/>
      </w:r>
      <w:r>
        <w:fldChar w:fldCharType="begin"/>
      </w:r>
      <w:r>
        <w:instrText xml:space="preserve"> PAGEREF _Toc51747612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6BAA.</w:t>
      </w:r>
      <w:r>
        <w:tab/>
        <w:t>Amount p</w:t>
      </w:r>
      <w:r>
        <w:rPr>
          <w:bCs/>
        </w:rPr>
        <w:t>rescribed for warrant of commitment (</w:t>
      </w:r>
      <w:r>
        <w:rPr>
          <w:snapToGrid w:val="0"/>
        </w:rPr>
        <w:t>Act </w:t>
      </w:r>
      <w:r>
        <w:rPr>
          <w:bCs/>
        </w:rPr>
        <w:t>s. 53(3))</w:t>
      </w:r>
      <w:r>
        <w:tab/>
      </w:r>
      <w:r>
        <w:fldChar w:fldCharType="begin"/>
      </w:r>
      <w:r>
        <w:instrText xml:space="preserve"> PAGEREF _Toc51747613 \h </w:instrText>
      </w:r>
      <w:r>
        <w:fldChar w:fldCharType="separate"/>
      </w:r>
      <w:r>
        <w:t>11</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_Toc51747614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_Toc51747615 \h </w:instrText>
      </w:r>
      <w:r>
        <w:fldChar w:fldCharType="separate"/>
      </w:r>
      <w:r>
        <w:t>12</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_Toc51747616 \h </w:instrText>
      </w:r>
      <w:r>
        <w:fldChar w:fldCharType="separate"/>
      </w:r>
      <w:r>
        <w:t>12</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_Toc51747617 \h </w:instrText>
      </w:r>
      <w:r>
        <w:fldChar w:fldCharType="separate"/>
      </w:r>
      <w:r>
        <w:t>13</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_Toc51747618 \h </w:instrText>
      </w:r>
      <w:r>
        <w:fldChar w:fldCharType="separate"/>
      </w:r>
      <w:r>
        <w:t>15</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_Toc51747619 \h </w:instrText>
      </w:r>
      <w:r>
        <w:fldChar w:fldCharType="separate"/>
      </w:r>
      <w:r>
        <w:t>15</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_Toc51747620 \h </w:instrText>
      </w:r>
      <w:r>
        <w:fldChar w:fldCharType="separate"/>
      </w:r>
      <w:r>
        <w:t>16</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_Toc51747621 \h </w:instrText>
      </w:r>
      <w:r>
        <w:fldChar w:fldCharType="separate"/>
      </w:r>
      <w:r>
        <w:t>16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_Toc51747622 \h </w:instrText>
      </w:r>
      <w:r>
        <w:fldChar w:fldCharType="separate"/>
      </w:r>
      <w:r>
        <w:t>16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_Toc51747623 \h </w:instrText>
      </w:r>
      <w:r>
        <w:fldChar w:fldCharType="separate"/>
      </w:r>
      <w:r>
        <w:t>17</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_Toc51747624 \h </w:instrText>
      </w:r>
      <w:r>
        <w:fldChar w:fldCharType="separate"/>
      </w:r>
      <w:r>
        <w:t>18</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_Toc51747625 \h </w:instrText>
      </w:r>
      <w:r>
        <w:fldChar w:fldCharType="separate"/>
      </w:r>
      <w:r>
        <w:t>19</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_Toc51747626 \h </w:instrText>
      </w:r>
      <w:r>
        <w:fldChar w:fldCharType="separate"/>
      </w:r>
      <w:r>
        <w:t>20</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_Toc51747627 \h </w:instrText>
      </w:r>
      <w:r>
        <w:fldChar w:fldCharType="separate"/>
      </w:r>
      <w:r>
        <w:t>21</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_Toc51747628 \h </w:instrText>
      </w:r>
      <w:r>
        <w:fldChar w:fldCharType="separate"/>
      </w:r>
      <w:r>
        <w:t>22</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_Toc51747629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_Toc51747630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_Toc51747631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_Toc51747638 \h </w:instrText>
      </w:r>
      <w:r>
        <w:fldChar w:fldCharType="separate"/>
      </w:r>
      <w:r>
        <w:t>32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_Toc51747639 \h </w:instrText>
      </w:r>
      <w:r>
        <w:fldChar w:fldCharType="separate"/>
      </w:r>
      <w:r>
        <w:t>33</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_Toc51747640 \h </w:instrText>
      </w:r>
      <w:r>
        <w:fldChar w:fldCharType="separate"/>
      </w:r>
      <w:r>
        <w:t>34</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_Toc51747641 \h </w:instrText>
      </w:r>
      <w:r>
        <w:fldChar w:fldCharType="separate"/>
      </w:r>
      <w:r>
        <w:t>36</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_Toc51747642 \h </w:instrText>
      </w:r>
      <w:r>
        <w:fldChar w:fldCharType="separate"/>
      </w:r>
      <w:r>
        <w:t>38</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_Toc51747643 \h </w:instrText>
      </w:r>
      <w:r>
        <w:fldChar w:fldCharType="separate"/>
      </w:r>
      <w:r>
        <w:t>40</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_Toc51747644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_Toc51747645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_Toc51747646 \h </w:instrText>
      </w:r>
      <w:r>
        <w:fldChar w:fldCharType="separate"/>
      </w:r>
      <w:r>
        <w:t>45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_Toc51747647 \h </w:instrText>
      </w:r>
      <w:r>
        <w:fldChar w:fldCharType="separate"/>
      </w:r>
      <w:r>
        <w:t>46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_Toc51747648 \h </w:instrText>
      </w:r>
      <w:r>
        <w:fldChar w:fldCharType="separate"/>
      </w:r>
      <w:r>
        <w:t>47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_Toc51747649 \h </w:instrText>
      </w:r>
      <w:r>
        <w:fldChar w:fldCharType="separate"/>
      </w:r>
      <w:r>
        <w:t>48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_Toc51747650 \h </w:instrText>
      </w:r>
      <w:r>
        <w:fldChar w:fldCharType="separate"/>
      </w:r>
      <w:r>
        <w:t>49</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_Toc51747651 \h </w:instrText>
      </w:r>
      <w:r>
        <w:fldChar w:fldCharType="separate"/>
      </w:r>
      <w:r>
        <w:t>50</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_Toc51747652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_Toc51747654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_Toc51747655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_Toc51747656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174759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5174759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51747594"/>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51747595"/>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51747596"/>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51747597"/>
      <w:r>
        <w:rPr>
          <w:rStyle w:val="CharSectno"/>
        </w:rPr>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51747598"/>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51747599"/>
      <w:r>
        <w:rPr>
          <w:rStyle w:val="CharSectno"/>
        </w:rPr>
        <w:t>3AAAA</w:t>
      </w:r>
      <w:r>
        <w:t>.</w:t>
      </w:r>
      <w:r>
        <w:tab/>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51747600"/>
      <w:r>
        <w:rPr>
          <w:rStyle w:val="CharSectno"/>
        </w:rPr>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51747601"/>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2" o:title=""/>
          </v:shape>
          <o:OLEObject Type="Embed" ProgID="Equation.3" ShapeID="_x0000_i1025" DrawAspect="Content" ObjectID="_1662544839"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3" w:name="_Toc5174760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51747603"/>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51747604"/>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6" w:name="_Toc51747605"/>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51747606"/>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rPr>
          <w:snapToGrid w:val="0"/>
        </w:rPr>
      </w:pPr>
      <w:bookmarkStart w:id="18" w:name="_Toc51747607"/>
      <w:r>
        <w:rPr>
          <w:rStyle w:val="CharSectno"/>
        </w:rPr>
        <w:t>6A</w:t>
      </w:r>
      <w:r>
        <w:rPr>
          <w:snapToGrid w:val="0"/>
        </w:rPr>
        <w:t>.</w:t>
      </w:r>
      <w:r>
        <w:rPr>
          <w:snapToGrid w:val="0"/>
        </w:rPr>
        <w:tab/>
        <w:t>Calculation of required hours for WDO (Act s. 50)</w:t>
      </w:r>
      <w:bookmarkEnd w:id="18"/>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19" w:name="_Toc51747608"/>
      <w:r>
        <w:rPr>
          <w:rStyle w:val="CharSectno"/>
        </w:rPr>
        <w:t>6B</w:t>
      </w:r>
      <w:r>
        <w:rPr>
          <w:snapToGrid w:val="0"/>
        </w:rPr>
        <w:t>.</w:t>
      </w:r>
      <w:r>
        <w:rPr>
          <w:snapToGrid w:val="0"/>
        </w:rPr>
        <w:tab/>
        <w:t>Reductions under Act s. 51, how calculated</w:t>
      </w:r>
      <w:bookmarkEnd w:id="19"/>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0" w:name="_Toc51747609"/>
      <w:r>
        <w:rPr>
          <w:rStyle w:val="CharSectno"/>
        </w:rPr>
        <w:t>6BAAA</w:t>
      </w:r>
      <w:r>
        <w:t>.</w:t>
      </w:r>
      <w:r>
        <w:tab/>
      </w:r>
      <w:r>
        <w:tab/>
        <w:t>Daily expiation amount (Act s. 52B)</w:t>
      </w:r>
      <w:bookmarkEnd w:id="20"/>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1" w:name="_Toc51747610"/>
      <w:r>
        <w:rPr>
          <w:rStyle w:val="CharSectno"/>
        </w:rPr>
        <w:t>6BAAB</w:t>
      </w:r>
      <w:r>
        <w:t>.</w:t>
      </w:r>
      <w:r>
        <w:tab/>
      </w:r>
      <w:r>
        <w:tab/>
        <w:t>Form of application for fine expiation order (Act s. 52E)</w:t>
      </w:r>
      <w:bookmarkEnd w:id="21"/>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2" w:name="_Toc51747611"/>
      <w:r>
        <w:rPr>
          <w:rStyle w:val="CharSectno"/>
        </w:rPr>
        <w:t>6BAAC</w:t>
      </w:r>
      <w:r>
        <w:t>.</w:t>
      </w:r>
      <w:r>
        <w:tab/>
      </w:r>
      <w:r>
        <w:tab/>
        <w:t>Application for authorisation under Act s. 52E(4)</w:t>
      </w:r>
      <w:bookmarkEnd w:id="2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3" w:name="_Toc51747612"/>
      <w:r>
        <w:rPr>
          <w:rStyle w:val="CharSectno"/>
        </w:rPr>
        <w:t>6BAAD</w:t>
      </w:r>
      <w:r>
        <w:t>.</w:t>
      </w:r>
      <w:r>
        <w:tab/>
      </w:r>
      <w:r>
        <w:tab/>
        <w:t>Copies of conditional release undertaking to be given</w:t>
      </w:r>
      <w:bookmarkEnd w:id="23"/>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4" w:name="_Toc51747613"/>
      <w:r>
        <w:rPr>
          <w:rStyle w:val="CharSectno"/>
        </w:rPr>
        <w:t>6BAA</w:t>
      </w:r>
      <w:r>
        <w:t>.</w:t>
      </w:r>
      <w:r>
        <w:tab/>
        <w:t>Amount p</w:t>
      </w:r>
      <w:r>
        <w:rPr>
          <w:bCs/>
        </w:rPr>
        <w:t>rescribed for warrant of commitment (</w:t>
      </w:r>
      <w:r>
        <w:rPr>
          <w:snapToGrid w:val="0"/>
        </w:rPr>
        <w:t>Act </w:t>
      </w:r>
      <w:r>
        <w:rPr>
          <w:bCs/>
        </w:rPr>
        <w:t>s. 53(3))</w:t>
      </w:r>
      <w:bookmarkEnd w:id="24"/>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5" w:name="_Toc51747614"/>
      <w:r>
        <w:rPr>
          <w:rStyle w:val="CharSectno"/>
        </w:rPr>
        <w:t>6C</w:t>
      </w:r>
      <w:r>
        <w:t>.</w:t>
      </w:r>
      <w:r>
        <w:tab/>
        <w:t>Reduction of liability to pay fine where WDO taken to be cancelled (</w:t>
      </w:r>
      <w:r>
        <w:rPr>
          <w:i/>
        </w:rPr>
        <w:t xml:space="preserve">Sentencing Act 1995 </w:t>
      </w:r>
      <w:r>
        <w:t>s. 57B(5))</w:t>
      </w:r>
      <w:bookmarkEnd w:id="2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6" w:name="_Toc51747615"/>
      <w:r>
        <w:rPr>
          <w:rStyle w:val="CharSectno"/>
        </w:rPr>
        <w:t>7</w:t>
      </w:r>
      <w:r>
        <w:rPr>
          <w:snapToGrid w:val="0"/>
        </w:rPr>
        <w:t>.</w:t>
      </w:r>
      <w:r>
        <w:rPr>
          <w:snapToGrid w:val="0"/>
        </w:rPr>
        <w:tab/>
        <w:t>States, Territories and courts prescribed (Act s. 59)</w:t>
      </w:r>
      <w:bookmarkEnd w:id="2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7" w:name="_Toc51747616"/>
      <w:r>
        <w:rPr>
          <w:rStyle w:val="CharSectno"/>
        </w:rPr>
        <w:t>8</w:t>
      </w:r>
      <w:r>
        <w:t>.</w:t>
      </w:r>
      <w:r>
        <w:tab/>
        <w:t>Property prescribed that cannot be seized etc. (Act s. 75)</w:t>
      </w:r>
      <w:bookmarkEnd w:id="27"/>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28" w:name="_Toc51747617"/>
      <w:r>
        <w:rPr>
          <w:rStyle w:val="CharSectno"/>
        </w:rPr>
        <w:t>8AA</w:t>
      </w:r>
      <w:r>
        <w:t>.</w:t>
      </w:r>
      <w:r>
        <w:tab/>
        <w:t>Protected earnings amount (Act s. 95U)</w:t>
      </w:r>
      <w:bookmarkEnd w:id="28"/>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29" w:name="_Toc51747618"/>
      <w:r>
        <w:rPr>
          <w:rStyle w:val="CharSectno"/>
        </w:rPr>
        <w:t>8AB</w:t>
      </w:r>
      <w:r>
        <w:t>.</w:t>
      </w:r>
      <w:r>
        <w:tab/>
        <w:t>Maximum administration fee for bank account garnishee order (Act s. 95Z)</w:t>
      </w:r>
      <w:bookmarkEnd w:id="29"/>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0" w:name="_Toc51747619"/>
      <w:r>
        <w:rPr>
          <w:rStyle w:val="CharSectno"/>
        </w:rPr>
        <w:t>8AC</w:t>
      </w:r>
      <w:r>
        <w:t>.</w:t>
      </w:r>
      <w:r>
        <w:tab/>
        <w:t>Protected bank account amount (Act s. 95ZB)</w:t>
      </w:r>
      <w:bookmarkEnd w:id="30"/>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1" w:name="_Toc51747620"/>
      <w:r>
        <w:rPr>
          <w:rStyle w:val="CharSectno"/>
        </w:rPr>
        <w:t>8AD</w:t>
      </w:r>
      <w:r>
        <w:t>.</w:t>
      </w:r>
      <w:r>
        <w:tab/>
        <w:t>Form of application for refund of money (Act s. 95ZC)</w:t>
      </w:r>
      <w:bookmarkEnd w:id="31"/>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2" w:name="_Toc51747621"/>
      <w:r>
        <w:rPr>
          <w:rStyle w:val="CharSectno"/>
        </w:rPr>
        <w:t>8AE</w:t>
      </w:r>
      <w:r>
        <w:t>.</w:t>
      </w:r>
      <w:r>
        <w:tab/>
        <w:t>Restrictions on publication of information disclosed under Act s. 100B(3)(a) (Act s. 100F(2)(g))</w:t>
      </w:r>
      <w:bookmarkEnd w:id="3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3" w:name="_Toc51747622"/>
      <w:r>
        <w:rPr>
          <w:rStyle w:val="CharSectno"/>
        </w:rPr>
        <w:t>8A</w:t>
      </w:r>
      <w:r>
        <w:rPr>
          <w:snapToGrid w:val="0"/>
        </w:rPr>
        <w:t>.</w:t>
      </w:r>
      <w:r>
        <w:rPr>
          <w:snapToGrid w:val="0"/>
        </w:rPr>
        <w:tab/>
        <w:t>Enforcement proceedings after successful application under Act s. 101, 101AA or 101A</w:t>
      </w:r>
      <w:bookmarkEnd w:id="33"/>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4" w:name="_Toc51747623"/>
      <w:r>
        <w:rPr>
          <w:rStyle w:val="CharSectno"/>
        </w:rPr>
        <w:t>8B</w:t>
      </w:r>
      <w:r>
        <w:rPr>
          <w:snapToGrid w:val="0"/>
        </w:rPr>
        <w:t>.</w:t>
      </w:r>
      <w:r>
        <w:rPr>
          <w:snapToGrid w:val="0"/>
        </w:rPr>
        <w:tab/>
        <w:t>Enforcement proceedings after an appeal (Act s. 101B)</w:t>
      </w:r>
      <w:bookmarkEnd w:id="34"/>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35" w:name="_Toc51747624"/>
      <w:r>
        <w:rPr>
          <w:rStyle w:val="CharSectno"/>
        </w:rPr>
        <w:t>9</w:t>
      </w:r>
      <w:r>
        <w:t>.</w:t>
      </w:r>
      <w:r>
        <w:tab/>
        <w:t>Enforcement fees prescribed (Act Parts 3, 4 and 7)</w:t>
      </w:r>
      <w:bookmarkEnd w:id="3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36" w:name="_Toc51747625"/>
      <w:r>
        <w:rPr>
          <w:rStyle w:val="CharSectno"/>
        </w:rPr>
        <w:t>10</w:t>
      </w:r>
      <w:r>
        <w:t>.</w:t>
      </w:r>
      <w:r>
        <w:tab/>
        <w:t>Exemptions from fees (Act Part 3)</w:t>
      </w:r>
      <w:bookmarkEnd w:id="3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37" w:name="_Toc51747626"/>
      <w:r>
        <w:rPr>
          <w:rStyle w:val="CharSectno"/>
        </w:rPr>
        <w:t>11A</w:t>
      </w:r>
      <w:r>
        <w:t>.</w:t>
      </w:r>
      <w:r>
        <w:tab/>
        <w:t>Giving documents to Registry by means of ECMS</w:t>
      </w:r>
      <w:bookmarkEnd w:id="37"/>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38" w:name="_Toc51747627"/>
      <w:r>
        <w:rPr>
          <w:rStyle w:val="CharSectno"/>
        </w:rPr>
        <w:t>11B</w:t>
      </w:r>
      <w:r>
        <w:t>.</w:t>
      </w:r>
      <w:r>
        <w:tab/>
        <w:t>Issuing warrants</w:t>
      </w:r>
      <w:bookmarkEnd w:id="38"/>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39" w:name="_Toc51747628"/>
      <w:r>
        <w:rPr>
          <w:rStyle w:val="CharSectno"/>
        </w:rPr>
        <w:t>11C</w:t>
      </w:r>
      <w:r>
        <w:t>.</w:t>
      </w:r>
      <w:r>
        <w:tab/>
        <w:t>Issuing summons under Act s. 52Q</w:t>
      </w:r>
      <w:bookmarkEnd w:id="39"/>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0" w:name="_Toc51747629"/>
      <w:r>
        <w:rPr>
          <w:rStyle w:val="CharSectno"/>
        </w:rPr>
        <w:t>11D</w:t>
      </w:r>
      <w:r>
        <w:t>.</w:t>
      </w:r>
      <w:r>
        <w:tab/>
        <w:t>Issuing orders, permits and notices</w:t>
      </w:r>
      <w:bookmarkEnd w:id="40"/>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1" w:name="_Toc51747630"/>
      <w:r>
        <w:rPr>
          <w:rStyle w:val="CharSectno"/>
        </w:rPr>
        <w:t>11</w:t>
      </w:r>
      <w:r>
        <w:rPr>
          <w:snapToGrid w:val="0"/>
        </w:rPr>
        <w:t>.</w:t>
      </w:r>
      <w:r>
        <w:rPr>
          <w:snapToGrid w:val="0"/>
        </w:rPr>
        <w:tab/>
        <w:t>Methods of payment</w:t>
      </w:r>
      <w:bookmarkEnd w:id="4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2" w:name="_Toc51747631"/>
      <w:r>
        <w:rPr>
          <w:rStyle w:val="CharSectno"/>
        </w:rPr>
        <w:t>12</w:t>
      </w:r>
      <w:r>
        <w:rPr>
          <w:snapToGrid w:val="0"/>
        </w:rPr>
        <w:t>.</w:t>
      </w:r>
      <w:r>
        <w:rPr>
          <w:snapToGrid w:val="0"/>
        </w:rPr>
        <w:tab/>
        <w:t>Forms</w:t>
      </w:r>
      <w:bookmarkEnd w:id="4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43" w:name="_Toc51657266"/>
      <w:bookmarkStart w:id="44" w:name="_Toc51667478"/>
      <w:bookmarkStart w:id="45" w:name="_Toc51677759"/>
      <w:bookmarkStart w:id="46" w:name="_Toc51677842"/>
      <w:bookmarkStart w:id="47" w:name="_Toc51747632"/>
      <w:r>
        <w:rPr>
          <w:rStyle w:val="CharSchNo"/>
        </w:rPr>
        <w:t>Schedule 1</w:t>
      </w:r>
      <w:r>
        <w:rPr>
          <w:rStyle w:val="CharSDivNo"/>
        </w:rPr>
        <w:t> </w:t>
      </w:r>
      <w:r>
        <w:t>—</w:t>
      </w:r>
      <w:r>
        <w:rPr>
          <w:rStyle w:val="CharSDivText"/>
        </w:rPr>
        <w:t> </w:t>
      </w:r>
      <w:r>
        <w:rPr>
          <w:rStyle w:val="CharSchText"/>
        </w:rPr>
        <w:t>Enactments to which Part 3 of the Act applies</w:t>
      </w:r>
      <w:bookmarkEnd w:id="43"/>
      <w:bookmarkEnd w:id="44"/>
      <w:bookmarkEnd w:id="45"/>
      <w:bookmarkEnd w:id="46"/>
      <w:bookmarkEnd w:id="47"/>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12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Sunday Entertainments Act 1979</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w:t>
      </w:r>
    </w:p>
    <w:p>
      <w:pPr>
        <w:pStyle w:val="yScheduleHeading"/>
      </w:pPr>
      <w:bookmarkStart w:id="48" w:name="_Toc51657267"/>
      <w:bookmarkStart w:id="49" w:name="_Toc51667479"/>
      <w:bookmarkStart w:id="50" w:name="_Toc51677760"/>
      <w:bookmarkStart w:id="51" w:name="_Toc51677843"/>
      <w:bookmarkStart w:id="52" w:name="_Toc51747633"/>
      <w:r>
        <w:rPr>
          <w:rStyle w:val="CharSchNo"/>
        </w:rPr>
        <w:t>Schedule 2</w:t>
      </w:r>
      <w:r>
        <w:t> — </w:t>
      </w:r>
      <w:r>
        <w:rPr>
          <w:rStyle w:val="CharSchText"/>
        </w:rPr>
        <w:t>Enforcement fees</w:t>
      </w:r>
      <w:bookmarkEnd w:id="48"/>
      <w:bookmarkEnd w:id="49"/>
      <w:bookmarkEnd w:id="50"/>
      <w:bookmarkEnd w:id="51"/>
      <w:bookmarkEnd w:id="52"/>
    </w:p>
    <w:p>
      <w:pPr>
        <w:pStyle w:val="yShoulderClause"/>
      </w:pPr>
      <w:r>
        <w:t>[r. 9]</w:t>
      </w:r>
    </w:p>
    <w:p>
      <w:pPr>
        <w:pStyle w:val="yFootnoteheading"/>
      </w:pPr>
      <w:r>
        <w:tab/>
        <w:t>[Heading inserted: SL 2020/124 r. 14.]</w:t>
      </w:r>
    </w:p>
    <w:p>
      <w:pPr>
        <w:pStyle w:val="yHeading3"/>
      </w:pPr>
      <w:bookmarkStart w:id="53" w:name="_Toc51657268"/>
      <w:bookmarkStart w:id="54" w:name="_Toc51667480"/>
      <w:bookmarkStart w:id="55" w:name="_Toc51677761"/>
      <w:bookmarkStart w:id="56" w:name="_Toc51677844"/>
      <w:bookmarkStart w:id="57" w:name="_Toc51747634"/>
      <w:r>
        <w:rPr>
          <w:rStyle w:val="CharSDivNo"/>
        </w:rPr>
        <w:t>Division 1</w:t>
      </w:r>
      <w:r>
        <w:t> — </w:t>
      </w:r>
      <w:r>
        <w:rPr>
          <w:rStyle w:val="CharSDivText"/>
        </w:rPr>
        <w:t>Enforcement fees for Part 3 of the Act</w:t>
      </w:r>
      <w:bookmarkEnd w:id="53"/>
      <w:bookmarkEnd w:id="54"/>
      <w:bookmarkEnd w:id="55"/>
      <w:bookmarkEnd w:id="56"/>
      <w:bookmarkEnd w:id="57"/>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$24.10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$20.50</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$77.00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$51.00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1 inserted: SL 2020/124 r. 14.]</w:t>
      </w:r>
    </w:p>
    <w:p>
      <w:pPr>
        <w:pStyle w:val="yHeading3"/>
      </w:pPr>
      <w:bookmarkStart w:id="58" w:name="_Toc51657269"/>
      <w:bookmarkStart w:id="59" w:name="_Toc51667481"/>
      <w:bookmarkStart w:id="60" w:name="_Toc51677762"/>
      <w:bookmarkStart w:id="61" w:name="_Toc51677845"/>
      <w:bookmarkStart w:id="62" w:name="_Toc51747635"/>
      <w:r>
        <w:rPr>
          <w:rStyle w:val="CharSDivNo"/>
        </w:rPr>
        <w:t>Division 2</w:t>
      </w:r>
      <w:r>
        <w:t> — </w:t>
      </w:r>
      <w:r>
        <w:rPr>
          <w:rStyle w:val="CharSDivText"/>
        </w:rPr>
        <w:t>Enforcement fees for Part 4 of the Act</w:t>
      </w:r>
      <w:bookmarkEnd w:id="58"/>
      <w:bookmarkEnd w:id="59"/>
      <w:bookmarkEnd w:id="60"/>
      <w:bookmarkEnd w:id="61"/>
      <w:bookmarkEnd w:id="62"/>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$51.00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r>
        <w:tc>
          <w:tcPr>
            <w:tcW w:w="703" w:type="dxa"/>
          </w:tcPr>
          <w:p>
            <w:pPr>
              <w:pStyle w:val="yTableNAm"/>
              <w:keepNext/>
            </w:pPr>
            <w:r>
              <w:t>3.</w:t>
            </w:r>
          </w:p>
        </w:tc>
        <w:tc>
          <w:tcPr>
            <w:tcW w:w="5393" w:type="dxa"/>
          </w:tcPr>
          <w:p>
            <w:pPr>
              <w:pStyle w:val="yTableNAm"/>
              <w:keepNext/>
            </w:pPr>
            <w:r>
              <w:t>Fee for the service of a summons under Part 4 Division 3E Subdivision 3 of the Act</w:t>
            </w:r>
          </w:p>
        </w:tc>
        <w:tc>
          <w:tcPr>
            <w:tcW w:w="992" w:type="dxa"/>
            <w:noWrap/>
            <w:tcMar>
              <w:left w:w="85" w:type="dxa"/>
              <w:right w:w="85" w:type="dxa"/>
            </w:tcMar>
            <w:vAlign w:val="bottom"/>
          </w:tcPr>
          <w:p>
            <w:pPr>
              <w:pStyle w:val="yTableNAm"/>
              <w:keepNext/>
            </w:pPr>
            <w:r>
              <w:t>$93.00</w:t>
            </w:r>
          </w:p>
        </w:tc>
      </w:tr>
      <w:tr>
        <w:tc>
          <w:tcPr>
            <w:tcW w:w="703" w:type="dxa"/>
          </w:tcPr>
          <w:p>
            <w:pPr>
              <w:pStyle w:val="yTableNAm"/>
            </w:pPr>
          </w:p>
        </w:tc>
        <w:tc>
          <w:tcPr>
            <w:tcW w:w="5393" w:type="dxa"/>
          </w:tcPr>
          <w:p>
            <w:pPr>
              <w:pStyle w:val="yTableNAm"/>
              <w:rPr>
                <w:rStyle w:val="DraftersNotes"/>
                <w:b w:val="0"/>
                <w:i w:val="0"/>
                <w:sz w:val="22"/>
              </w:rPr>
            </w:pPr>
            <w:r>
              <w:t>(To be imposed on an attempt at service, whether or not the service is successful. The fee covers up to 3 attempts at service at the same address.)</w:t>
            </w:r>
          </w:p>
        </w:tc>
        <w:tc>
          <w:tcPr>
            <w:tcW w:w="992" w:type="dxa"/>
            <w:noWrap/>
            <w:tcMar>
              <w:left w:w="85" w:type="dxa"/>
              <w:right w:w="85" w:type="dxa"/>
            </w:tcMar>
            <w:vAlign w:val="bottom"/>
          </w:tcPr>
          <w:p>
            <w:pPr>
              <w:pStyle w:val="yTableNAm"/>
            </w:pPr>
          </w:p>
        </w:tc>
      </w:tr>
      <w:tr>
        <w:tc>
          <w:tcPr>
            <w:tcW w:w="703"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pPr>
          </w:p>
        </w:tc>
      </w:tr>
      <w:tr>
        <w:tc>
          <w:tcPr>
            <w:tcW w:w="703" w:type="dxa"/>
          </w:tcPr>
          <w:p>
            <w:pPr>
              <w:pStyle w:val="yTableNAm"/>
            </w:pPr>
          </w:p>
        </w:tc>
        <w:tc>
          <w:tcPr>
            <w:tcW w:w="5393" w:type="dxa"/>
          </w:tcPr>
          <w:p>
            <w:pPr>
              <w:pStyle w:val="yTableNAm"/>
            </w:pPr>
            <w:r>
              <w:t>(a)</w:t>
            </w:r>
            <w:r>
              <w:tab/>
              <w:t>fee for each kilometre travelled (1 way) in the metropolitan region (as defined in the Planning and Development Act 2005 section 4(1))</w:t>
            </w:r>
          </w:p>
        </w:tc>
        <w:tc>
          <w:tcPr>
            <w:tcW w:w="992" w:type="dxa"/>
            <w:noWrap/>
            <w:tcMar>
              <w:left w:w="85" w:type="dxa"/>
              <w:right w:w="85" w:type="dxa"/>
            </w:tcMar>
            <w:vAlign w:val="bottom"/>
          </w:tcPr>
          <w:p>
            <w:pPr>
              <w:pStyle w:val="yTableNAm"/>
            </w:pPr>
            <w:r>
              <w:t>$2.40</w:t>
            </w:r>
          </w:p>
        </w:tc>
      </w:tr>
      <w:tr>
        <w:tc>
          <w:tcPr>
            <w:tcW w:w="703" w:type="dxa"/>
          </w:tcPr>
          <w:p>
            <w:pPr>
              <w:pStyle w:val="yTableNAm"/>
            </w:pPr>
          </w:p>
        </w:tc>
        <w:tc>
          <w:tcPr>
            <w:tcW w:w="5393" w:type="dxa"/>
          </w:tcPr>
          <w:p>
            <w:pPr>
              <w:pStyle w:val="yTableNAm"/>
            </w:pPr>
            <w:r>
              <w:t>(b)</w:t>
            </w:r>
            <w:r>
              <w:tab/>
              <w:t>fee for each kilometre travelled (1 way) outside the metropolitan region (as defined in the Planning and Development Act 2005 section 4(1))</w:t>
            </w:r>
          </w:p>
        </w:tc>
        <w:tc>
          <w:tcPr>
            <w:tcW w:w="992" w:type="dxa"/>
            <w:noWrap/>
            <w:tcMar>
              <w:left w:w="85" w:type="dxa"/>
              <w:right w:w="85" w:type="dxa"/>
            </w:tcMar>
            <w:vAlign w:val="bottom"/>
          </w:tcPr>
          <w:p>
            <w:pPr>
              <w:pStyle w:val="yTableNAm"/>
            </w:pPr>
            <w:r>
              <w:t>$2.65</w:t>
            </w:r>
          </w:p>
        </w:tc>
      </w:tr>
      <w:tr>
        <w:tc>
          <w:tcPr>
            <w:tcW w:w="703"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992" w:type="dxa"/>
            <w:noWrap/>
            <w:tcMar>
              <w:left w:w="85" w:type="dxa"/>
              <w:right w:w="85" w:type="dxa"/>
            </w:tcMar>
            <w:vAlign w:val="bottom"/>
          </w:tcPr>
          <w:p>
            <w:pPr>
              <w:pStyle w:val="yTableNAm"/>
            </w:pPr>
          </w:p>
        </w:tc>
      </w:tr>
    </w:tbl>
    <w:p>
      <w:pPr>
        <w:pStyle w:val="yFootnotesection"/>
      </w:pPr>
      <w:r>
        <w:tab/>
        <w:t>[Division 2 inserted: SL 2020/124 r. 14; amended SL 2020/167 r. 22(1).]</w:t>
      </w:r>
    </w:p>
    <w:p>
      <w:pPr>
        <w:pStyle w:val="yHeading3"/>
      </w:pPr>
      <w:bookmarkStart w:id="63" w:name="_Toc51657270"/>
      <w:bookmarkStart w:id="64" w:name="_Toc51667482"/>
      <w:bookmarkStart w:id="65" w:name="_Toc51677763"/>
      <w:bookmarkStart w:id="66" w:name="_Toc51677846"/>
      <w:bookmarkStart w:id="67" w:name="_Toc51747636"/>
      <w:r>
        <w:rPr>
          <w:rStyle w:val="CharSDivNo"/>
        </w:rPr>
        <w:t>Division 3</w:t>
      </w:r>
      <w:r>
        <w:t> — </w:t>
      </w:r>
      <w:r>
        <w:rPr>
          <w:rStyle w:val="CharSDivText"/>
        </w:rPr>
        <w:t>Enforcement fees for Part 7 of the Act</w:t>
      </w:r>
      <w:bookmarkEnd w:id="63"/>
      <w:bookmarkEnd w:id="64"/>
      <w:bookmarkEnd w:id="65"/>
      <w:bookmarkEnd w:id="66"/>
      <w:bookmarkEnd w:id="67"/>
    </w:p>
    <w:p>
      <w:pPr>
        <w:pStyle w:val="yFootnoteheading"/>
        <w:spacing w:after="120"/>
      </w:pPr>
      <w:r>
        <w:tab/>
        <w:t>[Heading inserted: SL 2020/124 r. 14.]</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24"/>
        <w:gridCol w:w="1055"/>
      </w:tblGrid>
      <w:tr>
        <w:tc>
          <w:tcPr>
            <w:tcW w:w="709" w:type="dxa"/>
          </w:tcPr>
          <w:p>
            <w:pPr>
              <w:pStyle w:val="yTableNAm"/>
              <w:ind w:left="567" w:hanging="567"/>
            </w:pPr>
            <w:r>
              <w:t>1.</w:t>
            </w:r>
          </w:p>
        </w:tc>
        <w:tc>
          <w:tcPr>
            <w:tcW w:w="5324" w:type="dxa"/>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$106.00</w:t>
            </w:r>
          </w:p>
        </w:tc>
      </w:tr>
      <w:tr>
        <w:tc>
          <w:tcPr>
            <w:tcW w:w="709" w:type="dxa"/>
          </w:tcPr>
          <w:p>
            <w:pPr>
              <w:pStyle w:val="yTableNAm"/>
              <w:ind w:left="567" w:hanging="567"/>
            </w:pPr>
            <w:r>
              <w:t>2.</w:t>
            </w:r>
          </w:p>
        </w:tc>
        <w:tc>
          <w:tcPr>
            <w:tcW w:w="5324"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tcPr>
          <w:p>
            <w:pPr>
              <w:pStyle w:val="yTableNAm"/>
            </w:pPr>
            <w:r>
              <w:t xml:space="preserve">Fee for inspecting personal property under seizure </w:t>
            </w:r>
          </w:p>
        </w:tc>
        <w:tc>
          <w:tcPr>
            <w:tcW w:w="1055" w:type="dxa"/>
            <w:vAlign w:val="bottom"/>
          </w:tcPr>
          <w:p>
            <w:pPr>
              <w:pStyle w:val="yTableNAm"/>
            </w:pPr>
            <w:r>
              <w:t>$71.50</w:t>
            </w:r>
          </w:p>
        </w:tc>
      </w:tr>
      <w:tr>
        <w:tc>
          <w:tcPr>
            <w:tcW w:w="7088" w:type="dxa"/>
            <w:gridSpan w:val="3"/>
          </w:tcPr>
          <w:p>
            <w:pPr>
              <w:pStyle w:val="yEdnoteitem"/>
              <w:tabs>
                <w:tab w:val="left" w:pos="709"/>
              </w:tabs>
            </w:pPr>
            <w:r>
              <w:t>[4, 5.</w:t>
            </w:r>
            <w:r>
              <w:tab/>
              <w:t>deleted]</w:t>
            </w:r>
          </w:p>
        </w:tc>
      </w:tr>
      <w:tr>
        <w:trPr>
          <w:cantSplit/>
        </w:trPr>
        <w:tc>
          <w:tcPr>
            <w:tcW w:w="709" w:type="dxa"/>
          </w:tcPr>
          <w:p>
            <w:pPr>
              <w:pStyle w:val="yTableNAm"/>
              <w:ind w:left="567" w:hanging="567"/>
            </w:pPr>
            <w:r>
              <w:t>6.</w:t>
            </w:r>
          </w:p>
        </w:tc>
        <w:tc>
          <w:tcPr>
            <w:tcW w:w="5324" w:type="dxa"/>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9.</w:t>
            </w:r>
          </w:p>
        </w:tc>
        <w:tc>
          <w:tcPr>
            <w:tcW w:w="5324" w:type="dxa"/>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tcPr>
          <w:p>
            <w:pPr>
              <w:pStyle w:val="yTableNAm"/>
            </w:pPr>
            <w:r>
              <w:t xml:space="preserve">Fee for attending a sale of personal property or land </w:t>
            </w:r>
          </w:p>
        </w:tc>
        <w:tc>
          <w:tcPr>
            <w:tcW w:w="1055" w:type="dxa"/>
            <w:vAlign w:val="bottom"/>
          </w:tcPr>
          <w:p>
            <w:pPr>
              <w:pStyle w:val="yTableNAm"/>
            </w:pPr>
            <w:r>
              <w:t>$114.00</w:t>
            </w:r>
          </w:p>
        </w:tc>
      </w:tr>
      <w:tr>
        <w:tblPrEx>
          <w:tblCellMar>
            <w:left w:w="113" w:type="dxa"/>
            <w:right w:w="113" w:type="dxa"/>
          </w:tblCellMar>
        </w:tblPrEx>
        <w:tc>
          <w:tcPr>
            <w:tcW w:w="709" w:type="dxa"/>
          </w:tcPr>
          <w:p>
            <w:pPr>
              <w:pStyle w:val="yTableNAm"/>
            </w:pPr>
            <w:r>
              <w:t>11.</w:t>
            </w:r>
          </w:p>
        </w:tc>
        <w:tc>
          <w:tcPr>
            <w:tcW w:w="5324" w:type="dxa"/>
          </w:tcPr>
          <w:p>
            <w:pPr>
              <w:pStyle w:val="yTableNAm"/>
            </w:pPr>
            <w:r>
              <w:t>Fee for preparing and executing a transfer of land sold</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12.</w:t>
            </w:r>
          </w:p>
        </w:tc>
        <w:tc>
          <w:tcPr>
            <w:tcW w:w="5324" w:type="dxa"/>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$36.20</w:t>
            </w:r>
          </w:p>
        </w:tc>
      </w:tr>
      <w:tr>
        <w:tblPrEx>
          <w:tblCellMar>
            <w:left w:w="113" w:type="dxa"/>
            <w:right w:w="113" w:type="dxa"/>
          </w:tblCellMar>
        </w:tblPrEx>
        <w:trPr>
          <w:cantSplit/>
        </w:trPr>
        <w:tc>
          <w:tcPr>
            <w:tcW w:w="709" w:type="dxa"/>
          </w:tcPr>
          <w:p>
            <w:pPr>
              <w:pStyle w:val="yTableNAm"/>
              <w:ind w:left="567" w:hanging="567"/>
            </w:pPr>
            <w:r>
              <w:t>13.</w:t>
            </w:r>
          </w:p>
        </w:tc>
        <w:tc>
          <w:tcPr>
            <w:tcW w:w="5324"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pPr>
      <w:r>
        <w:tab/>
        <w:t>[Division 3 inserted: SL 2020/124 r. 14; amended SL 2020/167 r. 22(2).]</w:t>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69" w:name="_Toc51657271"/>
      <w:bookmarkStart w:id="70" w:name="_Toc51667483"/>
      <w:bookmarkStart w:id="71" w:name="_Toc51677764"/>
      <w:bookmarkStart w:id="72" w:name="_Toc51677847"/>
      <w:bookmarkStart w:id="73" w:name="_Toc51747637"/>
      <w:r>
        <w:rPr>
          <w:rStyle w:val="CharSchNo"/>
        </w:rPr>
        <w:t>Schedule 3</w:t>
      </w:r>
      <w:r>
        <w:rPr>
          <w:rStyle w:val="CharSDivNo"/>
        </w:rPr>
        <w:t> </w:t>
      </w:r>
      <w:r>
        <w:t>—</w:t>
      </w:r>
      <w:r>
        <w:rPr>
          <w:rStyle w:val="CharSDivText"/>
        </w:rPr>
        <w:t> </w:t>
      </w:r>
      <w:r>
        <w:rPr>
          <w:rStyle w:val="CharSchText"/>
        </w:rPr>
        <w:t>Forms</w:t>
      </w:r>
      <w:bookmarkEnd w:id="69"/>
      <w:bookmarkEnd w:id="70"/>
      <w:bookmarkEnd w:id="71"/>
      <w:bookmarkEnd w:id="72"/>
      <w:bookmarkEnd w:id="73"/>
    </w:p>
    <w:p>
      <w:pPr>
        <w:pStyle w:val="yShoulderClause"/>
      </w:pPr>
      <w:r>
        <w:t>[r. 12]</w:t>
      </w:r>
    </w:p>
    <w:p>
      <w:pPr>
        <w:pStyle w:val="yFootnoteheading"/>
        <w:spacing w:before="40"/>
      </w:pPr>
      <w:r>
        <w:tab/>
        <w:t>[Heading inserted: Gazette 13 May 2005 p. 2081.]</w:t>
      </w:r>
    </w:p>
    <w:p>
      <w:pPr>
        <w:pStyle w:val="yHeading5"/>
        <w:spacing w:before="160"/>
      </w:pPr>
      <w:bookmarkStart w:id="74" w:name="_Toc51747638"/>
      <w:r>
        <w:rPr>
          <w:rStyle w:val="CharSClsNo"/>
        </w:rPr>
        <w:t>1</w:t>
      </w:r>
      <w:r>
        <w:t>.</w:t>
      </w:r>
      <w:r>
        <w:tab/>
        <w:t>Notice of withdrawal for the purposes of Act s. 22</w:t>
      </w:r>
      <w:bookmarkEnd w:id="7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75" w:name="_Toc51747639"/>
      <w:r>
        <w:rPr>
          <w:rStyle w:val="CharSClsNo"/>
        </w:rPr>
        <w:t>2</w:t>
      </w:r>
      <w:r>
        <w:t>.</w:t>
      </w:r>
      <w:r>
        <w:tab/>
        <w:t>Enforcement warrant for the purposes of Act s. 21A and 45 and Part 5</w:t>
      </w:r>
      <w:bookmarkEnd w:id="7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76" w:name="_Toc51747640"/>
      <w:r>
        <w:rPr>
          <w:rStyle w:val="CharSClsNo"/>
        </w:rPr>
        <w:t>2A</w:t>
      </w:r>
      <w:r>
        <w:t>.</w:t>
      </w:r>
      <w:r>
        <w:tab/>
        <w:t>Summons to offender/liable person to appear at warrant of commitment inquiry for the purposes of Act s. 52Q(1)(a) and 52U and Part 5</w:t>
      </w:r>
      <w:bookmarkEnd w:id="76"/>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77" w:name="_Toc51747641"/>
      <w:r>
        <w:rPr>
          <w:rStyle w:val="CharSClsNo"/>
        </w:rPr>
        <w:t>2B</w:t>
      </w:r>
      <w:r>
        <w:t>.</w:t>
      </w:r>
      <w:r>
        <w:tab/>
        <w:t>Summons to person named under Act s. 52O(1)(c) to appear at warrant of commitment inquiry for the purposes of Act s. 52Q(2) and 52U and Part 5</w:t>
      </w:r>
      <w:bookmarkEnd w:id="77"/>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78" w:name="_Toc51747642"/>
      <w:r>
        <w:rPr>
          <w:rStyle w:val="CharSClsNo"/>
        </w:rPr>
        <w:t>2C</w:t>
      </w:r>
      <w:r>
        <w:t>.</w:t>
      </w:r>
      <w:r>
        <w:tab/>
        <w:t>Arrest warrant for the purposes of Act s. 52Q(1)(b) and 52Y and Part 5</w:t>
      </w:r>
      <w:bookmarkEnd w:id="7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9" w:name="_Toc51747643"/>
      <w:r>
        <w:rPr>
          <w:rStyle w:val="CharSClsNo"/>
        </w:rPr>
        <w:t>2D</w:t>
      </w:r>
      <w:r>
        <w:t>.</w:t>
      </w:r>
      <w:r>
        <w:tab/>
        <w:t>Conditional release undertaking for the purposes of Act s. 52ZD and Part 5</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80" w:name="_Toc51747644"/>
      <w:r>
        <w:rPr>
          <w:rStyle w:val="CharSClsNo"/>
        </w:rPr>
        <w:t>2E</w:t>
      </w:r>
      <w:r>
        <w:t>.</w:t>
      </w:r>
      <w:r>
        <w:tab/>
        <w:t>Certificate that offender/liable person has a right to be released for the purposes of Act s. 52ZF(c) and Part 5</w:t>
      </w:r>
      <w:bookmarkEnd w:id="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81" w:name="_Toc51747645"/>
      <w:r>
        <w:rPr>
          <w:rStyle w:val="CharSClsNo"/>
        </w:rPr>
        <w:t>3</w:t>
      </w:r>
      <w:r>
        <w:rPr>
          <w:snapToGrid w:val="0"/>
        </w:rPr>
        <w:t>.</w:t>
      </w:r>
      <w:r>
        <w:rPr>
          <w:snapToGrid w:val="0"/>
        </w:rPr>
        <w:tab/>
        <w:t xml:space="preserve">Warrant of commitment for the purposes of Act s. 52S(4) and </w:t>
      </w:r>
      <w:r>
        <w:t>Part 5</w:t>
      </w:r>
      <w:bookmarkEnd w:id="81"/>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82" w:name="_Toc51747646"/>
      <w:r>
        <w:rPr>
          <w:rStyle w:val="CharSClsNo"/>
        </w:rPr>
        <w:t>4</w:t>
      </w:r>
      <w:r>
        <w:rPr>
          <w:snapToGrid w:val="0"/>
        </w:rPr>
        <w:t>.</w:t>
      </w:r>
      <w:r>
        <w:rPr>
          <w:snapToGrid w:val="0"/>
        </w:rPr>
        <w:tab/>
        <w:t>Enforcement warrant for the purposes of Act s. 61</w:t>
      </w:r>
      <w:bookmarkEnd w:id="82"/>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3" w:name="_Toc51747647"/>
      <w:r>
        <w:rPr>
          <w:rStyle w:val="CharSClsNo"/>
        </w:rPr>
        <w:t>6A</w:t>
      </w:r>
      <w:r>
        <w:t>.</w:t>
      </w:r>
      <w:r>
        <w:tab/>
        <w:t>Memorial of land for the purposes of Act s. 89(2)</w:t>
      </w:r>
      <w:bookmarkEnd w:id="8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4" w:name="_Toc51747648"/>
      <w:r>
        <w:rPr>
          <w:rStyle w:val="CharSClsNo"/>
        </w:rPr>
        <w:t>6B</w:t>
      </w:r>
      <w:r>
        <w:t>.</w:t>
      </w:r>
      <w:r>
        <w:tab/>
        <w:t>Withdrawal of memorial of land for the purposes of Act s. 90</w:t>
      </w:r>
      <w:bookmarkEnd w:id="8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5" w:name="_Toc51747649"/>
      <w:r>
        <w:rPr>
          <w:rStyle w:val="CharSClsNo"/>
        </w:rPr>
        <w:t>8</w:t>
      </w:r>
      <w:r>
        <w:t>.</w:t>
      </w:r>
      <w:r>
        <w:tab/>
        <w:t>Certificate under Act s. 101C(1): Part 3 proceedings</w:t>
      </w:r>
      <w:bookmarkEnd w:id="8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86" w:name="_Toc51747650"/>
      <w:r>
        <w:rPr>
          <w:rStyle w:val="CharSClsNo"/>
        </w:rPr>
        <w:t>9</w:t>
      </w:r>
      <w:r>
        <w:t>.</w:t>
      </w:r>
      <w:r>
        <w:tab/>
        <w:t>Certificate under Act s. 101C(1): Part 4 proceedings</w:t>
      </w:r>
      <w:bookmarkEnd w:id="8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87" w:name="_Toc51747651"/>
      <w:r>
        <w:rPr>
          <w:rStyle w:val="CharSClsNo"/>
        </w:rPr>
        <w:t>10</w:t>
      </w:r>
      <w:r>
        <w:t>.</w:t>
      </w:r>
      <w:r>
        <w:tab/>
        <w:t>Certificate under Act s. 101C(2A): Part 3 proceedings</w:t>
      </w:r>
      <w:bookmarkEnd w:id="8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88" w:name="_Toc51747652"/>
      <w:r>
        <w:rPr>
          <w:rStyle w:val="CharSClsNo"/>
        </w:rPr>
        <w:t>11</w:t>
      </w:r>
      <w:r>
        <w:t>.</w:t>
      </w:r>
      <w:r>
        <w:tab/>
        <w:t>Certificate under Act s. 101C(2A): Part 4 proceedings</w:t>
      </w:r>
      <w:bookmarkEnd w:id="8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89" w:name="_Toc51657282"/>
      <w:bookmarkStart w:id="90" w:name="_Toc51667499"/>
      <w:bookmarkStart w:id="91" w:name="_Toc51677780"/>
      <w:bookmarkStart w:id="92" w:name="_Toc51677863"/>
      <w:bookmarkStart w:id="93" w:name="_Toc51747653"/>
      <w:r>
        <w:t>Notes</w:t>
      </w:r>
      <w:bookmarkEnd w:id="89"/>
      <w:bookmarkEnd w:id="90"/>
      <w:bookmarkEnd w:id="91"/>
      <w:bookmarkEnd w:id="92"/>
      <w:bookmarkEnd w:id="9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For provisions that have not yet come into operation see the uncommenced provisions table.</w:t>
      </w:r>
    </w:p>
    <w:p>
      <w:pPr>
        <w:pStyle w:val="nHeading3"/>
      </w:pPr>
      <w:bookmarkStart w:id="94" w:name="_Toc51747654"/>
      <w:r>
        <w:t>Compilation table</w:t>
      </w:r>
      <w:bookmarkEnd w:id="9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single" w:sz="4" w:space="0" w:color="auto"/>
            </w:tcBorders>
            <w:shd w:val="clear" w:color="auto" w:fill="auto"/>
          </w:tcPr>
          <w:p>
            <w:pPr>
              <w:pStyle w:val="nTable"/>
              <w:keepNext/>
              <w:spacing w:after="40"/>
              <w:ind w:left="-28"/>
              <w:rPr>
                <w:i/>
              </w:rPr>
            </w:pPr>
            <w:r>
              <w:rPr>
                <w:i/>
              </w:rPr>
              <w:t xml:space="preserve">Fines, Penalties and Infringement Notices Enforcement Amendment Regulations 2020 </w:t>
            </w:r>
            <w:r>
              <w:t>(other than r. 10 and 16)</w:t>
            </w:r>
          </w:p>
        </w:tc>
        <w:tc>
          <w:tcPr>
            <w:tcW w:w="1276" w:type="dxa"/>
            <w:tcBorders>
              <w:top w:val="nil"/>
              <w:bottom w:val="single" w:sz="4" w:space="0" w:color="auto"/>
            </w:tcBorders>
            <w:shd w:val="clear" w:color="auto" w:fill="auto"/>
          </w:tcPr>
          <w:p>
            <w:pPr>
              <w:pStyle w:val="nTable"/>
              <w:keepNext/>
              <w:spacing w:after="40"/>
              <w:ind w:left="-28"/>
            </w:pPr>
            <w:r>
              <w:t>SL 2020/167 25 Sep 2020</w:t>
            </w:r>
          </w:p>
        </w:tc>
        <w:tc>
          <w:tcPr>
            <w:tcW w:w="2693" w:type="dxa"/>
            <w:tcBorders>
              <w:top w:val="nil"/>
              <w:bottom w:val="single" w:sz="4" w:space="0" w:color="auto"/>
            </w:tcBorders>
            <w:shd w:val="clear" w:color="auto" w:fill="auto"/>
          </w:tcPr>
          <w:p>
            <w:pPr>
              <w:pStyle w:val="nTable"/>
              <w:keepNext/>
              <w:spacing w:after="40"/>
              <w:ind w:left="-28"/>
            </w:pPr>
            <w:r>
              <w:rPr>
                <w:bCs/>
                <w:snapToGrid w:val="0"/>
              </w:rPr>
              <w:t>r. 1 &amp; 2: 25</w:t>
            </w:r>
            <w:r>
              <w:t> Sep 2020</w:t>
            </w:r>
            <w:r>
              <w:rPr>
                <w:bCs/>
                <w:snapToGrid w:val="0"/>
              </w:rPr>
              <w:t xml:space="preserve"> (see r. 2(a));</w:t>
            </w:r>
            <w:r>
              <w:rPr>
                <w:bCs/>
                <w:snapToGrid w:val="0"/>
              </w:rPr>
              <w:br/>
              <w:t>Regulations other than r. 1, 2, 10 &amp; 16: 29 Sep 2020 (see r. 2(c) and SL 2020/159 cl. 2(a))</w:t>
            </w:r>
          </w:p>
        </w:tc>
      </w:tr>
    </w:tbl>
    <w:p>
      <w:pPr>
        <w:pStyle w:val="nHeading3"/>
      </w:pPr>
      <w:bookmarkStart w:id="95" w:name="_Toc43974179"/>
      <w:bookmarkStart w:id="96" w:name="_Toc51676843"/>
      <w:bookmarkStart w:id="97" w:name="_Toc51747655"/>
      <w:r>
        <w:t>Uncommenced provisions table</w:t>
      </w:r>
      <w:bookmarkEnd w:id="95"/>
      <w:bookmarkEnd w:id="96"/>
      <w:bookmarkEnd w:id="9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ind w:right="113"/>
              <w:rPr>
                <w:i/>
              </w:rPr>
            </w:pPr>
            <w:r>
              <w:rPr>
                <w:i/>
              </w:rPr>
              <w:t xml:space="preserve">Fines, Penalties and Infringement Notices Enforcement Amendment Regulations 2020 </w:t>
            </w:r>
            <w:r>
              <w:t>r. 10 &amp; 16</w:t>
            </w:r>
          </w:p>
        </w:tc>
        <w:tc>
          <w:tcPr>
            <w:tcW w:w="1276" w:type="dxa"/>
            <w:tcBorders>
              <w:top w:val="single" w:sz="8" w:space="0" w:color="auto"/>
              <w:bottom w:val="single" w:sz="8" w:space="0" w:color="auto"/>
            </w:tcBorders>
            <w:shd w:val="clear" w:color="auto" w:fill="auto"/>
          </w:tcPr>
          <w:p>
            <w:pPr>
              <w:pStyle w:val="nTable"/>
              <w:spacing w:after="40"/>
            </w:pPr>
            <w:r>
              <w:t>SL 2020/167 25 Sep 2020</w:t>
            </w:r>
          </w:p>
        </w:tc>
        <w:tc>
          <w:tcPr>
            <w:tcW w:w="2693" w:type="dxa"/>
            <w:tcBorders>
              <w:top w:val="single" w:sz="8" w:space="0" w:color="auto"/>
              <w:bottom w:val="single" w:sz="8" w:space="0" w:color="auto"/>
            </w:tcBorders>
            <w:shd w:val="clear" w:color="auto" w:fill="auto"/>
          </w:tcPr>
          <w:p>
            <w:pPr>
              <w:pStyle w:val="nTable"/>
              <w:spacing w:after="40"/>
            </w:pPr>
            <w:r>
              <w:rPr>
                <w:bCs/>
                <w:snapToGrid w:val="0"/>
              </w:rPr>
              <w:t>30 Sep 2020 (see r. 2(b) and SL 2020/159 cl. 2(b))</w:t>
            </w:r>
          </w:p>
        </w:tc>
      </w:tr>
    </w:tbl>
    <w:p>
      <w:pPr>
        <w:pStyle w:val="nHeading3"/>
      </w:pPr>
      <w:bookmarkStart w:id="98" w:name="_Toc51747656"/>
      <w:r>
        <w:t>Other notes</w:t>
      </w:r>
      <w:bookmarkEnd w:id="98"/>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12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00" w:name="_Toc51747657"/>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085105"/>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39BE8-91C1-4655-9304-B1D63837D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15827</Words>
  <Characters>80085</Characters>
  <Application>Microsoft Office Word</Application>
  <DocSecurity>0</DocSecurity>
  <Lines>2966</Lines>
  <Paragraphs>1653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1994 - 08-m0-00</dc:title>
  <dc:subject/>
  <dc:creator/>
  <cp:keywords/>
  <dc:description/>
  <cp:lastModifiedBy>svcMRProcess</cp:lastModifiedBy>
  <cp:revision>4</cp:revision>
  <cp:lastPrinted>2018-02-21T01:26:00Z</cp:lastPrinted>
  <dcterms:created xsi:type="dcterms:W3CDTF">2020-09-25T05:14:00Z</dcterms:created>
  <dcterms:modified xsi:type="dcterms:W3CDTF">2020-09-25T05:14:00Z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29 Sep 2020</vt:lpwstr>
  </property>
  <property fmtid="{D5CDD505-2E9C-101B-9397-08002B2CF9AE}" pid="8" name="Suffix">
    <vt:lpwstr>08-m0-00</vt:lpwstr>
  </property>
  <property fmtid="{D5CDD505-2E9C-101B-9397-08002B2CF9AE}" pid="9" name="CommencementDate">
    <vt:lpwstr>20200929</vt:lpwstr>
  </property>
</Properties>
</file>