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Real Estate and Business Agents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(General)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_Toc51842002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_Toc51842003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_Toc51842004 \h </w:instrText>
      </w:r>
      <w:r>
        <w:fldChar w:fldCharType="separate"/>
      </w:r>
      <w:r>
        <w:t>3</w:t>
      </w:r>
      <w:r>
        <w:fldChar w:fldCharType="end"/>
      </w:r>
    </w:p>
    <w:p>
      <w:pPr>
        <w:pStyle w:val="TOC8"/>
        <w:rPr>
          <w:rFonts w:asciiTheme="minorHAnsi" w:eastAsiaTheme="minorEastAsia" w:hAnsiTheme="minorHAnsi" w:cstheme="minorBidi"/>
          <w:szCs w:val="22"/>
        </w:rPr>
      </w:pPr>
      <w:r>
        <w:t>4.</w:t>
      </w:r>
      <w:r>
        <w:tab/>
        <w:t>Fees (Sch. 1)</w:t>
      </w:r>
      <w:r>
        <w:tab/>
      </w:r>
      <w:r>
        <w:fldChar w:fldCharType="begin"/>
      </w:r>
      <w:r>
        <w:instrText xml:space="preserve"> PAGEREF _Toc51842005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Holding </w:t>
      </w:r>
      <w:r>
        <w:t>fee</w:t>
      </w:r>
      <w:r>
        <w:tab/>
      </w:r>
      <w:r>
        <w:fldChar w:fldCharType="begin"/>
      </w:r>
      <w:r>
        <w:instrText xml:space="preserve"> PAGEREF _Toc51842006 \h </w:instrText>
      </w:r>
      <w:r>
        <w:fldChar w:fldCharType="separate"/>
      </w:r>
      <w:r>
        <w:t>3</w:t>
      </w:r>
      <w:r>
        <w:fldChar w:fldCharType="end"/>
      </w:r>
    </w:p>
    <w:p>
      <w:pPr>
        <w:pStyle w:val="TOC8"/>
        <w:rPr>
          <w:rFonts w:asciiTheme="minorHAnsi" w:eastAsiaTheme="minorEastAsia" w:hAnsiTheme="minorHAnsi" w:cstheme="minorBidi"/>
          <w:szCs w:val="22"/>
        </w:rPr>
      </w:pPr>
      <w:r>
        <w:t>4AA.</w:t>
      </w:r>
      <w:r>
        <w:tab/>
        <w:t>CPD activities</w:t>
      </w:r>
      <w:r>
        <w:tab/>
      </w:r>
      <w:r>
        <w:fldChar w:fldCharType="begin"/>
      </w:r>
      <w:r>
        <w:instrText xml:space="preserve"> PAGEREF _Toc51842007 \h </w:instrText>
      </w:r>
      <w:r>
        <w:fldChar w:fldCharType="separate"/>
      </w:r>
      <w:r>
        <w:t>4</w:t>
      </w:r>
      <w:r>
        <w:fldChar w:fldCharType="end"/>
      </w:r>
    </w:p>
    <w:p>
      <w:pPr>
        <w:pStyle w:val="TOC8"/>
        <w:rPr>
          <w:rFonts w:asciiTheme="minorHAnsi" w:eastAsiaTheme="minorEastAsia" w:hAnsiTheme="minorHAnsi" w:cstheme="minorBidi"/>
          <w:szCs w:val="22"/>
        </w:rPr>
      </w:pPr>
      <w:r>
        <w:t>4AB.</w:t>
      </w:r>
      <w:r>
        <w:tab/>
        <w:t>Prescribed educational requirement for licensees who are individuals (Act s. 40B)</w:t>
      </w:r>
      <w:r>
        <w:tab/>
      </w:r>
      <w:r>
        <w:fldChar w:fldCharType="begin"/>
      </w:r>
      <w:r>
        <w:instrText xml:space="preserve"> PAGEREF _Toc51842008 \h </w:instrText>
      </w:r>
      <w:r>
        <w:fldChar w:fldCharType="separate"/>
      </w:r>
      <w:r>
        <w:t>6</w:t>
      </w:r>
      <w:r>
        <w:fldChar w:fldCharType="end"/>
      </w:r>
    </w:p>
    <w:p>
      <w:pPr>
        <w:pStyle w:val="TOC8"/>
        <w:rPr>
          <w:rFonts w:asciiTheme="minorHAnsi" w:eastAsiaTheme="minorEastAsia" w:hAnsiTheme="minorHAnsi" w:cstheme="minorBidi"/>
          <w:szCs w:val="22"/>
        </w:rPr>
      </w:pPr>
      <w:r>
        <w:t>4AC.</w:t>
      </w:r>
      <w:r>
        <w:tab/>
        <w:t>Prescribed educational requirement for sales representatives (Act s. 50C)</w:t>
      </w:r>
      <w:r>
        <w:tab/>
      </w:r>
      <w:r>
        <w:fldChar w:fldCharType="begin"/>
      </w:r>
      <w:r>
        <w:instrText xml:space="preserve"> PAGEREF _Toc51842009 \h </w:instrText>
      </w:r>
      <w:r>
        <w:fldChar w:fldCharType="separate"/>
      </w:r>
      <w:r>
        <w:t>6</w:t>
      </w:r>
      <w:r>
        <w:fldChar w:fldCharType="end"/>
      </w:r>
    </w:p>
    <w:p>
      <w:pPr>
        <w:pStyle w:val="TOC8"/>
        <w:rPr>
          <w:rFonts w:asciiTheme="minorHAnsi" w:eastAsiaTheme="minorEastAsia" w:hAnsiTheme="minorHAnsi" w:cstheme="minorBidi"/>
          <w:szCs w:val="22"/>
        </w:rPr>
      </w:pPr>
      <w:r>
        <w:t>4B.</w:t>
      </w:r>
      <w:r>
        <w:tab/>
        <w:t>Prescribed periods (Act s. 48(1), (2) and 49(2))</w:t>
      </w:r>
      <w:r>
        <w:tab/>
      </w:r>
      <w:r>
        <w:fldChar w:fldCharType="begin"/>
      </w:r>
      <w:r>
        <w:instrText xml:space="preserve"> PAGEREF _Toc51842010 \h </w:instrText>
      </w:r>
      <w:r>
        <w:fldChar w:fldCharType="separate"/>
      </w:r>
      <w:r>
        <w:t>7</w:t>
      </w:r>
      <w:r>
        <w:fldChar w:fldCharType="end"/>
      </w:r>
    </w:p>
    <w:p>
      <w:pPr>
        <w:pStyle w:val="TOC8"/>
        <w:rPr>
          <w:rFonts w:asciiTheme="minorHAnsi" w:eastAsiaTheme="minorEastAsia" w:hAnsiTheme="minorHAnsi" w:cstheme="minorBidi"/>
          <w:szCs w:val="22"/>
        </w:rPr>
      </w:pPr>
      <w:r>
        <w:t>6.</w:t>
      </w:r>
      <w:r>
        <w:tab/>
        <w:t>Prescribed examinations (Act Sch. 1 cl. 1(a))</w:t>
      </w:r>
      <w:r>
        <w:tab/>
      </w:r>
      <w:r>
        <w:fldChar w:fldCharType="begin"/>
      </w:r>
      <w:r>
        <w:instrText xml:space="preserve"> PAGEREF _Toc51842011 \h </w:instrText>
      </w:r>
      <w:r>
        <w:fldChar w:fldCharType="separate"/>
      </w:r>
      <w:r>
        <w:t>7</w:t>
      </w:r>
      <w:r>
        <w:fldChar w:fldCharType="end"/>
      </w:r>
    </w:p>
    <w:p>
      <w:pPr>
        <w:pStyle w:val="TOC8"/>
        <w:rPr>
          <w:rFonts w:asciiTheme="minorHAnsi" w:eastAsiaTheme="minorEastAsia" w:hAnsiTheme="minorHAnsi" w:cstheme="minorBidi"/>
          <w:szCs w:val="22"/>
        </w:rPr>
      </w:pPr>
      <w:r>
        <w:t>6A.</w:t>
      </w:r>
      <w:r>
        <w:tab/>
        <w:t>Prescribed qualifications for sales representatives (Act s. 47(2))</w:t>
      </w:r>
      <w:r>
        <w:tab/>
      </w:r>
      <w:r>
        <w:fldChar w:fldCharType="begin"/>
      </w:r>
      <w:r>
        <w:instrText xml:space="preserve"> PAGEREF _Toc51842012 \h </w:instrText>
      </w:r>
      <w:r>
        <w:fldChar w:fldCharType="separate"/>
      </w:r>
      <w:r>
        <w:t>8</w:t>
      </w:r>
      <w:r>
        <w:fldChar w:fldCharType="end"/>
      </w:r>
    </w:p>
    <w:p>
      <w:pPr>
        <w:pStyle w:val="TOC8"/>
        <w:rPr>
          <w:rFonts w:asciiTheme="minorHAnsi" w:eastAsiaTheme="minorEastAsia" w:hAnsiTheme="minorHAnsi" w:cstheme="minorBidi"/>
          <w:szCs w:val="22"/>
        </w:rPr>
      </w:pPr>
      <w:r>
        <w:t>6B.</w:t>
      </w:r>
      <w:r>
        <w:tab/>
        <w:t>Certificate of registration, grant of (Act s. 47)</w:t>
      </w:r>
      <w:r>
        <w:tab/>
      </w:r>
      <w:r>
        <w:fldChar w:fldCharType="begin"/>
      </w:r>
      <w:r>
        <w:instrText xml:space="preserve"> PAGEREF _Toc51842013 \h </w:instrText>
      </w:r>
      <w:r>
        <w:fldChar w:fldCharType="separate"/>
      </w:r>
      <w:r>
        <w:t>10</w:t>
      </w:r>
      <w:r>
        <w:fldChar w:fldCharType="end"/>
      </w:r>
    </w:p>
    <w:p>
      <w:pPr>
        <w:pStyle w:val="TOC8"/>
        <w:rPr>
          <w:rFonts w:asciiTheme="minorHAnsi" w:eastAsiaTheme="minorEastAsia" w:hAnsiTheme="minorHAnsi" w:cstheme="minorBidi"/>
          <w:szCs w:val="22"/>
        </w:rPr>
      </w:pPr>
      <w:r>
        <w:t>6BA</w:t>
      </w:r>
      <w:r>
        <w:rPr>
          <w:snapToGrid w:val="0"/>
        </w:rPr>
        <w:t>.</w:t>
      </w:r>
      <w:r>
        <w:rPr>
          <w:snapToGrid w:val="0"/>
        </w:rPr>
        <w:tab/>
        <w:t>Appointment to act as agent, content of</w:t>
      </w:r>
      <w:r>
        <w:tab/>
      </w:r>
      <w:r>
        <w:fldChar w:fldCharType="begin"/>
      </w:r>
      <w:r>
        <w:instrText xml:space="preserve"> PAGEREF _Toc51842014 \h </w:instrText>
      </w:r>
      <w:r>
        <w:fldChar w:fldCharType="separate"/>
      </w:r>
      <w:r>
        <w:t>10</w:t>
      </w:r>
      <w:r>
        <w:fldChar w:fldCharType="end"/>
      </w:r>
    </w:p>
    <w:p>
      <w:pPr>
        <w:pStyle w:val="TOC8"/>
        <w:rPr>
          <w:rFonts w:asciiTheme="minorHAnsi" w:eastAsiaTheme="minorEastAsia" w:hAnsiTheme="minorHAnsi" w:cstheme="minorBidi"/>
          <w:szCs w:val="22"/>
        </w:rPr>
      </w:pPr>
      <w:r>
        <w:t>6BB.</w:t>
      </w:r>
      <w:r>
        <w:tab/>
        <w:t>Prescribed transaction</w:t>
      </w:r>
      <w:r>
        <w:tab/>
      </w:r>
      <w:r>
        <w:fldChar w:fldCharType="begin"/>
      </w:r>
      <w:r>
        <w:instrText xml:space="preserve"> PAGEREF _Toc51842015 \h </w:instrText>
      </w:r>
      <w:r>
        <w:fldChar w:fldCharType="separate"/>
      </w:r>
      <w:r>
        <w:t>12</w:t>
      </w:r>
      <w:r>
        <w:fldChar w:fldCharType="end"/>
      </w:r>
    </w:p>
    <w:p>
      <w:pPr>
        <w:pStyle w:val="TOC8"/>
        <w:rPr>
          <w:rFonts w:asciiTheme="minorHAnsi" w:eastAsiaTheme="minorEastAsia" w:hAnsiTheme="minorHAnsi" w:cstheme="minorBidi"/>
          <w:szCs w:val="22"/>
        </w:rPr>
      </w:pPr>
      <w:r>
        <w:t>6C.</w:t>
      </w:r>
      <w:r>
        <w:tab/>
        <w:t>Authorised financial institution (Act s. 67), classes of body prescribed</w:t>
      </w:r>
      <w:r>
        <w:tab/>
      </w:r>
      <w:r>
        <w:fldChar w:fldCharType="begin"/>
      </w:r>
      <w:r>
        <w:instrText xml:space="preserve"> PAGEREF _Toc51842016 \h </w:instrText>
      </w:r>
      <w:r>
        <w:fldChar w:fldCharType="separate"/>
      </w:r>
      <w:r>
        <w:t>12</w:t>
      </w:r>
      <w:r>
        <w:fldChar w:fldCharType="end"/>
      </w:r>
    </w:p>
    <w:p>
      <w:pPr>
        <w:pStyle w:val="TOC8"/>
        <w:rPr>
          <w:rFonts w:asciiTheme="minorHAnsi" w:eastAsiaTheme="minorEastAsia" w:hAnsiTheme="minorHAnsi" w:cstheme="minorBidi"/>
          <w:szCs w:val="22"/>
        </w:rPr>
      </w:pPr>
      <w:r>
        <w:t>6D.</w:t>
      </w:r>
      <w:r>
        <w:tab/>
        <w:t>Trust accounts, designation of (Act s. 68(1))</w:t>
      </w:r>
      <w:r>
        <w:tab/>
      </w:r>
      <w:r>
        <w:fldChar w:fldCharType="begin"/>
      </w:r>
      <w:r>
        <w:instrText xml:space="preserve"> PAGEREF _Toc51842017 \h </w:instrText>
      </w:r>
      <w:r>
        <w:fldChar w:fldCharType="separate"/>
      </w:r>
      <w:r>
        <w:t>12</w:t>
      </w:r>
      <w:r>
        <w:fldChar w:fldCharType="end"/>
      </w:r>
    </w:p>
    <w:p>
      <w:pPr>
        <w:pStyle w:val="TOC8"/>
        <w:rPr>
          <w:rFonts w:asciiTheme="minorHAnsi" w:eastAsiaTheme="minorEastAsia" w:hAnsiTheme="minorHAnsi" w:cstheme="minorBidi"/>
          <w:szCs w:val="22"/>
        </w:rPr>
      </w:pPr>
      <w:r>
        <w:t>6E.</w:t>
      </w:r>
      <w:r>
        <w:tab/>
        <w:t>Separate trust accounts, requests for, requirements prescribed (Act s. 68A(4))</w:t>
      </w:r>
      <w:r>
        <w:tab/>
      </w:r>
      <w:r>
        <w:fldChar w:fldCharType="begin"/>
      </w:r>
      <w:r>
        <w:instrText xml:space="preserve"> PAGEREF _Toc51842018 \h </w:instrText>
      </w:r>
      <w:r>
        <w:fldChar w:fldCharType="separate"/>
      </w:r>
      <w:r>
        <w:t>13</w:t>
      </w:r>
      <w:r>
        <w:fldChar w:fldCharType="end"/>
      </w:r>
    </w:p>
    <w:p>
      <w:pPr>
        <w:pStyle w:val="TOC8"/>
        <w:rPr>
          <w:rFonts w:asciiTheme="minorHAnsi" w:eastAsiaTheme="minorEastAsia" w:hAnsiTheme="minorHAnsi" w:cstheme="minorBidi"/>
          <w:szCs w:val="22"/>
        </w:rPr>
      </w:pPr>
      <w:r>
        <w:t>6F.</w:t>
      </w:r>
      <w:r>
        <w:tab/>
        <w:t>Trust accounts, interest on (Act s. 68B(1))</w:t>
      </w:r>
      <w:r>
        <w:tab/>
      </w:r>
      <w:r>
        <w:fldChar w:fldCharType="begin"/>
      </w:r>
      <w:r>
        <w:instrText xml:space="preserve"> PAGEREF _Toc51842019 \h </w:instrText>
      </w:r>
      <w:r>
        <w:fldChar w:fldCharType="separate"/>
      </w:r>
      <w:r>
        <w:t>14</w:t>
      </w:r>
      <w:r>
        <w:fldChar w:fldCharType="end"/>
      </w:r>
    </w:p>
    <w:p>
      <w:pPr>
        <w:pStyle w:val="TOC8"/>
        <w:rPr>
          <w:rFonts w:asciiTheme="minorHAnsi" w:eastAsiaTheme="minorEastAsia" w:hAnsiTheme="minorHAnsi" w:cstheme="minorBidi"/>
          <w:szCs w:val="22"/>
        </w:rPr>
      </w:pPr>
      <w:r>
        <w:t>6G.</w:t>
      </w:r>
      <w:r>
        <w:tab/>
        <w:t>Receipts by agents, information in (Act s. 69(1)(a))</w:t>
      </w:r>
      <w:r>
        <w:tab/>
      </w:r>
      <w:r>
        <w:fldChar w:fldCharType="begin"/>
      </w:r>
      <w:r>
        <w:instrText xml:space="preserve"> PAGEREF _Toc51842020 \h </w:instrText>
      </w:r>
      <w:r>
        <w:fldChar w:fldCharType="separate"/>
      </w:r>
      <w:r>
        <w:t>14</w:t>
      </w:r>
      <w:r>
        <w:fldChar w:fldCharType="end"/>
      </w:r>
    </w:p>
    <w:p>
      <w:pPr>
        <w:pStyle w:val="TOC8"/>
        <w:rPr>
          <w:rFonts w:asciiTheme="minorHAnsi" w:eastAsiaTheme="minorEastAsia" w:hAnsiTheme="minorHAnsi" w:cstheme="minorBidi"/>
          <w:szCs w:val="22"/>
        </w:rPr>
      </w:pPr>
      <w:r>
        <w:t>6H</w:t>
      </w:r>
      <w:r>
        <w:rPr>
          <w:snapToGrid w:val="0"/>
        </w:rPr>
        <w:t>.</w:t>
      </w:r>
      <w:r>
        <w:rPr>
          <w:snapToGrid w:val="0"/>
        </w:rPr>
        <w:tab/>
        <w:t>Record keeping requirements</w:t>
      </w:r>
      <w:r>
        <w:tab/>
      </w:r>
      <w:r>
        <w:fldChar w:fldCharType="begin"/>
      </w:r>
      <w:r>
        <w:instrText xml:space="preserve"> PAGEREF _Toc51842021 \h </w:instrText>
      </w:r>
      <w:r>
        <w:fldChar w:fldCharType="separate"/>
      </w:r>
      <w:r>
        <w:t>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Registers (Act s. 133(2))</w:t>
      </w:r>
      <w:r>
        <w:tab/>
      </w:r>
      <w:r>
        <w:fldChar w:fldCharType="begin"/>
      </w:r>
      <w:r>
        <w:instrText xml:space="preserve"> PAGEREF _Toc51842022 \h </w:instrText>
      </w:r>
      <w:r>
        <w:fldChar w:fldCharType="separate"/>
      </w:r>
      <w:r>
        <w:t>15</w:t>
      </w:r>
      <w:r>
        <w:fldChar w:fldCharType="end"/>
      </w:r>
    </w:p>
    <w:p>
      <w:pPr>
        <w:pStyle w:val="TOC8"/>
        <w:rPr>
          <w:rFonts w:asciiTheme="minorHAnsi" w:eastAsiaTheme="minorEastAsia" w:hAnsiTheme="minorHAnsi" w:cstheme="minorBidi"/>
          <w:szCs w:val="22"/>
        </w:rPr>
      </w:pPr>
      <w:r>
        <w:lastRenderedPageBreak/>
        <w:t>7AA.</w:t>
      </w:r>
      <w:r>
        <w:tab/>
        <w:t>Lending institution (Act s. 131A), classes of body prescribed</w:t>
      </w:r>
      <w:r>
        <w:tab/>
      </w:r>
      <w:r>
        <w:fldChar w:fldCharType="begin"/>
      </w:r>
      <w:r>
        <w:instrText xml:space="preserve"> PAGEREF _Toc51842023 \h </w:instrText>
      </w:r>
      <w:r>
        <w:fldChar w:fldCharType="separate"/>
      </w:r>
      <w:r>
        <w:t>18</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Maximum amount prescribed (Act s. 131M(3))</w:t>
      </w:r>
      <w:r>
        <w:tab/>
      </w:r>
      <w:r>
        <w:fldChar w:fldCharType="begin"/>
      </w:r>
      <w:r>
        <w:instrText xml:space="preserve"> PAGEREF _Toc51842024 \h </w:instrText>
      </w:r>
      <w:r>
        <w:fldChar w:fldCharType="separate"/>
      </w:r>
      <w:r>
        <w:t>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Changes in particulars, licensees to notify Commissioner of</w:t>
      </w:r>
      <w:r>
        <w:tab/>
      </w:r>
      <w:r>
        <w:fldChar w:fldCharType="begin"/>
      </w:r>
      <w:r>
        <w:instrText xml:space="preserve"> PAGEREF _Toc51842025 \h </w:instrText>
      </w:r>
      <w:r>
        <w:fldChar w:fldCharType="separate"/>
      </w:r>
      <w:r>
        <w:t>18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Fees and costs, </w:t>
      </w:r>
      <w:r>
        <w:t>recovery</w:t>
      </w:r>
      <w:r>
        <w:rPr>
          <w:snapToGrid w:val="0"/>
        </w:rPr>
        <w:t xml:space="preserve"> of</w:t>
      </w:r>
      <w:r>
        <w:tab/>
      </w:r>
      <w:r>
        <w:fldChar w:fldCharType="begin"/>
      </w:r>
      <w:r>
        <w:instrText xml:space="preserve"> PAGEREF _Toc51842026 \h </w:instrText>
      </w:r>
      <w:r>
        <w:fldChar w:fldCharType="separate"/>
      </w:r>
      <w:r>
        <w:t>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Unsuccessful</w:t>
      </w:r>
      <w:r>
        <w:rPr>
          <w:snapToGrid w:val="0"/>
        </w:rPr>
        <w:t xml:space="preserve"> applicant for licence etc., refund to (Act s. 113)</w:t>
      </w:r>
      <w:r>
        <w:tab/>
      </w:r>
      <w:r>
        <w:fldChar w:fldCharType="begin"/>
      </w:r>
      <w:r>
        <w:instrText xml:space="preserve"> PAGEREF _Toc51842027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Real Estate and Business Agents</w:t>
      </w:r>
      <w:r>
        <w:rPr>
          <w:snapToGrid w:val="0"/>
        </w:rPr>
        <w:t xml:space="preserve"> Interest Account, application of (Act s. 127)</w:t>
      </w:r>
      <w:r>
        <w:tab/>
      </w:r>
      <w:r>
        <w:fldChar w:fldCharType="begin"/>
      </w:r>
      <w:r>
        <w:instrText xml:space="preserve"> PAGEREF _Toc51842028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Fidelity Guarantee Account, claims against</w:t>
      </w:r>
      <w:r>
        <w:tab/>
      </w:r>
      <w:r>
        <w:fldChar w:fldCharType="begin"/>
      </w:r>
      <w:r>
        <w:instrText xml:space="preserve"> PAGEREF _Toc51842029 \h </w:instrText>
      </w:r>
      <w:r>
        <w:fldChar w:fldCharType="separate"/>
      </w:r>
      <w:r>
        <w:t>20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Codes of conduct prescribed to be published (Act s. 101)</w:t>
      </w:r>
      <w:r>
        <w:tab/>
      </w:r>
      <w:r>
        <w:fldChar w:fldCharType="begin"/>
      </w:r>
      <w:r>
        <w:instrText xml:space="preserve"> PAGEREF _Toc51842030 \h </w:instrText>
      </w:r>
      <w:r>
        <w:fldChar w:fldCharType="separate"/>
      </w:r>
      <w:r>
        <w:t>20</w:t>
      </w:r>
      <w:r>
        <w:fldChar w:fldCharType="end"/>
      </w:r>
    </w:p>
    <w:p>
      <w:pPr>
        <w:pStyle w:val="TOC8"/>
        <w:rPr>
          <w:rFonts w:asciiTheme="minorHAnsi" w:eastAsiaTheme="minorEastAsia" w:hAnsiTheme="minorHAnsi" w:cstheme="minorBidi"/>
          <w:szCs w:val="22"/>
        </w:rPr>
      </w:pPr>
      <w:r>
        <w:t>14.</w:t>
      </w:r>
      <w:r>
        <w:tab/>
        <w:t>Infringement notices</w:t>
      </w:r>
      <w:r>
        <w:tab/>
      </w:r>
      <w:r>
        <w:fldChar w:fldCharType="begin"/>
      </w:r>
      <w:r>
        <w:instrText xml:space="preserve"> PAGEREF _Toc51842031 \h </w:instrText>
      </w:r>
      <w:r>
        <w:fldChar w:fldCharType="separate"/>
      </w:r>
      <w:r>
        <w:t>20</w:t>
      </w:r>
      <w:r>
        <w:fldChar w:fldCharType="end"/>
      </w:r>
    </w:p>
    <w:p>
      <w:pPr>
        <w:pStyle w:val="TOC8"/>
        <w:rPr>
          <w:rFonts w:asciiTheme="minorHAnsi" w:eastAsiaTheme="minorEastAsia" w:hAnsiTheme="minorHAnsi" w:cstheme="minorBidi"/>
          <w:szCs w:val="22"/>
        </w:rPr>
      </w:pPr>
      <w:r>
        <w:t>15.</w:t>
      </w:r>
      <w:r>
        <w:tab/>
        <w:t>Forms (Sch. 2)</w:t>
      </w:r>
      <w:r>
        <w:tab/>
      </w:r>
      <w:r>
        <w:fldChar w:fldCharType="begin"/>
      </w:r>
      <w:r>
        <w:instrText xml:space="preserve"> PAGEREF _Toc51842032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1A — Professional development subjects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_Toc51842038 \h </w:instrText>
      </w:r>
      <w:r>
        <w:fldChar w:fldCharType="separate"/>
      </w:r>
      <w:r>
        <w:t>30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_Toc51842039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Real Estate and Business Agents Act 1978</w:t>
      </w:r>
    </w:p>
    <w:p>
      <w:pPr>
        <w:pStyle w:val="NameofActReg"/>
        <w:spacing w:before="360"/>
      </w:pPr>
      <w:r>
        <w:t>Real Estate and Business Agents (General) Regulations 1979</w:t>
      </w:r>
    </w:p>
    <w:p>
      <w:pPr>
        <w:pStyle w:val="Heading5"/>
        <w:spacing w:before="0"/>
        <w:rPr>
          <w:snapToGrid w:val="0"/>
        </w:rPr>
      </w:pPr>
      <w:bookmarkStart w:id="3" w:name="_Toc51842002"/>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4" w:name="_Toc51842003"/>
      <w:r>
        <w:rPr>
          <w:rStyle w:val="CharSectno"/>
        </w:rPr>
        <w:t>2</w:t>
      </w:r>
      <w:r>
        <w:rPr>
          <w:snapToGrid w:val="0"/>
        </w:rPr>
        <w:t>.</w:t>
      </w:r>
      <w:r>
        <w:rPr>
          <w:snapToGrid w:val="0"/>
        </w:rPr>
        <w:tab/>
        <w:t>Terms used</w:t>
      </w:r>
      <w:bookmarkEnd w:id="4"/>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in relation to a calendar year, means an educational activity approved for that calendar year in accordance with regulation 4AA(1);</w:t>
      </w:r>
    </w:p>
    <w:p>
      <w:pPr>
        <w:pStyle w:val="Defstart"/>
      </w:pPr>
      <w:r>
        <w:tab/>
      </w:r>
      <w:r>
        <w:rPr>
          <w:rStyle w:val="CharDefText"/>
        </w:rPr>
        <w:t>CPD subject</w:t>
      </w:r>
      <w:r>
        <w:t xml:space="preserve"> means a subject listed in Schedule 1A;</w:t>
      </w:r>
    </w:p>
    <w:p>
      <w:pPr>
        <w:pStyle w:val="Defstart"/>
        <w:keepNext/>
        <w:spacing w:before="90"/>
      </w:pPr>
      <w:r>
        <w:tab/>
      </w:r>
      <w:r>
        <w:rPr>
          <w:rStyle w:val="CharDefText"/>
        </w:rPr>
        <w:t>educational activity</w:t>
      </w:r>
      <w:r>
        <w:t xml:space="preserve"> means —</w:t>
      </w:r>
    </w:p>
    <w:p>
      <w:pPr>
        <w:pStyle w:val="Defpara"/>
        <w:spacing w:before="90"/>
      </w:pPr>
      <w:r>
        <w:tab/>
        <w:t>(a)</w:t>
      </w:r>
      <w:r>
        <w:tab/>
        <w:t>attendance, including by means of audiolink or videolink, at a specific training course provided by a specific body or person and successful completion of any assessment requirements for that course; or</w:t>
      </w:r>
    </w:p>
    <w:p>
      <w:pPr>
        <w:pStyle w:val="Defpara"/>
        <w:spacing w:before="90"/>
      </w:pPr>
      <w:r>
        <w:tab/>
        <w:t>(b)</w:t>
      </w:r>
      <w:r>
        <w:tab/>
        <w:t>attendance, including by means of audiolink or videolink, at a specific seminar presented by a specific body or person and successful completion of any assessment requirements for that seminar; or</w:t>
      </w:r>
    </w:p>
    <w:p>
      <w:pPr>
        <w:pStyle w:val="Defpara"/>
        <w:spacing w:before="90"/>
      </w:pPr>
      <w:r>
        <w:tab/>
        <w:t>(c)</w:t>
      </w:r>
      <w:r>
        <w:tab/>
        <w:t>viewing of a specific recording, and successful completion of any assessment requirements for that viewing; or</w:t>
      </w:r>
    </w:p>
    <w:p>
      <w:pPr>
        <w:pStyle w:val="Defpara"/>
        <w:keepLines/>
        <w:spacing w:before="90"/>
      </w:pPr>
      <w:r>
        <w:tab/>
        <w:t>(d)</w:t>
      </w:r>
      <w:r>
        <w:tab/>
        <w:t>participation in a specific course of study, or a specific component of a course of study, and successful completion of any assessment requirements for that course or component;</w:t>
      </w:r>
    </w:p>
    <w:p>
      <w:pPr>
        <w:pStyle w:val="Defstart"/>
        <w:spacing w:before="90"/>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spacing w:before="90"/>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spacing w:before="90"/>
      </w:pPr>
      <w:r>
        <w:tab/>
      </w:r>
      <w:r>
        <w:rPr>
          <w:rStyle w:val="CharDefText"/>
        </w:rPr>
        <w:t>point value</w:t>
      </w:r>
      <w:r>
        <w:t xml:space="preserve"> means —</w:t>
      </w:r>
    </w:p>
    <w:p>
      <w:pPr>
        <w:pStyle w:val="Defpara"/>
        <w:spacing w:before="90"/>
      </w:pPr>
      <w:r>
        <w:tab/>
        <w:t>(a)</w:t>
      </w:r>
      <w:r>
        <w:tab/>
        <w:t>in relation to a CPD activity approved for the calendar year 2009 or any subsequent calendar year, the point value specified under regulation 4AA(2)(a); and</w:t>
      </w:r>
    </w:p>
    <w:p>
      <w:pPr>
        <w:pStyle w:val="Defpara"/>
        <w:spacing w:before="90"/>
      </w:pPr>
      <w:r>
        <w:tab/>
        <w:t>(b)</w:t>
      </w:r>
      <w:r>
        <w:tab/>
        <w:t>in relation to a CPD activity approved for either of the calendar years 2007 or 2008, the point value specified or determined in accordance with regulations in force at the time of approval;</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tab/>
      </w:r>
      <w:r>
        <w:rPr>
          <w:rStyle w:val="CharDefText"/>
        </w:rPr>
        <w:t>relevant day</w:t>
      </w:r>
      <w:r>
        <w:t>, for a calendar year, means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Gazette 25 Jun 1996 p. 2918; amended: Gazette 7 Feb 2003 p. 385; 28 Dec 2007 p. 6403</w:t>
      </w:r>
      <w:r>
        <w:noBreakHyphen/>
        <w:t>4; 17 Apr 2009 p. 1319</w:t>
      </w:r>
      <w:r>
        <w:noBreakHyphen/>
        <w:t>21; 30 Jun 2011 p. 2671; 24 Dec 2019 p. 4417-18.]</w:t>
      </w:r>
    </w:p>
    <w:p>
      <w:pPr>
        <w:pStyle w:val="Ednotesection"/>
      </w:pPr>
      <w:r>
        <w:t>[</w:t>
      </w:r>
      <w:r>
        <w:rPr>
          <w:b/>
        </w:rPr>
        <w:t>3.</w:t>
      </w:r>
      <w:r>
        <w:tab/>
        <w:t>Deleted: Gazette 30 Jun 2011 p. 2669.]</w:t>
      </w:r>
    </w:p>
    <w:p>
      <w:pPr>
        <w:pStyle w:val="Heading5"/>
      </w:pPr>
      <w:bookmarkStart w:id="5" w:name="_Toc51842004"/>
      <w:r>
        <w:rPr>
          <w:rStyle w:val="CharSectno"/>
        </w:rPr>
        <w:t>3A</w:t>
      </w:r>
      <w:r>
        <w:t>.</w:t>
      </w:r>
      <w:r>
        <w:tab/>
        <w:t>Prescribed duty (Act s. 4(4)(d))</w:t>
      </w:r>
      <w:bookmarkEnd w:id="5"/>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6" w:name="_Toc51842005"/>
      <w:r>
        <w:rPr>
          <w:rStyle w:val="CharSectno"/>
        </w:rPr>
        <w:t>4</w:t>
      </w:r>
      <w:r>
        <w:t>.</w:t>
      </w:r>
      <w:r>
        <w:tab/>
        <w:t>Fees (Sch. 1)</w:t>
      </w:r>
      <w:bookmarkEnd w:id="6"/>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Gazette 2 Jul 1982 p. 2334; 25 Jun 1996 p. 2924.]</w:t>
      </w:r>
    </w:p>
    <w:p>
      <w:pPr>
        <w:pStyle w:val="Heading5"/>
        <w:rPr>
          <w:snapToGrid w:val="0"/>
        </w:rPr>
      </w:pPr>
      <w:bookmarkStart w:id="7" w:name="_Toc51842006"/>
      <w:r>
        <w:rPr>
          <w:rStyle w:val="CharSectno"/>
        </w:rPr>
        <w:t>4A</w:t>
      </w:r>
      <w:r>
        <w:rPr>
          <w:snapToGrid w:val="0"/>
        </w:rPr>
        <w:t>.</w:t>
      </w:r>
      <w:r>
        <w:rPr>
          <w:snapToGrid w:val="0"/>
        </w:rPr>
        <w:tab/>
        <w:t xml:space="preserve">Holding </w:t>
      </w:r>
      <w:r>
        <w:t>fee</w:t>
      </w:r>
      <w:bookmarkEnd w:id="7"/>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12 and referred to in section 30(2a)(b) of the Act.</w:t>
      </w:r>
    </w:p>
    <w:p>
      <w:pPr>
        <w:pStyle w:val="Subsection"/>
        <w:keepNext/>
        <w:rPr>
          <w:snapToGrid w:val="0"/>
        </w:rPr>
      </w:pPr>
      <w:r>
        <w:rPr>
          <w:snapToGrid w:val="0"/>
        </w:rPr>
        <w:tab/>
        <w:t>(2)</w:t>
      </w:r>
      <w:r>
        <w:rPr>
          <w:snapToGrid w:val="0"/>
        </w:rPr>
        <w:tab/>
        <w:t>The holding fee is payable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w:t>
      </w:r>
    </w:p>
    <w:p>
      <w:pPr>
        <w:pStyle w:val="Heading5"/>
      </w:pPr>
      <w:bookmarkStart w:id="8" w:name="_Toc51842007"/>
      <w:r>
        <w:rPr>
          <w:rStyle w:val="CharSectno"/>
        </w:rPr>
        <w:t>4AA</w:t>
      </w:r>
      <w:r>
        <w:t>.</w:t>
      </w:r>
      <w:r>
        <w:tab/>
        <w:t>CPD activities</w:t>
      </w:r>
      <w:bookmarkEnd w:id="8"/>
    </w:p>
    <w:p>
      <w:pPr>
        <w:pStyle w:val="Subsection"/>
      </w:pPr>
      <w:r>
        <w:tab/>
        <w:t>(1)</w:t>
      </w:r>
      <w:r>
        <w:tab/>
        <w:t>For each calendar year the Commissioner is to approve educational activities in accordance with this regulation.</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pPr>
      <w:r>
        <w:tab/>
        <w:t>(3)</w:t>
      </w:r>
      <w:r>
        <w:tab/>
        <w:t>Before the relevant day for each calendar year, in relation to each regulated person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p>
    <w:p>
      <w:pPr>
        <w:pStyle w:val="Indenta"/>
      </w:pPr>
      <w:r>
        <w:tab/>
        <w:t>(a)</w:t>
      </w:r>
      <w:r>
        <w:tab/>
        <w:t>sufficient details to identify each CPD activity for that calendar year for each regulated person; and</w:t>
      </w:r>
    </w:p>
    <w:p>
      <w:pPr>
        <w:pStyle w:val="Indenta"/>
      </w:pPr>
      <w:r>
        <w:tab/>
        <w:t>(b)</w:t>
      </w:r>
      <w:r>
        <w:tab/>
        <w:t>in relation to each CPD activity —</w:t>
      </w:r>
    </w:p>
    <w:p>
      <w:pPr>
        <w:pStyle w:val="Indenti"/>
      </w:pPr>
      <w:r>
        <w:tab/>
        <w:t>(i)</w:t>
      </w:r>
      <w:r>
        <w:tab/>
        <w:t>the CPD subject to which it relates; and</w:t>
      </w:r>
    </w:p>
    <w:p>
      <w:pPr>
        <w:pStyle w:val="Indenti"/>
      </w:pPr>
      <w:r>
        <w:tab/>
        <w:t>(ii)</w:t>
      </w:r>
      <w:r>
        <w:tab/>
        <w:t>its point value;</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Gazette 17 Apr 2009 p. 1321</w:t>
      </w:r>
      <w:r>
        <w:noBreakHyphen/>
        <w:t>2; amended: Gazette 30 Jun 2011 p. 2671.]</w:t>
      </w:r>
    </w:p>
    <w:p>
      <w:pPr>
        <w:pStyle w:val="Heading5"/>
      </w:pPr>
      <w:bookmarkStart w:id="9" w:name="_Toc51842008"/>
      <w:r>
        <w:rPr>
          <w:rStyle w:val="CharSectno"/>
        </w:rPr>
        <w:t>4AB</w:t>
      </w:r>
      <w:r>
        <w:t>.</w:t>
      </w:r>
      <w:r>
        <w:tab/>
        <w:t>Prescribed educational requirement for licensees who are individuals (Act s. 40B)</w:t>
      </w:r>
      <w:bookmarkEnd w:id="9"/>
    </w:p>
    <w:p>
      <w:pPr>
        <w:pStyle w:val="Subsection"/>
      </w:pPr>
      <w:r>
        <w:tab/>
        <w:t>(1)</w:t>
      </w:r>
      <w:r>
        <w:tab/>
        <w:t xml:space="preserve">For the purposes of section 40B of the Act, the prescribed educational requirement for a licensee who is an individual is that the licensee undertake CPD activities in each calendar year that — </w:t>
      </w:r>
    </w:p>
    <w:p>
      <w:pPr>
        <w:pStyle w:val="Indenta"/>
      </w:pPr>
      <w:r>
        <w:tab/>
        <w:t>(a)</w:t>
      </w:r>
      <w:r>
        <w:tab/>
        <w:t>when the points specified for each activity under regulation 4AA(2)(a) are added together, have a total value of 10 points; and</w:t>
      </w:r>
    </w:p>
    <w:p>
      <w:pPr>
        <w:pStyle w:val="Indenta"/>
      </w:pPr>
      <w:r>
        <w:tab/>
        <w:t>(b)</w:t>
      </w:r>
      <w:r>
        <w:tab/>
        <w:t>include any mandatory CPD activities in relation to that licensee for that calendar year.</w:t>
      </w:r>
    </w:p>
    <w:p>
      <w:pPr>
        <w:pStyle w:val="Subsection"/>
      </w:pPr>
      <w:r>
        <w:tab/>
        <w:t>(2)</w:t>
      </w:r>
      <w:r>
        <w:tab/>
        <w:t>However, a licensee is not required to comply with subregulation (1) in the calendar year in which the licensee’s licence and triennial certificate are first issued.</w:t>
      </w:r>
    </w:p>
    <w:p>
      <w:pPr>
        <w:pStyle w:val="Footnotesection"/>
      </w:pPr>
      <w:r>
        <w:tab/>
        <w:t>[Regulation 4AB inserted: Gazette 24 Dec 2019 p. 4418.]</w:t>
      </w:r>
    </w:p>
    <w:p>
      <w:pPr>
        <w:pStyle w:val="Heading5"/>
      </w:pPr>
      <w:bookmarkStart w:id="10" w:name="_Toc51842009"/>
      <w:r>
        <w:rPr>
          <w:rStyle w:val="CharSectno"/>
        </w:rPr>
        <w:t>4AC</w:t>
      </w:r>
      <w:r>
        <w:t>.</w:t>
      </w:r>
      <w:r>
        <w:tab/>
        <w:t>Prescribed educational requirement for sales representatives (Act s. 50C)</w:t>
      </w:r>
      <w:bookmarkEnd w:id="10"/>
    </w:p>
    <w:p>
      <w:pPr>
        <w:pStyle w:val="Subsection"/>
      </w:pPr>
      <w:r>
        <w:tab/>
        <w:t>(1)</w:t>
      </w:r>
      <w:r>
        <w:tab/>
        <w:t xml:space="preserve">For the purposes of section 50C of the Act, the prescribed educational requirement for a sales representative is that the representative undertake CPD activities in each calendar year that — </w:t>
      </w:r>
    </w:p>
    <w:p>
      <w:pPr>
        <w:pStyle w:val="Indenta"/>
      </w:pPr>
      <w:r>
        <w:tab/>
        <w:t>(a)</w:t>
      </w:r>
      <w:r>
        <w:tab/>
        <w:t>when the points specified for each activity under regulation 4AA(2)(a) are added together, have a total value of 10 points; and</w:t>
      </w:r>
    </w:p>
    <w:p>
      <w:pPr>
        <w:pStyle w:val="Indenta"/>
      </w:pPr>
      <w:r>
        <w:tab/>
        <w:t>(b)</w:t>
      </w:r>
      <w:r>
        <w:tab/>
        <w:t>include any mandatory CPD activities in relation to that sales representative for that calendar year.</w:t>
      </w:r>
    </w:p>
    <w:p>
      <w:pPr>
        <w:pStyle w:val="Subsection"/>
      </w:pPr>
      <w:r>
        <w:tab/>
        <w:t>(2)</w:t>
      </w:r>
      <w:r>
        <w:tab/>
        <w:t>However, a sales representative is not required to comply with subregulation (1) in the calendar year in which the representative’s certificate of registration is first issued.</w:t>
      </w:r>
    </w:p>
    <w:p>
      <w:pPr>
        <w:pStyle w:val="Footnotesection"/>
      </w:pPr>
      <w:r>
        <w:tab/>
        <w:t>[Regulation 4AC inserted: Gazette 24 Dec 2019 p. 4418.]</w:t>
      </w:r>
    </w:p>
    <w:p>
      <w:pPr>
        <w:pStyle w:val="Heading5"/>
        <w:spacing w:before="260"/>
      </w:pPr>
      <w:bookmarkStart w:id="11" w:name="_Toc51842010"/>
      <w:r>
        <w:rPr>
          <w:rStyle w:val="CharSectno"/>
        </w:rPr>
        <w:t>4B</w:t>
      </w:r>
      <w:r>
        <w:t>.</w:t>
      </w:r>
      <w:r>
        <w:tab/>
        <w:t>Prescribed periods (Act s. 48(1), (2) and 49(2))</w:t>
      </w:r>
      <w:bookmarkEnd w:id="11"/>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12" w:name="_Toc51842011"/>
      <w:r>
        <w:rPr>
          <w:rStyle w:val="CharSectno"/>
        </w:rPr>
        <w:t>6</w:t>
      </w:r>
      <w:r>
        <w:t>.</w:t>
      </w:r>
      <w:r>
        <w:tab/>
        <w:t>Prescribed examinations (Act Sch. 1 cl. 1(a))</w:t>
      </w:r>
      <w:bookmarkEnd w:id="12"/>
    </w:p>
    <w:p>
      <w:pPr>
        <w:pStyle w:val="Subsection"/>
      </w:pPr>
      <w:r>
        <w:tab/>
        <w:t>(1)</w:t>
      </w:r>
      <w:r>
        <w:tab/>
        <w:t xml:space="preserve">The prescribed examinations for the purposes of Schedule 1 clause 1(a) to the Act are — </w:t>
      </w:r>
    </w:p>
    <w:p>
      <w:pPr>
        <w:pStyle w:val="Indenta"/>
      </w:pPr>
      <w:r>
        <w:tab/>
        <w:t>(a)</w:t>
      </w:r>
      <w:r>
        <w:tab/>
        <w:t xml:space="preserve">the examinations required by the Curtin University of Technology to be passed for the conferral of any of the following degrees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by a registered training provider to be passed for the conferral of a Diploma of Property Services (Agency Management) CPP50307.</w:t>
      </w:r>
    </w:p>
    <w:p>
      <w:pPr>
        <w:pStyle w:val="Subsection"/>
      </w:pPr>
      <w:r>
        <w:tab/>
        <w:t>(2)</w:t>
      </w:r>
      <w:r>
        <w:tab/>
        <w:t xml:space="preserve">In respect of a person who was a licensee and ceased to be licensed due to section 30(2a) of the Act the prescribed examinations for the purposes of clause 1(a) of Schedule 1 to the Act also include the examinations which were prescribed under regulation 6 of these regulations immediately before the commencement of the </w:t>
      </w:r>
      <w:r>
        <w:rPr>
          <w:i/>
        </w:rPr>
        <w:t>Real Estate and Business Agents (General) Amendment Regulations 2003</w:t>
      </w:r>
      <w:r>
        <w:t>.</w:t>
      </w:r>
    </w:p>
    <w:p>
      <w:pPr>
        <w:pStyle w:val="Subsection"/>
      </w:pPr>
      <w:r>
        <w:tab/>
        <w:t>(3)</w:t>
      </w:r>
      <w:r>
        <w:tab/>
        <w:t xml:space="preserve">In respect of a person who applies for a licence on or before 31 December 2018, the prescribed examinations for the purposes of Schedule 1 clause 1(a) to the Act also include the examinations required by a registered training provider to be passed for the conferral of a Diploma of Property (Real Estate), together with the examinations conducted by a registered training provider in all of the following courses — </w:t>
      </w:r>
    </w:p>
    <w:p>
      <w:pPr>
        <w:pStyle w:val="Indenta"/>
      </w:pPr>
      <w:r>
        <w:tab/>
        <w:t>(a)</w:t>
      </w:r>
      <w:r>
        <w:tab/>
        <w:t xml:space="preserve">Unit 15826 — Rural Sales; </w:t>
      </w:r>
    </w:p>
    <w:p>
      <w:pPr>
        <w:pStyle w:val="Indenta"/>
      </w:pPr>
      <w:r>
        <w:tab/>
        <w:t>(b)</w:t>
      </w:r>
      <w:r>
        <w:tab/>
        <w:t xml:space="preserve">Unit 15825 — Selling Businesses; </w:t>
      </w:r>
    </w:p>
    <w:p>
      <w:pPr>
        <w:pStyle w:val="Indenta"/>
      </w:pPr>
      <w:r>
        <w:tab/>
        <w:t>(c)</w:t>
      </w:r>
      <w:r>
        <w:tab/>
        <w:t>Unit 15892 — Real Estate Law.</w:t>
      </w:r>
    </w:p>
    <w:p>
      <w:pPr>
        <w:pStyle w:val="Subsection"/>
      </w:pPr>
      <w:r>
        <w:tab/>
        <w:t>(4)</w:t>
      </w:r>
      <w:r>
        <w:tab/>
        <w:t>For the purposes of this regulation, a reference to the examinations required to be passed for the conferral of a particular qualification is a reference to the examinations that are or were required to be passed for the conferral of that qualification at any time when that qualification is or was conferred.</w:t>
      </w:r>
    </w:p>
    <w:p>
      <w:pPr>
        <w:pStyle w:val="Footnotesection"/>
      </w:pPr>
      <w:r>
        <w:tab/>
        <w:t>[Regulation 6 inserted: Gazette 7 Feb 2003 p. 385; amended: Gazette 13 Jan 2004 p. 145; 8 May 2009 p. 1491</w:t>
      </w:r>
      <w:r>
        <w:noBreakHyphen/>
        <w:t>2; 18 Nov 2014 p. 4325; 15 May 2015 p. 1717</w:t>
      </w:r>
      <w:r>
        <w:noBreakHyphen/>
        <w:t>18.]</w:t>
      </w:r>
    </w:p>
    <w:p>
      <w:pPr>
        <w:pStyle w:val="Heading5"/>
      </w:pPr>
      <w:bookmarkStart w:id="13" w:name="_Toc51842012"/>
      <w:r>
        <w:rPr>
          <w:rStyle w:val="CharSectno"/>
        </w:rPr>
        <w:t>6A</w:t>
      </w:r>
      <w:r>
        <w:t>.</w:t>
      </w:r>
      <w:r>
        <w:tab/>
        <w:t>Prescribed qualifications for sales representatives (Act s. 47(2))</w:t>
      </w:r>
      <w:bookmarkEnd w:id="13"/>
    </w:p>
    <w:p>
      <w:pPr>
        <w:pStyle w:val="Subsection"/>
      </w:pPr>
      <w:r>
        <w:tab/>
        <w:t>(1)</w:t>
      </w:r>
      <w:r>
        <w:tab/>
        <w:t>The prescribed qualifications for the purposes of section 47(2) of the Act are the successful completion of —</w:t>
      </w:r>
    </w:p>
    <w:p>
      <w:pPr>
        <w:pStyle w:val="Indenta"/>
      </w:pPr>
      <w:r>
        <w:tab/>
        <w:t>(a)</w:t>
      </w:r>
      <w:r>
        <w:tab/>
        <w:t>the TAFE Sales Representatives Registration Course provided by a registered training provider; or</w:t>
      </w:r>
    </w:p>
    <w:p>
      <w:pPr>
        <w:pStyle w:val="Indenta"/>
        <w:spacing w:before="60"/>
      </w:pPr>
      <w:r>
        <w:tab/>
        <w:t>(b)</w:t>
      </w:r>
      <w:r>
        <w:tab/>
        <w:t>the REIWA Sales Representatives Registration Course provided by the Real Estate Institute of Western Australia Incorporated; or</w:t>
      </w:r>
    </w:p>
    <w:p>
      <w:pPr>
        <w:pStyle w:val="Indenta"/>
        <w:keepNext/>
      </w:pPr>
      <w:r>
        <w:tab/>
        <w:t>(c)</w:t>
      </w:r>
      <w:r>
        <w:tab/>
        <w:t>both —</w:t>
      </w:r>
    </w:p>
    <w:p>
      <w:pPr>
        <w:pStyle w:val="Indenti"/>
      </w:pPr>
      <w:r>
        <w:tab/>
        <w:t>(i)</w:t>
      </w:r>
      <w:r>
        <w:tab/>
        <w:t>Real Estate Business 305; and</w:t>
      </w:r>
    </w:p>
    <w:p>
      <w:pPr>
        <w:pStyle w:val="Indenti"/>
        <w:keepNext/>
      </w:pPr>
      <w:r>
        <w:tab/>
        <w:t>(ii)</w:t>
      </w:r>
      <w:r>
        <w:tab/>
        <w:t>Property Management 330,</w:t>
      </w:r>
    </w:p>
    <w:p>
      <w:pPr>
        <w:pStyle w:val="Indenta"/>
      </w:pPr>
      <w:r>
        <w:tab/>
      </w:r>
      <w:r>
        <w:tab/>
        <w:t>provided by the Curtin University of Technology; or</w:t>
      </w:r>
    </w:p>
    <w:p>
      <w:pPr>
        <w:pStyle w:val="Indenta"/>
      </w:pPr>
      <w:r>
        <w:tab/>
        <w:t>(d)</w:t>
      </w:r>
      <w:r>
        <w:tab/>
        <w:t>each of the following modules from the CPP07 Property Services Training Package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CPPDSM4008A — Identify legal and ethical requirements of property sales to complete agency work;</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in the case of an application for registration as a sales representative with a condition restricting the registrant to property management transactions only — each of the following modules from the CPP07 Property Services Training Package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CPPDSM4011A — List property for lease;</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keepNext/>
        <w:spacing w:before="180"/>
      </w:pPr>
      <w:r>
        <w:tab/>
        <w:t>(2)</w:t>
      </w:r>
      <w:r>
        <w:tab/>
        <w:t>In this regulation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pPr>
      <w:r>
        <w:tab/>
        <w:t>[Regulation 6A inserted: Gazette 7 Feb 2003 p. 386; amended: Gazette 24 Jun 2008 p. 2886</w:t>
      </w:r>
      <w:r>
        <w:noBreakHyphen/>
        <w:t>7.]</w:t>
      </w:r>
    </w:p>
    <w:p>
      <w:pPr>
        <w:pStyle w:val="Heading5"/>
      </w:pPr>
      <w:bookmarkStart w:id="14" w:name="_Toc51842013"/>
      <w:r>
        <w:rPr>
          <w:rStyle w:val="CharSectno"/>
        </w:rPr>
        <w:t>6B</w:t>
      </w:r>
      <w:r>
        <w:t>.</w:t>
      </w:r>
      <w:r>
        <w:tab/>
        <w:t>Certificate of registration, grant of (Act s. 47)</w:t>
      </w:r>
      <w:bookmarkEnd w:id="14"/>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one year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 or</w:t>
      </w:r>
    </w:p>
    <w:p>
      <w:pPr>
        <w:pStyle w:val="Indenta"/>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w:t>
      </w:r>
    </w:p>
    <w:p>
      <w:pPr>
        <w:pStyle w:val="Heading5"/>
        <w:keepNext w:val="0"/>
        <w:rPr>
          <w:snapToGrid w:val="0"/>
        </w:rPr>
      </w:pPr>
      <w:bookmarkStart w:id="15" w:name="_Toc51842014"/>
      <w:r>
        <w:rPr>
          <w:rStyle w:val="CharSectno"/>
        </w:rPr>
        <w:t>6BA</w:t>
      </w:r>
      <w:r>
        <w:rPr>
          <w:snapToGrid w:val="0"/>
        </w:rPr>
        <w:t>.</w:t>
      </w:r>
      <w:r>
        <w:rPr>
          <w:snapToGrid w:val="0"/>
        </w:rPr>
        <w:tab/>
        <w:t>Appointment to act as agent, content of</w:t>
      </w:r>
      <w:bookmarkEnd w:id="15"/>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16" w:name="_Toc51842015"/>
      <w:r>
        <w:rPr>
          <w:rStyle w:val="CharSectno"/>
        </w:rPr>
        <w:t>6BB</w:t>
      </w:r>
      <w:r>
        <w:t>.</w:t>
      </w:r>
      <w:r>
        <w:tab/>
        <w:t>Prescribed transaction</w:t>
      </w:r>
      <w:bookmarkEnd w:id="16"/>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17" w:name="_Toc51842016"/>
      <w:r>
        <w:rPr>
          <w:rStyle w:val="CharSectno"/>
        </w:rPr>
        <w:t>6C</w:t>
      </w:r>
      <w:r>
        <w:t>.</w:t>
      </w:r>
      <w:r>
        <w:tab/>
        <w:t>Authorised financial institution (Act s. 67), classes of body prescribed</w:t>
      </w:r>
      <w:bookmarkEnd w:id="17"/>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18" w:name="_Toc51842017"/>
      <w:r>
        <w:rPr>
          <w:rStyle w:val="CharSectno"/>
        </w:rPr>
        <w:t>6D</w:t>
      </w:r>
      <w:r>
        <w:t>.</w:t>
      </w:r>
      <w:r>
        <w:tab/>
        <w:t>Trust accounts, designation of (Act s. 68(1))</w:t>
      </w:r>
      <w:bookmarkEnd w:id="18"/>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19" w:name="_Toc51842018"/>
      <w:r>
        <w:rPr>
          <w:rStyle w:val="CharSectno"/>
        </w:rPr>
        <w:t>6E</w:t>
      </w:r>
      <w:r>
        <w:t>.</w:t>
      </w:r>
      <w:r>
        <w:tab/>
        <w:t>Separate trust accounts, requests for, requirements prescribed (Act s. 68A(4))</w:t>
      </w:r>
      <w:bookmarkEnd w:id="19"/>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20" w:name="_Toc51842019"/>
      <w:r>
        <w:rPr>
          <w:rStyle w:val="CharSectno"/>
        </w:rPr>
        <w:t>6F</w:t>
      </w:r>
      <w:r>
        <w:t>.</w:t>
      </w:r>
      <w:r>
        <w:tab/>
        <w:t>Trust accounts, interest on (Act s. 68B(1))</w:t>
      </w:r>
      <w:bookmarkEnd w:id="20"/>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21" w:name="_Toc51842020"/>
      <w:r>
        <w:rPr>
          <w:rStyle w:val="CharSectno"/>
        </w:rPr>
        <w:t>6G</w:t>
      </w:r>
      <w:r>
        <w:t>.</w:t>
      </w:r>
      <w:r>
        <w:tab/>
        <w:t>Receipts by agents, information in (Act s. 69(1)(a))</w:t>
      </w:r>
      <w:bookmarkEnd w:id="21"/>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22" w:name="_Toc51842021"/>
      <w:r>
        <w:rPr>
          <w:rStyle w:val="CharSectno"/>
        </w:rPr>
        <w:t>6H</w:t>
      </w:r>
      <w:r>
        <w:rPr>
          <w:snapToGrid w:val="0"/>
        </w:rPr>
        <w:t>.</w:t>
      </w:r>
      <w:r>
        <w:rPr>
          <w:snapToGrid w:val="0"/>
        </w:rPr>
        <w:tab/>
        <w:t>Record keeping requirements</w:t>
      </w:r>
      <w:bookmarkEnd w:id="22"/>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23" w:name="_Toc51842022"/>
      <w:r>
        <w:rPr>
          <w:rStyle w:val="CharSectno"/>
        </w:rPr>
        <w:t>7</w:t>
      </w:r>
      <w:r>
        <w:rPr>
          <w:snapToGrid w:val="0"/>
        </w:rPr>
        <w:t>.</w:t>
      </w:r>
      <w:r>
        <w:rPr>
          <w:snapToGrid w:val="0"/>
        </w:rPr>
        <w:tab/>
        <w:t>Registers (Act s. 133(2))</w:t>
      </w:r>
      <w:bookmarkEnd w:id="23"/>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24" w:name="_Toc51842023"/>
      <w:r>
        <w:rPr>
          <w:rStyle w:val="CharSectno"/>
        </w:rPr>
        <w:t>7AA</w:t>
      </w:r>
      <w:r>
        <w:t>.</w:t>
      </w:r>
      <w:r>
        <w:tab/>
        <w:t>Lending institution (Act s. 131A), classes of body prescribed</w:t>
      </w:r>
      <w:bookmarkEnd w:id="24"/>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25" w:name="_Toc51842024"/>
      <w:r>
        <w:rPr>
          <w:rStyle w:val="CharSectno"/>
        </w:rPr>
        <w:t>7B</w:t>
      </w:r>
      <w:r>
        <w:rPr>
          <w:snapToGrid w:val="0"/>
        </w:rPr>
        <w:t>.</w:t>
      </w:r>
      <w:r>
        <w:rPr>
          <w:snapToGrid w:val="0"/>
        </w:rPr>
        <w:tab/>
        <w:t>Maximum amount prescribed (Act s. 131M(3))</w:t>
      </w:r>
      <w:bookmarkEnd w:id="25"/>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26" w:name="_Toc51842025"/>
      <w:r>
        <w:rPr>
          <w:rStyle w:val="CharSectno"/>
        </w:rPr>
        <w:t>8</w:t>
      </w:r>
      <w:r>
        <w:rPr>
          <w:snapToGrid w:val="0"/>
        </w:rPr>
        <w:t>.</w:t>
      </w:r>
      <w:r>
        <w:rPr>
          <w:snapToGrid w:val="0"/>
        </w:rPr>
        <w:tab/>
        <w:t>Changes in particulars, licensees to notify Commissioner of</w:t>
      </w:r>
      <w:bookmarkEnd w:id="26"/>
    </w:p>
    <w:p>
      <w:pPr>
        <w:pStyle w:val="Subsection"/>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Footnotesection"/>
      </w:pPr>
      <w:r>
        <w:tab/>
        <w:t>[Regulation 8 amended: Gazette 30 Jun 2011 p. 2672.]</w:t>
      </w:r>
    </w:p>
    <w:p>
      <w:pPr>
        <w:pStyle w:val="Heading5"/>
        <w:rPr>
          <w:snapToGrid w:val="0"/>
        </w:rPr>
      </w:pPr>
      <w:bookmarkStart w:id="27" w:name="_Toc51842026"/>
      <w:r>
        <w:rPr>
          <w:rStyle w:val="CharSectno"/>
        </w:rPr>
        <w:t>9</w:t>
      </w:r>
      <w:r>
        <w:rPr>
          <w:snapToGrid w:val="0"/>
        </w:rPr>
        <w:t>.</w:t>
      </w:r>
      <w:r>
        <w:rPr>
          <w:snapToGrid w:val="0"/>
        </w:rPr>
        <w:tab/>
        <w:t xml:space="preserve">Fees and costs, </w:t>
      </w:r>
      <w:r>
        <w:t>recovery</w:t>
      </w:r>
      <w:r>
        <w:rPr>
          <w:snapToGrid w:val="0"/>
        </w:rPr>
        <w:t xml:space="preserve"> of</w:t>
      </w:r>
      <w:bookmarkEnd w:id="27"/>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28" w:name="_Toc51842027"/>
      <w:r>
        <w:rPr>
          <w:rStyle w:val="CharSectno"/>
        </w:rPr>
        <w:t>10</w:t>
      </w:r>
      <w:r>
        <w:rPr>
          <w:snapToGrid w:val="0"/>
        </w:rPr>
        <w:t>.</w:t>
      </w:r>
      <w:r>
        <w:rPr>
          <w:snapToGrid w:val="0"/>
        </w:rPr>
        <w:tab/>
      </w:r>
      <w:r>
        <w:t>Unsuccessful</w:t>
      </w:r>
      <w:r>
        <w:rPr>
          <w:snapToGrid w:val="0"/>
        </w:rPr>
        <w:t xml:space="preserve"> applicant for licence etc., refund to (Act s. 113)</w:t>
      </w:r>
      <w:bookmarkEnd w:id="28"/>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rPr>
          <w:snapToGrid w:val="0"/>
        </w:rPr>
      </w:pPr>
      <w:bookmarkStart w:id="29" w:name="_Toc51842028"/>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29"/>
    </w:p>
    <w:p>
      <w:pPr>
        <w:pStyle w:val="Subsection"/>
        <w:rPr>
          <w:snapToGrid w:val="0"/>
        </w:rPr>
      </w:pPr>
      <w:r>
        <w:rPr>
          <w:snapToGrid w:val="0"/>
        </w:rPr>
        <w:tab/>
      </w:r>
      <w:r>
        <w:rPr>
          <w:snapToGrid w:val="0"/>
        </w:rPr>
        <w:tab/>
        <w:t>For the purposes of section 127 of the Act —</w:t>
      </w:r>
    </w:p>
    <w:p>
      <w:pPr>
        <w:pStyle w:val="Indenta"/>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rPr>
          <w:snapToGrid w:val="0"/>
        </w:rPr>
      </w:pPr>
      <w:r>
        <w:rPr>
          <w:snapToGrid w:val="0"/>
        </w:rPr>
        <w:tab/>
        <w:t>(b)</w:t>
      </w:r>
      <w:r>
        <w:rPr>
          <w:snapToGrid w:val="0"/>
        </w:rPr>
        <w:tab/>
        <w:t>the following proportions are prescribed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30" w:name="_Toc51842029"/>
      <w:r>
        <w:rPr>
          <w:rStyle w:val="CharSectno"/>
        </w:rPr>
        <w:t>12</w:t>
      </w:r>
      <w:r>
        <w:rPr>
          <w:snapToGrid w:val="0"/>
        </w:rPr>
        <w:t>.</w:t>
      </w:r>
      <w:r>
        <w:rPr>
          <w:snapToGrid w:val="0"/>
        </w:rPr>
        <w:tab/>
        <w:t>Fidelity Guarantee Account, claims against</w:t>
      </w:r>
      <w:bookmarkEnd w:id="30"/>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31" w:name="_Toc51842030"/>
      <w:r>
        <w:rPr>
          <w:rStyle w:val="CharSectno"/>
        </w:rPr>
        <w:t>13</w:t>
      </w:r>
      <w:r>
        <w:rPr>
          <w:snapToGrid w:val="0"/>
        </w:rPr>
        <w:t>.</w:t>
      </w:r>
      <w:r>
        <w:rPr>
          <w:snapToGrid w:val="0"/>
        </w:rPr>
        <w:tab/>
        <w:t>Codes of conduct prescribed to be published (Act s. 101)</w:t>
      </w:r>
      <w:bookmarkEnd w:id="31"/>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32" w:name="_Toc51842031"/>
      <w:r>
        <w:rPr>
          <w:rStyle w:val="CharSectno"/>
        </w:rPr>
        <w:t>14</w:t>
      </w:r>
      <w:r>
        <w:t>.</w:t>
      </w:r>
      <w:r>
        <w:tab/>
        <w:t>Infringement notices</w:t>
      </w:r>
      <w:bookmarkEnd w:id="32"/>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33" w:name="_Toc51842032"/>
      <w:r>
        <w:rPr>
          <w:rStyle w:val="CharSectno"/>
        </w:rPr>
        <w:t>15</w:t>
      </w:r>
      <w:r>
        <w:t>.</w:t>
      </w:r>
      <w:r>
        <w:tab/>
        <w:t>Forms (Sch. 2)</w:t>
      </w:r>
      <w:bookmarkEnd w:id="33"/>
    </w:p>
    <w:p>
      <w:pPr>
        <w:pStyle w:val="Subsection"/>
      </w:pPr>
      <w:r>
        <w:tab/>
      </w:r>
      <w:r>
        <w:tab/>
        <w:t>The forms set out in Schedule 2 are prescribed in relation to the matters specified in those forms.</w:t>
      </w:r>
    </w:p>
    <w:p>
      <w:pPr>
        <w:pStyle w:val="Footnotesection"/>
      </w:pPr>
      <w:r>
        <w:tab/>
        <w:t>[Regulation 15 inserted: Gazette 28 Aug 2009 p. 3348.]</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34" w:name="_Toc51676881"/>
      <w:bookmarkStart w:id="35" w:name="_Toc51677121"/>
      <w:bookmarkStart w:id="36" w:name="_Toc51842033"/>
      <w:r>
        <w:rPr>
          <w:rStyle w:val="CharSchNo"/>
        </w:rPr>
        <w:t>Schedule 1</w:t>
      </w:r>
      <w:r>
        <w:t> — </w:t>
      </w:r>
      <w:r>
        <w:rPr>
          <w:rStyle w:val="CharSchText"/>
        </w:rPr>
        <w:t>Fees</w:t>
      </w:r>
      <w:bookmarkEnd w:id="34"/>
      <w:bookmarkEnd w:id="35"/>
      <w:bookmarkEnd w:id="36"/>
    </w:p>
    <w:p>
      <w:pPr>
        <w:pStyle w:val="yShoulderClause"/>
      </w:pPr>
      <w:r>
        <w:t>[r. 4 and 4A]</w:t>
      </w:r>
    </w:p>
    <w:p>
      <w:pPr>
        <w:pStyle w:val="Footnoteheading"/>
      </w:pPr>
      <w:r>
        <w:tab/>
        <w:t>[Heading inserted: Gazette 18 Jun 2019 p. 2110.]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042"/>
        <w:gridCol w:w="1187"/>
      </w:tblGrid>
      <w:tr>
        <w:trPr>
          <w:tblHeader/>
        </w:trPr>
        <w:tc>
          <w:tcPr>
            <w:tcW w:w="851" w:type="dxa"/>
          </w:tcPr>
          <w:p>
            <w:pPr>
              <w:pStyle w:val="yTableNAm"/>
              <w:rPr>
                <w:b/>
              </w:rPr>
            </w:pPr>
            <w:r>
              <w:rPr>
                <w:b/>
              </w:rPr>
              <w:t>Item</w:t>
            </w:r>
          </w:p>
        </w:tc>
        <w:tc>
          <w:tcPr>
            <w:tcW w:w="5042" w:type="dxa"/>
          </w:tcPr>
          <w:p>
            <w:pPr>
              <w:pStyle w:val="yTableNAm"/>
              <w:rPr>
                <w:b/>
              </w:rPr>
            </w:pPr>
            <w:r>
              <w:rPr>
                <w:b/>
              </w:rPr>
              <w:t>Type of fee</w:t>
            </w:r>
          </w:p>
        </w:tc>
        <w:tc>
          <w:tcPr>
            <w:tcW w:w="1187" w:type="dxa"/>
          </w:tcPr>
          <w:p>
            <w:pPr>
              <w:pStyle w:val="yTableNAm"/>
              <w:jc w:val="center"/>
              <w:rPr>
                <w:b/>
              </w:rPr>
            </w:pPr>
            <w:r>
              <w:rPr>
                <w:b/>
              </w:rPr>
              <w:t>Fee</w:t>
            </w:r>
          </w:p>
        </w:tc>
      </w:tr>
      <w:tr>
        <w:tc>
          <w:tcPr>
            <w:tcW w:w="851" w:type="dxa"/>
          </w:tcPr>
          <w:p>
            <w:pPr>
              <w:pStyle w:val="yTableNAm"/>
              <w:rPr>
                <w:szCs w:val="22"/>
              </w:rPr>
            </w:pPr>
            <w:r>
              <w:rPr>
                <w:szCs w:val="22"/>
              </w:rPr>
              <w:t>1.</w:t>
            </w:r>
          </w:p>
        </w:tc>
        <w:tc>
          <w:tcPr>
            <w:tcW w:w="5042" w:type="dxa"/>
          </w:tcPr>
          <w:p>
            <w:pPr>
              <w:pStyle w:val="yTableNAm"/>
              <w:tabs>
                <w:tab w:val="right" w:leader="dot" w:pos="4536"/>
              </w:tabs>
              <w:rPr>
                <w:szCs w:val="22"/>
              </w:rPr>
            </w:pPr>
            <w:r>
              <w:rPr>
                <w:szCs w:val="22"/>
              </w:rPr>
              <w:t>Application for licence</w:t>
            </w:r>
          </w:p>
        </w:tc>
        <w:tc>
          <w:tcPr>
            <w:tcW w:w="1187" w:type="dxa"/>
            <w:vAlign w:val="bottom"/>
          </w:tcPr>
          <w:p>
            <w:pPr>
              <w:pStyle w:val="yTableNAm"/>
              <w:tabs>
                <w:tab w:val="left" w:pos="1103"/>
              </w:tabs>
              <w:jc w:val="right"/>
              <w:rPr>
                <w:szCs w:val="22"/>
              </w:rPr>
            </w:pPr>
            <w:r>
              <w:rPr>
                <w:szCs w:val="22"/>
              </w:rPr>
              <w:t>$81.00</w:t>
            </w:r>
          </w:p>
        </w:tc>
      </w:tr>
      <w:tr>
        <w:tc>
          <w:tcPr>
            <w:tcW w:w="851" w:type="dxa"/>
          </w:tcPr>
          <w:p>
            <w:pPr>
              <w:pStyle w:val="yTableNAm"/>
              <w:rPr>
                <w:szCs w:val="22"/>
              </w:rPr>
            </w:pPr>
            <w:r>
              <w:rPr>
                <w:szCs w:val="22"/>
              </w:rPr>
              <w:t>2.</w:t>
            </w:r>
          </w:p>
        </w:tc>
        <w:tc>
          <w:tcPr>
            <w:tcW w:w="5042" w:type="dxa"/>
          </w:tcPr>
          <w:p>
            <w:pPr>
              <w:pStyle w:val="yTableNAm"/>
              <w:tabs>
                <w:tab w:val="right" w:leader="dot" w:pos="4536"/>
              </w:tabs>
              <w:rPr>
                <w:szCs w:val="22"/>
              </w:rPr>
            </w:pPr>
            <w:r>
              <w:rPr>
                <w:szCs w:val="22"/>
              </w:rPr>
              <w:t>Grant of licence</w:t>
            </w:r>
          </w:p>
        </w:tc>
        <w:tc>
          <w:tcPr>
            <w:tcW w:w="1187" w:type="dxa"/>
            <w:vAlign w:val="bottom"/>
          </w:tcPr>
          <w:p>
            <w:pPr>
              <w:pStyle w:val="yTableNAm"/>
              <w:tabs>
                <w:tab w:val="left" w:pos="1103"/>
              </w:tabs>
              <w:jc w:val="right"/>
              <w:rPr>
                <w:szCs w:val="22"/>
              </w:rPr>
            </w:pPr>
            <w:r>
              <w:rPr>
                <w:szCs w:val="22"/>
              </w:rPr>
              <w:t>$860.00</w:t>
            </w:r>
          </w:p>
        </w:tc>
      </w:tr>
      <w:tr>
        <w:tc>
          <w:tcPr>
            <w:tcW w:w="851" w:type="dxa"/>
          </w:tcPr>
          <w:p>
            <w:pPr>
              <w:pStyle w:val="yTableNAm"/>
              <w:rPr>
                <w:szCs w:val="22"/>
              </w:rPr>
            </w:pPr>
            <w:r>
              <w:rPr>
                <w:szCs w:val="22"/>
              </w:rPr>
              <w:t>3.</w:t>
            </w:r>
          </w:p>
        </w:tc>
        <w:tc>
          <w:tcPr>
            <w:tcW w:w="5042" w:type="dxa"/>
          </w:tcPr>
          <w:p>
            <w:pPr>
              <w:pStyle w:val="yTableNAm"/>
              <w:tabs>
                <w:tab w:val="right" w:leader="dot" w:pos="4536"/>
              </w:tabs>
              <w:rPr>
                <w:szCs w:val="22"/>
              </w:rPr>
            </w:pPr>
            <w:r>
              <w:rPr>
                <w:szCs w:val="22"/>
              </w:rPr>
              <w:t>Grant of licence to firm</w:t>
            </w:r>
          </w:p>
        </w:tc>
        <w:tc>
          <w:tcPr>
            <w:tcW w:w="1187" w:type="dxa"/>
            <w:vAlign w:val="bottom"/>
          </w:tcPr>
          <w:p>
            <w:pPr>
              <w:pStyle w:val="yTableNAm"/>
              <w:tabs>
                <w:tab w:val="left" w:pos="1103"/>
              </w:tabs>
              <w:jc w:val="right"/>
              <w:rPr>
                <w:szCs w:val="22"/>
              </w:rPr>
            </w:pPr>
            <w:r>
              <w:rPr>
                <w:szCs w:val="22"/>
              </w:rPr>
              <w:t>$1 125.00</w:t>
            </w:r>
          </w:p>
        </w:tc>
      </w:tr>
      <w:tr>
        <w:tc>
          <w:tcPr>
            <w:tcW w:w="851" w:type="dxa"/>
          </w:tcPr>
          <w:p>
            <w:pPr>
              <w:pStyle w:val="yTableNAm"/>
              <w:rPr>
                <w:szCs w:val="22"/>
              </w:rPr>
            </w:pPr>
            <w:r>
              <w:rPr>
                <w:szCs w:val="22"/>
              </w:rPr>
              <w:t>4.</w:t>
            </w:r>
          </w:p>
        </w:tc>
        <w:tc>
          <w:tcPr>
            <w:tcW w:w="5042" w:type="dxa"/>
          </w:tcPr>
          <w:p>
            <w:pPr>
              <w:pStyle w:val="yTableNAm"/>
              <w:tabs>
                <w:tab w:val="right" w:leader="dot" w:pos="4536"/>
              </w:tabs>
              <w:rPr>
                <w:szCs w:val="22"/>
              </w:rPr>
            </w:pPr>
            <w:r>
              <w:rPr>
                <w:szCs w:val="22"/>
              </w:rPr>
              <w:t>Grant of licence to body corporate</w:t>
            </w:r>
          </w:p>
        </w:tc>
        <w:tc>
          <w:tcPr>
            <w:tcW w:w="1187" w:type="dxa"/>
            <w:vAlign w:val="bottom"/>
          </w:tcPr>
          <w:p>
            <w:pPr>
              <w:pStyle w:val="yTableNAm"/>
              <w:tabs>
                <w:tab w:val="left" w:pos="1103"/>
              </w:tabs>
              <w:jc w:val="right"/>
              <w:rPr>
                <w:szCs w:val="22"/>
              </w:rPr>
            </w:pPr>
            <w:r>
              <w:rPr>
                <w:szCs w:val="22"/>
              </w:rPr>
              <w:t>$1 125.00</w:t>
            </w:r>
          </w:p>
        </w:tc>
      </w:tr>
      <w:tr>
        <w:tc>
          <w:tcPr>
            <w:tcW w:w="851" w:type="dxa"/>
          </w:tcPr>
          <w:p>
            <w:pPr>
              <w:pStyle w:val="yTableNAm"/>
              <w:rPr>
                <w:szCs w:val="22"/>
              </w:rPr>
            </w:pPr>
            <w:r>
              <w:rPr>
                <w:szCs w:val="22"/>
              </w:rPr>
              <w:t>5.</w:t>
            </w:r>
          </w:p>
        </w:tc>
        <w:tc>
          <w:tcPr>
            <w:tcW w:w="5042" w:type="dxa"/>
          </w:tcPr>
          <w:p>
            <w:pPr>
              <w:pStyle w:val="yTableNAm"/>
              <w:tabs>
                <w:tab w:val="right" w:leader="dot" w:pos="4536"/>
              </w:tabs>
              <w:rPr>
                <w:szCs w:val="22"/>
              </w:rPr>
            </w:pPr>
            <w:r>
              <w:rPr>
                <w:szCs w:val="22"/>
              </w:rPr>
              <w:t>Renewal of triennial certificate</w:t>
            </w:r>
          </w:p>
        </w:tc>
        <w:tc>
          <w:tcPr>
            <w:tcW w:w="1187" w:type="dxa"/>
            <w:vAlign w:val="bottom"/>
          </w:tcPr>
          <w:p>
            <w:pPr>
              <w:pStyle w:val="yTableNAm"/>
              <w:tabs>
                <w:tab w:val="left" w:pos="1103"/>
              </w:tabs>
              <w:jc w:val="right"/>
              <w:rPr>
                <w:szCs w:val="22"/>
              </w:rPr>
            </w:pPr>
            <w:r>
              <w:rPr>
                <w:szCs w:val="22"/>
              </w:rPr>
              <w:t>$711.00</w:t>
            </w:r>
          </w:p>
        </w:tc>
      </w:tr>
      <w:tr>
        <w:tc>
          <w:tcPr>
            <w:tcW w:w="851" w:type="dxa"/>
          </w:tcPr>
          <w:p>
            <w:pPr>
              <w:pStyle w:val="yTableNAm"/>
              <w:rPr>
                <w:szCs w:val="22"/>
              </w:rPr>
            </w:pPr>
            <w:r>
              <w:rPr>
                <w:szCs w:val="22"/>
              </w:rPr>
              <w:t>6.</w:t>
            </w:r>
          </w:p>
        </w:tc>
        <w:tc>
          <w:tcPr>
            <w:tcW w:w="5042" w:type="dxa"/>
          </w:tcPr>
          <w:p>
            <w:pPr>
              <w:pStyle w:val="yTableNAm"/>
              <w:tabs>
                <w:tab w:val="right" w:leader="dot" w:pos="4536"/>
              </w:tabs>
              <w:rPr>
                <w:szCs w:val="22"/>
              </w:rPr>
            </w:pPr>
            <w:r>
              <w:rPr>
                <w:szCs w:val="22"/>
              </w:rPr>
              <w:t>Grant of certificate of registration</w:t>
            </w:r>
          </w:p>
        </w:tc>
        <w:tc>
          <w:tcPr>
            <w:tcW w:w="1187" w:type="dxa"/>
            <w:vAlign w:val="bottom"/>
          </w:tcPr>
          <w:p>
            <w:pPr>
              <w:pStyle w:val="yTableNAm"/>
              <w:tabs>
                <w:tab w:val="left" w:pos="1103"/>
              </w:tabs>
              <w:jc w:val="right"/>
              <w:rPr>
                <w:szCs w:val="22"/>
              </w:rPr>
            </w:pPr>
            <w:r>
              <w:rPr>
                <w:szCs w:val="22"/>
              </w:rPr>
              <w:t>$218.00</w:t>
            </w:r>
          </w:p>
        </w:tc>
      </w:tr>
      <w:tr>
        <w:tc>
          <w:tcPr>
            <w:tcW w:w="851" w:type="dxa"/>
          </w:tcPr>
          <w:p>
            <w:pPr>
              <w:pStyle w:val="yTableNAm"/>
              <w:rPr>
                <w:szCs w:val="22"/>
              </w:rPr>
            </w:pPr>
            <w:r>
              <w:rPr>
                <w:szCs w:val="22"/>
              </w:rPr>
              <w:t>7.</w:t>
            </w:r>
          </w:p>
        </w:tc>
        <w:tc>
          <w:tcPr>
            <w:tcW w:w="5042" w:type="dxa"/>
          </w:tcPr>
          <w:p>
            <w:pPr>
              <w:pStyle w:val="yTableNAm"/>
              <w:tabs>
                <w:tab w:val="right" w:leader="dot" w:pos="4536"/>
              </w:tabs>
              <w:rPr>
                <w:szCs w:val="22"/>
              </w:rPr>
            </w:pPr>
            <w:r>
              <w:rPr>
                <w:szCs w:val="22"/>
              </w:rPr>
              <w:t>Renewal of certificate of registration</w:t>
            </w:r>
          </w:p>
        </w:tc>
        <w:tc>
          <w:tcPr>
            <w:tcW w:w="1187" w:type="dxa"/>
            <w:vAlign w:val="bottom"/>
          </w:tcPr>
          <w:p>
            <w:pPr>
              <w:pStyle w:val="yTableNAm"/>
              <w:tabs>
                <w:tab w:val="left" w:pos="1103"/>
              </w:tabs>
              <w:jc w:val="right"/>
              <w:rPr>
                <w:szCs w:val="22"/>
              </w:rPr>
            </w:pPr>
            <w:r>
              <w:rPr>
                <w:szCs w:val="22"/>
              </w:rPr>
              <w:t>$180.00</w:t>
            </w:r>
          </w:p>
        </w:tc>
      </w:tr>
      <w:tr>
        <w:tc>
          <w:tcPr>
            <w:tcW w:w="851" w:type="dxa"/>
          </w:tcPr>
          <w:p>
            <w:pPr>
              <w:pStyle w:val="yTableNAm"/>
              <w:rPr>
                <w:szCs w:val="22"/>
              </w:rPr>
            </w:pPr>
            <w:r>
              <w:rPr>
                <w:szCs w:val="22"/>
              </w:rPr>
              <w:t>8.</w:t>
            </w:r>
          </w:p>
        </w:tc>
        <w:tc>
          <w:tcPr>
            <w:tcW w:w="5042" w:type="dxa"/>
          </w:tcPr>
          <w:p>
            <w:pPr>
              <w:pStyle w:val="yTableNAm"/>
              <w:tabs>
                <w:tab w:val="right" w:leader="dot" w:pos="4536"/>
              </w:tabs>
              <w:rPr>
                <w:szCs w:val="22"/>
              </w:rPr>
            </w:pPr>
            <w:r>
              <w:rPr>
                <w:szCs w:val="22"/>
              </w:rPr>
              <w:t>Inspection of a register</w:t>
            </w:r>
          </w:p>
        </w:tc>
        <w:tc>
          <w:tcPr>
            <w:tcW w:w="1187" w:type="dxa"/>
            <w:vAlign w:val="bottom"/>
          </w:tcPr>
          <w:p>
            <w:pPr>
              <w:pStyle w:val="yTableNAm"/>
              <w:tabs>
                <w:tab w:val="left" w:pos="1103"/>
              </w:tabs>
              <w:jc w:val="right"/>
              <w:rPr>
                <w:szCs w:val="22"/>
              </w:rPr>
            </w:pPr>
            <w:r>
              <w:rPr>
                <w:szCs w:val="22"/>
              </w:rPr>
              <w:t>$11.80</w:t>
            </w:r>
          </w:p>
        </w:tc>
      </w:tr>
      <w:tr>
        <w:tc>
          <w:tcPr>
            <w:tcW w:w="851" w:type="dxa"/>
          </w:tcPr>
          <w:p>
            <w:pPr>
              <w:pStyle w:val="yTableNAm"/>
              <w:rPr>
                <w:szCs w:val="22"/>
              </w:rPr>
            </w:pPr>
            <w:r>
              <w:rPr>
                <w:szCs w:val="22"/>
              </w:rPr>
              <w:t>9.</w:t>
            </w:r>
          </w:p>
        </w:tc>
        <w:tc>
          <w:tcPr>
            <w:tcW w:w="5042" w:type="dxa"/>
          </w:tcPr>
          <w:p>
            <w:pPr>
              <w:pStyle w:val="yTableNAm"/>
              <w:tabs>
                <w:tab w:val="right" w:leader="dot" w:pos="4536"/>
              </w:tabs>
              <w:rPr>
                <w:szCs w:val="22"/>
              </w:rPr>
            </w:pPr>
            <w:r>
              <w:rPr>
                <w:szCs w:val="22"/>
              </w:rPr>
              <w:t>Issue of duplicate licence, duplicate certificate of registration or duplicate triennial certificate</w:t>
            </w:r>
          </w:p>
        </w:tc>
        <w:tc>
          <w:tcPr>
            <w:tcW w:w="1187" w:type="dxa"/>
            <w:vAlign w:val="bottom"/>
          </w:tcPr>
          <w:p>
            <w:pPr>
              <w:pStyle w:val="yTableNAm"/>
              <w:tabs>
                <w:tab w:val="left" w:pos="1103"/>
              </w:tabs>
              <w:jc w:val="right"/>
              <w:rPr>
                <w:szCs w:val="22"/>
              </w:rPr>
            </w:pPr>
            <w:r>
              <w:rPr>
                <w:szCs w:val="22"/>
              </w:rPr>
              <w:t>$29.50</w:t>
            </w:r>
          </w:p>
        </w:tc>
      </w:tr>
      <w:tr>
        <w:tc>
          <w:tcPr>
            <w:tcW w:w="851" w:type="dxa"/>
          </w:tcPr>
          <w:p>
            <w:pPr>
              <w:pStyle w:val="yTableNAm"/>
              <w:rPr>
                <w:szCs w:val="22"/>
              </w:rPr>
            </w:pPr>
            <w:r>
              <w:rPr>
                <w:szCs w:val="22"/>
              </w:rPr>
              <w:t>10.</w:t>
            </w:r>
          </w:p>
        </w:tc>
        <w:tc>
          <w:tcPr>
            <w:tcW w:w="5042" w:type="dxa"/>
          </w:tcPr>
          <w:p>
            <w:pPr>
              <w:pStyle w:val="yTableNAm"/>
              <w:rPr>
                <w:szCs w:val="22"/>
              </w:rPr>
            </w:pPr>
            <w:r>
              <w:rPr>
                <w:szCs w:val="22"/>
              </w:rPr>
              <w:t>Copy (certified or uncertified) or an extract of an individual registration —</w:t>
            </w:r>
          </w:p>
          <w:p>
            <w:pPr>
              <w:pStyle w:val="yTableNAm"/>
              <w:tabs>
                <w:tab w:val="right" w:leader="dot" w:pos="4536"/>
              </w:tabs>
              <w:rPr>
                <w:szCs w:val="22"/>
              </w:rPr>
            </w:pPr>
            <w:r>
              <w:rPr>
                <w:szCs w:val="22"/>
              </w:rPr>
              <w:t>first page</w:t>
            </w:r>
          </w:p>
          <w:p>
            <w:pPr>
              <w:pStyle w:val="yTableNAm"/>
              <w:tabs>
                <w:tab w:val="right" w:leader="dot" w:pos="4536"/>
              </w:tabs>
              <w:rPr>
                <w:szCs w:val="22"/>
              </w:rPr>
            </w:pPr>
            <w:r>
              <w:rPr>
                <w:szCs w:val="22"/>
              </w:rPr>
              <w:t>each subsequent page</w:t>
            </w:r>
          </w:p>
        </w:tc>
        <w:tc>
          <w:tcPr>
            <w:tcW w:w="1187" w:type="dxa"/>
            <w:vAlign w:val="bottom"/>
          </w:tcPr>
          <w:p>
            <w:pPr>
              <w:pStyle w:val="yTableNAm"/>
              <w:tabs>
                <w:tab w:val="left" w:pos="1103"/>
              </w:tabs>
              <w:jc w:val="right"/>
              <w:rPr>
                <w:szCs w:val="22"/>
              </w:rPr>
            </w:pPr>
            <w:r>
              <w:rPr>
                <w:szCs w:val="22"/>
              </w:rPr>
              <w:t>$12.20</w:t>
            </w:r>
          </w:p>
          <w:p>
            <w:pPr>
              <w:pStyle w:val="yTableNAm"/>
              <w:tabs>
                <w:tab w:val="left" w:pos="1103"/>
              </w:tabs>
              <w:jc w:val="right"/>
              <w:rPr>
                <w:szCs w:val="22"/>
              </w:rPr>
            </w:pPr>
            <w:r>
              <w:rPr>
                <w:szCs w:val="22"/>
              </w:rPr>
              <w:t>$2.30</w:t>
            </w:r>
          </w:p>
        </w:tc>
      </w:tr>
      <w:tr>
        <w:tc>
          <w:tcPr>
            <w:tcW w:w="851" w:type="dxa"/>
          </w:tcPr>
          <w:p>
            <w:pPr>
              <w:pStyle w:val="yTableNAm"/>
              <w:rPr>
                <w:szCs w:val="22"/>
              </w:rPr>
            </w:pPr>
            <w:r>
              <w:rPr>
                <w:szCs w:val="22"/>
              </w:rPr>
              <w:t>11.</w:t>
            </w:r>
          </w:p>
        </w:tc>
        <w:tc>
          <w:tcPr>
            <w:tcW w:w="5042" w:type="dxa"/>
          </w:tcPr>
          <w:p>
            <w:pPr>
              <w:pStyle w:val="yTableNAm"/>
              <w:tabs>
                <w:tab w:val="right" w:leader="dot" w:pos="4536"/>
              </w:tabs>
              <w:rPr>
                <w:szCs w:val="22"/>
              </w:rPr>
            </w:pPr>
            <w:r>
              <w:rPr>
                <w:szCs w:val="22"/>
              </w:rPr>
              <w:t>Copy (certified or uncertified) or an extract of all registrations in a register</w:t>
            </w:r>
          </w:p>
        </w:tc>
        <w:tc>
          <w:tcPr>
            <w:tcW w:w="1187" w:type="dxa"/>
            <w:vAlign w:val="bottom"/>
          </w:tcPr>
          <w:p>
            <w:pPr>
              <w:pStyle w:val="yTableNAm"/>
              <w:tabs>
                <w:tab w:val="left" w:pos="1103"/>
              </w:tabs>
              <w:jc w:val="right"/>
              <w:rPr>
                <w:szCs w:val="22"/>
              </w:rPr>
            </w:pPr>
            <w:r>
              <w:rPr>
                <w:szCs w:val="22"/>
              </w:rPr>
              <w:t>$121.00</w:t>
            </w:r>
          </w:p>
        </w:tc>
      </w:tr>
      <w:tr>
        <w:tc>
          <w:tcPr>
            <w:tcW w:w="851" w:type="dxa"/>
          </w:tcPr>
          <w:p>
            <w:pPr>
              <w:pStyle w:val="yTableNAm"/>
              <w:rPr>
                <w:szCs w:val="22"/>
              </w:rPr>
            </w:pPr>
            <w:r>
              <w:rPr>
                <w:szCs w:val="22"/>
              </w:rPr>
              <w:t>12.</w:t>
            </w:r>
          </w:p>
        </w:tc>
        <w:tc>
          <w:tcPr>
            <w:tcW w:w="5042" w:type="dxa"/>
          </w:tcPr>
          <w:p>
            <w:pPr>
              <w:pStyle w:val="yTableNAm"/>
              <w:tabs>
                <w:tab w:val="right" w:leader="dot" w:pos="4536"/>
              </w:tabs>
              <w:rPr>
                <w:szCs w:val="22"/>
              </w:rPr>
            </w:pPr>
            <w:r>
              <w:rPr>
                <w:szCs w:val="22"/>
              </w:rPr>
              <w:t>For the purposes of section 30(2a) (the holding fee)</w:t>
            </w:r>
          </w:p>
        </w:tc>
        <w:tc>
          <w:tcPr>
            <w:tcW w:w="1187" w:type="dxa"/>
            <w:vAlign w:val="bottom"/>
          </w:tcPr>
          <w:p>
            <w:pPr>
              <w:pStyle w:val="yTableNAm"/>
              <w:tabs>
                <w:tab w:val="left" w:pos="1103"/>
              </w:tabs>
              <w:jc w:val="right"/>
              <w:rPr>
                <w:szCs w:val="22"/>
              </w:rPr>
            </w:pPr>
            <w:r>
              <w:rPr>
                <w:szCs w:val="22"/>
              </w:rPr>
              <w:t>$258.00</w:t>
            </w:r>
          </w:p>
        </w:tc>
      </w:tr>
    </w:tbl>
    <w:p>
      <w:pPr>
        <w:pStyle w:val="Footnotesection"/>
      </w:pPr>
      <w:r>
        <w:tab/>
        <w:t>[Schedule 1 inserted: Gazette 18 Jun 2019 p. 2110-11.]</w:t>
      </w:r>
    </w:p>
    <w:p>
      <w:pPr>
        <w:pStyle w:val="yScheduleHeading"/>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38" w:name="_Toc51676882"/>
      <w:bookmarkStart w:id="39" w:name="_Toc51677122"/>
      <w:bookmarkStart w:id="40" w:name="_Toc51842034"/>
      <w:r>
        <w:rPr>
          <w:rStyle w:val="CharSchNo"/>
        </w:rPr>
        <w:t>Schedule 1A</w:t>
      </w:r>
      <w:r>
        <w:rPr>
          <w:rStyle w:val="CharSDivNo"/>
        </w:rPr>
        <w:t> </w:t>
      </w:r>
      <w:r>
        <w:t>—</w:t>
      </w:r>
      <w:r>
        <w:rPr>
          <w:rStyle w:val="CharSDivText"/>
        </w:rPr>
        <w:t> </w:t>
      </w:r>
      <w:r>
        <w:rPr>
          <w:rStyle w:val="CharSchText"/>
        </w:rPr>
        <w:t>Professional development subjects</w:t>
      </w:r>
      <w:bookmarkEnd w:id="38"/>
      <w:bookmarkEnd w:id="39"/>
      <w:bookmarkEnd w:id="40"/>
    </w:p>
    <w:p>
      <w:pPr>
        <w:pStyle w:val="yShoulderClause"/>
      </w:pPr>
      <w:r>
        <w:t>[r. 4AB]</w:t>
      </w:r>
    </w:p>
    <w:p>
      <w:pPr>
        <w:pStyle w:val="yFootnoteheading"/>
      </w:pPr>
      <w:r>
        <w:tab/>
        <w:t>[Heading inserted: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Legislation regulating the carrying on of business as an agent in Western Australia</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41" w:name="_Toc51676883"/>
      <w:bookmarkStart w:id="42" w:name="_Toc51677123"/>
      <w:bookmarkStart w:id="43" w:name="_Toc51842035"/>
      <w:r>
        <w:rPr>
          <w:rStyle w:val="CharSchNo"/>
        </w:rPr>
        <w:t>Schedule 2</w:t>
      </w:r>
      <w:r>
        <w:rPr>
          <w:rStyle w:val="CharSDivNo"/>
        </w:rPr>
        <w:t> </w:t>
      </w:r>
      <w:r>
        <w:t>—</w:t>
      </w:r>
      <w:r>
        <w:rPr>
          <w:rStyle w:val="CharSDivText"/>
        </w:rPr>
        <w:t> </w:t>
      </w:r>
      <w:r>
        <w:rPr>
          <w:rStyle w:val="CharSchText"/>
        </w:rPr>
        <w:t>Forms</w:t>
      </w:r>
      <w:bookmarkEnd w:id="41"/>
      <w:bookmarkEnd w:id="42"/>
      <w:bookmarkEnd w:id="43"/>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 SL 2020/163 r. 46.]</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44" w:name="_Toc51676884"/>
      <w:bookmarkStart w:id="45" w:name="_Toc51677124"/>
      <w:bookmarkStart w:id="46" w:name="_Toc51842036"/>
      <w:r>
        <w:rPr>
          <w:rStyle w:val="CharSchNo"/>
        </w:rPr>
        <w:t>Schedule 3</w:t>
      </w:r>
      <w:r>
        <w:rPr>
          <w:rStyle w:val="CharSDivNo"/>
        </w:rPr>
        <w:t> </w:t>
      </w:r>
      <w:r>
        <w:t>—</w:t>
      </w:r>
      <w:r>
        <w:rPr>
          <w:rStyle w:val="CharSDivText"/>
        </w:rPr>
        <w:t> </w:t>
      </w:r>
      <w:r>
        <w:rPr>
          <w:rStyle w:val="CharSchText"/>
        </w:rPr>
        <w:t>Prescribed offences and modified penalties</w:t>
      </w:r>
      <w:bookmarkEnd w:id="44"/>
      <w:bookmarkEnd w:id="45"/>
      <w:bookmarkEnd w:id="46"/>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c>
          <w:tcPr>
            <w:tcW w:w="1320" w:type="dxa"/>
          </w:tcPr>
          <w:p>
            <w:pPr>
              <w:pStyle w:val="yTableNAm"/>
            </w:pPr>
            <w:r>
              <w:t>s. 70(8)</w:t>
            </w:r>
          </w:p>
        </w:tc>
        <w:tc>
          <w:tcPr>
            <w:tcW w:w="4680" w:type="dxa"/>
          </w:tcPr>
          <w:p>
            <w:pPr>
              <w:pStyle w:val="yTableNAm"/>
            </w:pPr>
            <w:r>
              <w:t>Failing to deliver a termination audit report</w:t>
            </w:r>
          </w:p>
        </w:tc>
        <w:tc>
          <w:tcPr>
            <w:tcW w:w="1080" w:type="dxa"/>
          </w:tcPr>
          <w:p>
            <w:pPr>
              <w:pStyle w:val="yTableNAm"/>
            </w:pPr>
            <w:r>
              <w:t>$600</w:t>
            </w:r>
          </w:p>
        </w:tc>
      </w:tr>
      <w:tr>
        <w:tc>
          <w:tcPr>
            <w:tcW w:w="1320" w:type="dxa"/>
          </w:tcPr>
          <w:p>
            <w:pPr>
              <w:pStyle w:val="yTableNAm"/>
            </w:pPr>
            <w:r>
              <w:t>s. 86</w:t>
            </w:r>
          </w:p>
        </w:tc>
        <w:tc>
          <w:tcPr>
            <w:tcW w:w="4680" w:type="dxa"/>
          </w:tcPr>
          <w:p>
            <w:pPr>
              <w:pStyle w:val="yTableNAm"/>
            </w:pPr>
            <w:r>
              <w:t>Failing to lodge a statutory declaration in relation to the audit of trust accounts</w:t>
            </w:r>
          </w:p>
        </w:tc>
        <w:tc>
          <w:tcPr>
            <w:tcW w:w="1080" w:type="dxa"/>
          </w:tcPr>
          <w:p>
            <w:pPr>
              <w:pStyle w:val="yTableNAm"/>
            </w:pPr>
            <w:r>
              <w:br/>
              <w:t>$200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 Gazette 28 Aug 2009 p. 3351</w:t>
      </w:r>
      <w:r>
        <w:noBreakHyphen/>
        <w:t>2; amended: Gazette 30 Jun 2011 p. 2670; 23 Oct 2012 p. 5055.]</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47" w:name="_Toc51676885"/>
      <w:bookmarkStart w:id="48" w:name="_Toc51677125"/>
      <w:bookmarkStart w:id="49" w:name="_Toc51842037"/>
      <w:r>
        <w:t>Notes</w:t>
      </w:r>
      <w:bookmarkEnd w:id="47"/>
      <w:bookmarkEnd w:id="48"/>
      <w:bookmarkEnd w:id="49"/>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w:t>
      </w:r>
    </w:p>
    <w:p>
      <w:pPr>
        <w:pStyle w:val="nHeading3"/>
      </w:pPr>
      <w:bookmarkStart w:id="50" w:name="_Toc51842038"/>
      <w:r>
        <w:t>Compilation table</w:t>
      </w:r>
      <w:bookmarkEnd w:id="50"/>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single" w:sz="4" w:space="0" w:color="auto"/>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single" w:sz="4" w:space="0" w:color="auto"/>
            </w:tcBorders>
          </w:tcPr>
          <w:p>
            <w:pPr>
              <w:pStyle w:val="nTable"/>
              <w:spacing w:after="40"/>
            </w:pPr>
            <w:r>
              <w:t>SL 2020/163 25 Sep 2020</w:t>
            </w:r>
          </w:p>
        </w:tc>
        <w:tc>
          <w:tcPr>
            <w:tcW w:w="2693" w:type="dxa"/>
            <w:tcBorders>
              <w:top w:val="nil"/>
              <w:bottom w:val="single" w:sz="4" w:space="0" w:color="auto"/>
            </w:tcBorders>
          </w:tcPr>
          <w:p>
            <w:pPr>
              <w:pStyle w:val="nTable"/>
              <w:spacing w:after="40"/>
            </w:pPr>
            <w:r>
              <w:t>29 Sep 2020 (see r. 2(b) and SL 2020/159 cl. 2(a))</w:t>
            </w:r>
          </w:p>
        </w:tc>
      </w:tr>
    </w:tbl>
    <w:p>
      <w:pPr>
        <w:pStyle w:val="nHeading3"/>
      </w:pPr>
      <w:bookmarkStart w:id="51" w:name="_Toc51842039"/>
      <w:r>
        <w:t>Other notes</w:t>
      </w:r>
      <w:bookmarkEnd w:id="51"/>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
      <w:pPr>
        <w:sectPr>
          <w:headerReference w:type="even" r:id="rId35"/>
          <w:headerReference w:type="default" r:id="rId36"/>
          <w:pgSz w:w="11907" w:h="16840" w:code="9"/>
          <w:pgMar w:top="2376" w:right="2404" w:bottom="3544" w:left="2404" w:header="720" w:footer="3380" w:gutter="0"/>
          <w:cols w:space="720"/>
          <w:noEndnote/>
          <w:docGrid w:linePitch="326"/>
        </w:sectPr>
      </w:pPr>
    </w:p>
    <w:p>
      <w:pPr>
        <w:pStyle w:val="nHeading2"/>
        <w:rPr>
          <w:sz w:val="28"/>
        </w:rPr>
      </w:pPr>
      <w:bookmarkStart w:id="53" w:name="_Toc51676888"/>
      <w:bookmarkStart w:id="54" w:name="_Toc51677128"/>
      <w:bookmarkStart w:id="55" w:name="_Toc51842040"/>
      <w:r>
        <w:rPr>
          <w:sz w:val="28"/>
        </w:rPr>
        <w:t>Defined terms</w:t>
      </w:r>
      <w:bookmarkEnd w:id="53"/>
      <w:bookmarkEnd w:id="54"/>
      <w:bookmarkEnd w:id="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financial institution</w:t>
      </w:r>
      <w:r>
        <w:tab/>
        <w:t>6C</w:t>
      </w:r>
    </w:p>
    <w:p>
      <w:pPr>
        <w:pStyle w:val="DefinedTerms"/>
      </w:pPr>
      <w:r>
        <w:t>business</w:t>
      </w:r>
      <w:r>
        <w:tab/>
        <w:t>6E(2)</w:t>
      </w:r>
    </w:p>
    <w:p>
      <w:pPr>
        <w:pStyle w:val="DefinedTerms"/>
      </w:pPr>
      <w:r>
        <w:t>calendar year</w:t>
      </w:r>
      <w:r>
        <w:tab/>
        <w:t>2</w:t>
      </w:r>
    </w:p>
    <w:p>
      <w:pPr>
        <w:pStyle w:val="DefinedTerms"/>
      </w:pPr>
      <w:r>
        <w:t>CPD activity</w:t>
      </w:r>
      <w:r>
        <w:tab/>
        <w:t>2</w:t>
      </w:r>
    </w:p>
    <w:p>
      <w:pPr>
        <w:pStyle w:val="DefinedTerms"/>
      </w:pPr>
      <w:r>
        <w:t>CPD subject</w:t>
      </w:r>
      <w:r>
        <w:tab/>
        <w:t>2</w:t>
      </w:r>
    </w:p>
    <w:p>
      <w:pPr>
        <w:pStyle w:val="DefinedTerms"/>
      </w:pPr>
      <w:r>
        <w:t>CPP07 Property Services Training Package</w:t>
      </w:r>
      <w:r>
        <w:tab/>
        <w:t>6A(2)</w:t>
      </w:r>
    </w:p>
    <w:p>
      <w:pPr>
        <w:pStyle w:val="DefinedTerms"/>
      </w:pPr>
      <w:r>
        <w:t>educational activity</w:t>
      </w:r>
      <w:r>
        <w:tab/>
        <w:t>2</w:t>
      </w:r>
    </w:p>
    <w:p>
      <w:pPr>
        <w:pStyle w:val="DefinedTerms"/>
      </w:pPr>
      <w:r>
        <w:t>holding fee</w:t>
      </w:r>
      <w:r>
        <w:tab/>
        <w:t>4A(1)</w:t>
      </w:r>
    </w:p>
    <w:p>
      <w:pPr>
        <w:pStyle w:val="DefinedTerms"/>
      </w:pPr>
      <w:r>
        <w:t>mandatory CPD activity</w:t>
      </w:r>
      <w:r>
        <w:tab/>
        <w:t>2</w:t>
      </w:r>
    </w:p>
    <w:p>
      <w:pPr>
        <w:pStyle w:val="DefinedTerms"/>
      </w:pPr>
      <w:r>
        <w:t>mandatory CPD subject</w:t>
      </w:r>
      <w:r>
        <w:tab/>
        <w:t>2</w:t>
      </w:r>
    </w:p>
    <w:p>
      <w:pPr>
        <w:pStyle w:val="DefinedTerms"/>
      </w:pPr>
      <w:r>
        <w:t>point value</w:t>
      </w:r>
      <w:r>
        <w:tab/>
        <w:t>2</w:t>
      </w:r>
    </w:p>
    <w:p>
      <w:pPr>
        <w:pStyle w:val="DefinedTerms"/>
      </w:pPr>
      <w:r>
        <w:t>record</w:t>
      </w:r>
      <w:r>
        <w:tab/>
        <w:t>2</w:t>
      </w:r>
    </w:p>
    <w:p>
      <w:pPr>
        <w:pStyle w:val="DefinedTerms"/>
      </w:pPr>
      <w:r>
        <w:t>register</w:t>
      </w:r>
      <w:r>
        <w:tab/>
        <w:t>2</w:t>
      </w:r>
    </w:p>
    <w:p>
      <w:pPr>
        <w:pStyle w:val="DefinedTerms"/>
      </w:pPr>
      <w:r>
        <w:t>registered training provider</w:t>
      </w:r>
      <w:r>
        <w:tab/>
        <w:t>2</w:t>
      </w:r>
    </w:p>
    <w:p>
      <w:pPr>
        <w:pStyle w:val="DefinedTerms"/>
      </w:pPr>
      <w:r>
        <w:t>regulated person</w:t>
      </w:r>
      <w:r>
        <w:tab/>
        <w:t>2</w:t>
      </w:r>
    </w:p>
    <w:p>
      <w:pPr>
        <w:pStyle w:val="DefinedTerms"/>
      </w:pPr>
      <w:r>
        <w:t>relevant bank accepted bills rate</w:t>
      </w:r>
      <w:r>
        <w:tab/>
        <w:t>6F(2)</w:t>
      </w:r>
    </w:p>
    <w:p>
      <w:pPr>
        <w:pStyle w:val="DefinedTerms"/>
      </w:pPr>
      <w:r>
        <w:t>relevant day</w:t>
      </w:r>
      <w:r>
        <w:tab/>
        <w:t>2</w:t>
      </w:r>
    </w:p>
    <w:p>
      <w:pPr>
        <w:pStyle w:val="DefinedTerms"/>
      </w:pPr>
      <w:r>
        <w:t>working day</w:t>
      </w:r>
      <w:r>
        <w:tab/>
        <w:t>2</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jc w:val="center"/>
        <w:rPr>
          <w:rFonts w:ascii="Arial" w:hAnsi="Arial" w:cs="Arial"/>
          <w:sz w:val="12"/>
        </w:rPr>
      </w:pP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7" w:name="Schedule"/>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Professional development subjects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 w:name="Coversheet"/>
    <w:bookmarkEnd w:id="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2141952"/>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C66E9D-8F85-4BDC-8317-4E03921DA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8945</Words>
  <Characters>43657</Characters>
  <Application>Microsoft Office Word</Application>
  <DocSecurity>0</DocSecurity>
  <Lines>1679</Lines>
  <Paragraphs>1011</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51591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1979 - 08-l0-00</dc:title>
  <dc:subject/>
  <dc:creator/>
  <cp:keywords/>
  <dc:description/>
  <cp:lastModifiedBy>svcMRProcess</cp:lastModifiedBy>
  <cp:revision>4</cp:revision>
  <cp:lastPrinted>2014-10-02T03:16:00Z</cp:lastPrinted>
  <dcterms:created xsi:type="dcterms:W3CDTF">2020-09-25T06:15:00Z</dcterms:created>
  <dcterms:modified xsi:type="dcterms:W3CDTF">2020-09-25T06:15:00Z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AsAtDate">
    <vt:lpwstr>29 Sep 2020</vt:lpwstr>
  </property>
  <property fmtid="{D5CDD505-2E9C-101B-9397-08002B2CF9AE}" pid="8" name="Suffix">
    <vt:lpwstr>08-l0-00</vt:lpwstr>
  </property>
  <property fmtid="{D5CDD505-2E9C-101B-9397-08002B2CF9AE}" pid="9" name="CommencementDate">
    <vt:lpwstr>20200929</vt:lpwstr>
  </property>
</Properties>
</file>