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Swan and Canning Rivers Management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Swan and Canning Rivers Management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Swan and Canning Rivers Management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_Toc51681630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_Toc51681631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Development and regulation of related works, acts and activities</w:t>
      </w:r>
    </w:p>
    <w:p>
      <w:pPr>
        <w:pStyle w:val="TOC4"/>
        <w:tabs>
          <w:tab w:val="right" w:leader="dot" w:pos="7077"/>
        </w:tabs>
        <w:rPr>
          <w:rFonts w:asciiTheme="minorHAnsi" w:eastAsiaTheme="minorEastAsia" w:hAnsiTheme="minorHAnsi" w:cstheme="minorBidi"/>
          <w:b w:val="0"/>
          <w:szCs w:val="22"/>
        </w:rPr>
      </w:pPr>
      <w:r>
        <w:t>Division 1 — Development</w:t>
      </w:r>
    </w:p>
    <w:p>
      <w:pPr>
        <w:pStyle w:val="TOC8"/>
        <w:rPr>
          <w:rFonts w:asciiTheme="minorHAnsi" w:eastAsiaTheme="minorEastAsia" w:hAnsiTheme="minorHAnsi" w:cstheme="minorBidi"/>
          <w:szCs w:val="22"/>
        </w:rPr>
      </w:pPr>
      <w:r>
        <w:t>4.</w:t>
      </w:r>
      <w:r>
        <w:tab/>
        <w:t xml:space="preserve">Act s. 3(1) </w:t>
      </w:r>
      <w:r>
        <w:rPr>
          <w:i/>
        </w:rPr>
        <w:t>development</w:t>
      </w:r>
      <w:r>
        <w:t>, exclusions from</w:t>
      </w:r>
      <w:r>
        <w:tab/>
      </w:r>
      <w:r>
        <w:fldChar w:fldCharType="begin"/>
      </w:r>
      <w:r>
        <w:instrText xml:space="preserve"> PAGEREF _Toc51681634 \h </w:instrText>
      </w:r>
      <w:r>
        <w:fldChar w:fldCharType="separate"/>
      </w:r>
      <w:r>
        <w:t>3</w:t>
      </w:r>
      <w:r>
        <w:fldChar w:fldCharType="end"/>
      </w:r>
    </w:p>
    <w:p>
      <w:pPr>
        <w:pStyle w:val="TOC8"/>
        <w:rPr>
          <w:rFonts w:asciiTheme="minorHAnsi" w:eastAsiaTheme="minorEastAsia" w:hAnsiTheme="minorHAnsi" w:cstheme="minorBidi"/>
          <w:szCs w:val="22"/>
        </w:rPr>
      </w:pPr>
      <w:r>
        <w:t>5.</w:t>
      </w:r>
      <w:r>
        <w:tab/>
        <w:t>Development that CEO may approve (Act. s. 85(1))</w:t>
      </w:r>
      <w:r>
        <w:tab/>
      </w:r>
      <w:r>
        <w:fldChar w:fldCharType="begin"/>
      </w:r>
      <w:r>
        <w:instrText xml:space="preserve"> PAGEREF _Toc51681635 \h </w:instrText>
      </w:r>
      <w:r>
        <w:fldChar w:fldCharType="separate"/>
      </w:r>
      <w:r>
        <w:t>4</w:t>
      </w:r>
      <w:r>
        <w:fldChar w:fldCharType="end"/>
      </w:r>
    </w:p>
    <w:p>
      <w:pPr>
        <w:pStyle w:val="TOC8"/>
        <w:rPr>
          <w:rFonts w:asciiTheme="minorHAnsi" w:eastAsiaTheme="minorEastAsia" w:hAnsiTheme="minorHAnsi" w:cstheme="minorBidi"/>
          <w:szCs w:val="22"/>
        </w:rPr>
      </w:pPr>
      <w:r>
        <w:t>6.</w:t>
      </w:r>
      <w:r>
        <w:tab/>
        <w:t>Form prescribed (Act s. 72)</w:t>
      </w:r>
      <w:r>
        <w:tab/>
      </w:r>
      <w:r>
        <w:fldChar w:fldCharType="begin"/>
      </w:r>
      <w:r>
        <w:instrText xml:space="preserve"> PAGEREF _Toc51681636 \h </w:instrText>
      </w:r>
      <w:r>
        <w:fldChar w:fldCharType="separate"/>
      </w:r>
      <w:r>
        <w:t>5</w:t>
      </w:r>
      <w:r>
        <w:fldChar w:fldCharType="end"/>
      </w:r>
    </w:p>
    <w:p>
      <w:pPr>
        <w:pStyle w:val="TOC8"/>
        <w:rPr>
          <w:rFonts w:asciiTheme="minorHAnsi" w:eastAsiaTheme="minorEastAsia" w:hAnsiTheme="minorHAnsi" w:cstheme="minorBidi"/>
          <w:szCs w:val="22"/>
        </w:rPr>
      </w:pPr>
      <w:r>
        <w:t>7.</w:t>
      </w:r>
      <w:r>
        <w:tab/>
        <w:t>Form prescribed (Act s. 89(4))</w:t>
      </w:r>
      <w:r>
        <w:tab/>
      </w:r>
      <w:r>
        <w:fldChar w:fldCharType="begin"/>
      </w:r>
      <w:r>
        <w:instrText xml:space="preserve"> PAGEREF _Toc51681637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Regulation of works, acts and activities that are not “development”</w:t>
      </w:r>
    </w:p>
    <w:p>
      <w:pPr>
        <w:pStyle w:val="TOC8"/>
        <w:rPr>
          <w:rFonts w:asciiTheme="minorHAnsi" w:eastAsiaTheme="minorEastAsia" w:hAnsiTheme="minorHAnsi" w:cstheme="minorBidi"/>
          <w:szCs w:val="22"/>
        </w:rPr>
      </w:pPr>
      <w:r>
        <w:t>8.</w:t>
      </w:r>
      <w:r>
        <w:tab/>
        <w:t>Application of this Division</w:t>
      </w:r>
      <w:r>
        <w:tab/>
      </w:r>
      <w:r>
        <w:fldChar w:fldCharType="begin"/>
      </w:r>
      <w:r>
        <w:instrText xml:space="preserve"> PAGEREF _Toc51681639 \h </w:instrText>
      </w:r>
      <w:r>
        <w:fldChar w:fldCharType="separate"/>
      </w:r>
      <w:r>
        <w:t>5</w:t>
      </w:r>
      <w:r>
        <w:fldChar w:fldCharType="end"/>
      </w:r>
    </w:p>
    <w:p>
      <w:pPr>
        <w:pStyle w:val="TOC8"/>
        <w:rPr>
          <w:rFonts w:asciiTheme="minorHAnsi" w:eastAsiaTheme="minorEastAsia" w:hAnsiTheme="minorHAnsi" w:cstheme="minorBidi"/>
          <w:szCs w:val="22"/>
        </w:rPr>
      </w:pPr>
      <w:r>
        <w:t>9.</w:t>
      </w:r>
      <w:r>
        <w:tab/>
        <w:t>Signs, restrictions on exhibiting</w:t>
      </w:r>
      <w:r>
        <w:tab/>
      </w:r>
      <w:r>
        <w:fldChar w:fldCharType="begin"/>
      </w:r>
      <w:r>
        <w:instrText xml:space="preserve"> PAGEREF _Toc51681640 \h </w:instrText>
      </w:r>
      <w:r>
        <w:fldChar w:fldCharType="separate"/>
      </w:r>
      <w:r>
        <w:t>5</w:t>
      </w:r>
      <w:r>
        <w:fldChar w:fldCharType="end"/>
      </w:r>
    </w:p>
    <w:p>
      <w:pPr>
        <w:pStyle w:val="TOC8"/>
        <w:rPr>
          <w:rFonts w:asciiTheme="minorHAnsi" w:eastAsiaTheme="minorEastAsia" w:hAnsiTheme="minorHAnsi" w:cstheme="minorBidi"/>
          <w:szCs w:val="22"/>
        </w:rPr>
      </w:pPr>
      <w:r>
        <w:t>10.</w:t>
      </w:r>
      <w:r>
        <w:tab/>
      </w:r>
      <w:r>
        <w:rPr>
          <w:spacing w:val="-2"/>
        </w:rPr>
        <w:t>Repair and maintenance of existing structure, restrictions on</w:t>
      </w:r>
      <w:r>
        <w:tab/>
      </w:r>
      <w:r>
        <w:fldChar w:fldCharType="begin"/>
      </w:r>
      <w:r>
        <w:instrText xml:space="preserve"> PAGEREF _Toc51681641 \h </w:instrText>
      </w:r>
      <w:r>
        <w:fldChar w:fldCharType="separate"/>
      </w:r>
      <w:r>
        <w:t>8</w:t>
      </w:r>
      <w:r>
        <w:fldChar w:fldCharType="end"/>
      </w:r>
    </w:p>
    <w:p>
      <w:pPr>
        <w:pStyle w:val="TOC8"/>
        <w:rPr>
          <w:rFonts w:asciiTheme="minorHAnsi" w:eastAsiaTheme="minorEastAsia" w:hAnsiTheme="minorHAnsi" w:cstheme="minorBidi"/>
          <w:szCs w:val="22"/>
        </w:rPr>
      </w:pPr>
      <w:r>
        <w:t>11.</w:t>
      </w:r>
      <w:r>
        <w:tab/>
        <w:t>Emergency works etc., restrictions on</w:t>
      </w:r>
      <w:r>
        <w:tab/>
      </w:r>
      <w:r>
        <w:fldChar w:fldCharType="begin"/>
      </w:r>
      <w:r>
        <w:instrText xml:space="preserve"> PAGEREF _Toc51681642 \h </w:instrText>
      </w:r>
      <w:r>
        <w:fldChar w:fldCharType="separate"/>
      </w:r>
      <w:r>
        <w:t>9</w:t>
      </w:r>
      <w:r>
        <w:fldChar w:fldCharType="end"/>
      </w:r>
    </w:p>
    <w:p>
      <w:pPr>
        <w:pStyle w:val="TOC8"/>
        <w:rPr>
          <w:rFonts w:asciiTheme="minorHAnsi" w:eastAsiaTheme="minorEastAsia" w:hAnsiTheme="minorHAnsi" w:cstheme="minorBidi"/>
          <w:szCs w:val="22"/>
        </w:rPr>
      </w:pPr>
      <w:r>
        <w:t>12.</w:t>
      </w:r>
      <w:r>
        <w:tab/>
        <w:t>Erosion control, restrictions on</w:t>
      </w:r>
      <w:r>
        <w:tab/>
      </w:r>
      <w:r>
        <w:fldChar w:fldCharType="begin"/>
      </w:r>
      <w:r>
        <w:instrText xml:space="preserve"> PAGEREF _Toc51681643 \h </w:instrText>
      </w:r>
      <w:r>
        <w:fldChar w:fldCharType="separate"/>
      </w:r>
      <w:r>
        <w:t>10</w:t>
      </w:r>
      <w:r>
        <w:fldChar w:fldCharType="end"/>
      </w:r>
    </w:p>
    <w:p>
      <w:pPr>
        <w:pStyle w:val="TOC8"/>
        <w:rPr>
          <w:rFonts w:asciiTheme="minorHAnsi" w:eastAsiaTheme="minorEastAsia" w:hAnsiTheme="minorHAnsi" w:cstheme="minorBidi"/>
          <w:szCs w:val="22"/>
        </w:rPr>
      </w:pPr>
      <w:r>
        <w:t>13.</w:t>
      </w:r>
      <w:r>
        <w:tab/>
        <w:t>Temporary structures, restrictions on placing etc.</w:t>
      </w:r>
      <w:r>
        <w:tab/>
      </w:r>
      <w:r>
        <w:fldChar w:fldCharType="begin"/>
      </w:r>
      <w:r>
        <w:instrText xml:space="preserve"> PAGEREF _Toc51681644 \h </w:instrText>
      </w:r>
      <w:r>
        <w:fldChar w:fldCharType="separate"/>
      </w:r>
      <w:r>
        <w:t>10</w:t>
      </w:r>
      <w:r>
        <w:fldChar w:fldCharType="end"/>
      </w:r>
    </w:p>
    <w:p>
      <w:pPr>
        <w:pStyle w:val="TOC8"/>
        <w:rPr>
          <w:rFonts w:asciiTheme="minorHAnsi" w:eastAsiaTheme="minorEastAsia" w:hAnsiTheme="minorHAnsi" w:cstheme="minorBidi"/>
          <w:szCs w:val="22"/>
        </w:rPr>
      </w:pPr>
      <w:r>
        <w:t>14A.</w:t>
      </w:r>
      <w:r>
        <w:tab/>
        <w:t>Leaseholders, restrictions on works by</w:t>
      </w:r>
      <w:r>
        <w:tab/>
      </w:r>
      <w:r>
        <w:fldChar w:fldCharType="begin"/>
      </w:r>
      <w:r>
        <w:instrText xml:space="preserve"> PAGEREF _Toc51681645 \h </w:instrText>
      </w:r>
      <w:r>
        <w:fldChar w:fldCharType="separate"/>
      </w:r>
      <w:r>
        <w:t>11</w:t>
      </w:r>
      <w:r>
        <w:fldChar w:fldCharType="end"/>
      </w:r>
    </w:p>
    <w:p>
      <w:pPr>
        <w:pStyle w:val="TOC8"/>
        <w:rPr>
          <w:rFonts w:asciiTheme="minorHAnsi" w:eastAsiaTheme="minorEastAsia" w:hAnsiTheme="minorHAnsi" w:cstheme="minorBidi"/>
          <w:szCs w:val="22"/>
        </w:rPr>
      </w:pPr>
      <w:r>
        <w:t>14.</w:t>
      </w:r>
      <w:r>
        <w:tab/>
        <w:t>Sch. 5 authorities, restrictions on works by</w:t>
      </w:r>
      <w:r>
        <w:tab/>
      </w:r>
      <w:r>
        <w:fldChar w:fldCharType="begin"/>
      </w:r>
      <w:r>
        <w:instrText xml:space="preserve"> PAGEREF _Toc51681646 \h </w:instrText>
      </w:r>
      <w:r>
        <w:fldChar w:fldCharType="separate"/>
      </w:r>
      <w:r>
        <w:t>11</w:t>
      </w:r>
      <w:r>
        <w:fldChar w:fldCharType="end"/>
      </w:r>
    </w:p>
    <w:p>
      <w:pPr>
        <w:pStyle w:val="TOC8"/>
        <w:rPr>
          <w:rFonts w:asciiTheme="minorHAnsi" w:eastAsiaTheme="minorEastAsia" w:hAnsiTheme="minorHAnsi" w:cstheme="minorBidi"/>
          <w:szCs w:val="22"/>
        </w:rPr>
      </w:pPr>
      <w:r>
        <w:t>15.</w:t>
      </w:r>
      <w:r>
        <w:tab/>
        <w:t>Fire hazard reduction, restrictions on</w:t>
      </w:r>
      <w:r>
        <w:tab/>
      </w:r>
      <w:r>
        <w:fldChar w:fldCharType="begin"/>
      </w:r>
      <w:r>
        <w:instrText xml:space="preserve"> PAGEREF _Toc51681647 \h </w:instrText>
      </w:r>
      <w:r>
        <w:fldChar w:fldCharType="separate"/>
      </w:r>
      <w:r>
        <w:t>12</w:t>
      </w:r>
      <w:r>
        <w:fldChar w:fldCharType="end"/>
      </w:r>
    </w:p>
    <w:p>
      <w:pPr>
        <w:pStyle w:val="TOC8"/>
        <w:rPr>
          <w:rFonts w:asciiTheme="minorHAnsi" w:eastAsiaTheme="minorEastAsia" w:hAnsiTheme="minorHAnsi" w:cstheme="minorBidi"/>
          <w:szCs w:val="22"/>
        </w:rPr>
      </w:pPr>
      <w:r>
        <w:t>16A.</w:t>
      </w:r>
      <w:r>
        <w:tab/>
        <w:t>Aircraft activity, restrictions on</w:t>
      </w:r>
      <w:r>
        <w:tab/>
      </w:r>
      <w:r>
        <w:fldChar w:fldCharType="begin"/>
      </w:r>
      <w:r>
        <w:instrText xml:space="preserve"> PAGEREF _Toc51681648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16B.</w:t>
      </w:r>
      <w:r>
        <w:tab/>
        <w:t>Maintenance dredging, restrictions on</w:t>
      </w:r>
      <w:r>
        <w:tab/>
      </w:r>
      <w:r>
        <w:fldChar w:fldCharType="begin"/>
      </w:r>
      <w:r>
        <w:instrText xml:space="preserve"> PAGEREF _Toc51681649 \h </w:instrText>
      </w:r>
      <w:r>
        <w:fldChar w:fldCharType="separate"/>
      </w:r>
      <w:r>
        <w:t>13</w:t>
      </w:r>
      <w:r>
        <w:fldChar w:fldCharType="end"/>
      </w:r>
    </w:p>
    <w:p>
      <w:pPr>
        <w:pStyle w:val="TOC8"/>
        <w:rPr>
          <w:rFonts w:asciiTheme="minorHAnsi" w:eastAsiaTheme="minorEastAsia" w:hAnsiTheme="minorHAnsi" w:cstheme="minorBidi"/>
          <w:szCs w:val="22"/>
        </w:rPr>
      </w:pPr>
      <w:r>
        <w:t>16C.</w:t>
      </w:r>
      <w:r>
        <w:tab/>
        <w:t>Scientific studies, restrictions on</w:t>
      </w:r>
      <w:r>
        <w:tab/>
      </w:r>
      <w:r>
        <w:fldChar w:fldCharType="begin"/>
      </w:r>
      <w:r>
        <w:instrText xml:space="preserve"> PAGEREF _Toc51681650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Protection of Riverpark and development control area</w:t>
      </w:r>
    </w:p>
    <w:p>
      <w:pPr>
        <w:pStyle w:val="TOC8"/>
        <w:rPr>
          <w:rFonts w:asciiTheme="minorHAnsi" w:eastAsiaTheme="minorEastAsia" w:hAnsiTheme="minorHAnsi" w:cstheme="minorBidi"/>
          <w:szCs w:val="22"/>
        </w:rPr>
      </w:pPr>
      <w:r>
        <w:t>16.</w:t>
      </w:r>
      <w:r>
        <w:tab/>
        <w:t>Application of this Part</w:t>
      </w:r>
      <w:r>
        <w:tab/>
      </w:r>
      <w:r>
        <w:fldChar w:fldCharType="begin"/>
      </w:r>
      <w:r>
        <w:instrText xml:space="preserve"> PAGEREF _Toc51681652 \h </w:instrText>
      </w:r>
      <w:r>
        <w:fldChar w:fldCharType="separate"/>
      </w:r>
      <w:r>
        <w:t>14</w:t>
      </w:r>
      <w:r>
        <w:fldChar w:fldCharType="end"/>
      </w:r>
    </w:p>
    <w:p>
      <w:pPr>
        <w:pStyle w:val="TOC8"/>
        <w:rPr>
          <w:rFonts w:asciiTheme="minorHAnsi" w:eastAsiaTheme="minorEastAsia" w:hAnsiTheme="minorHAnsi" w:cstheme="minorBidi"/>
          <w:szCs w:val="22"/>
        </w:rPr>
      </w:pPr>
      <w:r>
        <w:t>17.</w:t>
      </w:r>
      <w:r>
        <w:tab/>
        <w:t>Commercial acts and activities, restrictions on</w:t>
      </w:r>
      <w:r>
        <w:tab/>
      </w:r>
      <w:r>
        <w:fldChar w:fldCharType="begin"/>
      </w:r>
      <w:r>
        <w:instrText xml:space="preserve"> PAGEREF _Toc51681653 \h </w:instrText>
      </w:r>
      <w:r>
        <w:fldChar w:fldCharType="separate"/>
      </w:r>
      <w:r>
        <w:t>14</w:t>
      </w:r>
      <w:r>
        <w:fldChar w:fldCharType="end"/>
      </w:r>
    </w:p>
    <w:p>
      <w:pPr>
        <w:pStyle w:val="TOC8"/>
        <w:rPr>
          <w:rFonts w:asciiTheme="minorHAnsi" w:eastAsiaTheme="minorEastAsia" w:hAnsiTheme="minorHAnsi" w:cstheme="minorBidi"/>
          <w:szCs w:val="22"/>
        </w:rPr>
      </w:pPr>
      <w:r>
        <w:t>18.</w:t>
      </w:r>
      <w:r>
        <w:tab/>
        <w:t>Banks of waters, protection of</w:t>
      </w:r>
      <w:r>
        <w:tab/>
      </w:r>
      <w:r>
        <w:fldChar w:fldCharType="begin"/>
      </w:r>
      <w:r>
        <w:instrText xml:space="preserve"> PAGEREF _Toc51681654 \h </w:instrText>
      </w:r>
      <w:r>
        <w:fldChar w:fldCharType="separate"/>
      </w:r>
      <w:r>
        <w:t>15</w:t>
      </w:r>
      <w:r>
        <w:fldChar w:fldCharType="end"/>
      </w:r>
    </w:p>
    <w:p>
      <w:pPr>
        <w:pStyle w:val="TOC8"/>
        <w:rPr>
          <w:rFonts w:asciiTheme="minorHAnsi" w:eastAsiaTheme="minorEastAsia" w:hAnsiTheme="minorHAnsi" w:cstheme="minorBidi"/>
          <w:szCs w:val="22"/>
        </w:rPr>
      </w:pPr>
      <w:r>
        <w:t>19.</w:t>
      </w:r>
      <w:r>
        <w:tab/>
        <w:t>River bed, restrictions on digging in</w:t>
      </w:r>
      <w:r>
        <w:tab/>
      </w:r>
      <w:r>
        <w:fldChar w:fldCharType="begin"/>
      </w:r>
      <w:r>
        <w:instrText xml:space="preserve"> PAGEREF _Toc51681655 \h </w:instrText>
      </w:r>
      <w:r>
        <w:fldChar w:fldCharType="separate"/>
      </w:r>
      <w:r>
        <w:t>15</w:t>
      </w:r>
      <w:r>
        <w:fldChar w:fldCharType="end"/>
      </w:r>
    </w:p>
    <w:p>
      <w:pPr>
        <w:pStyle w:val="TOC8"/>
        <w:rPr>
          <w:rFonts w:asciiTheme="minorHAnsi" w:eastAsiaTheme="minorEastAsia" w:hAnsiTheme="minorHAnsi" w:cstheme="minorBidi"/>
          <w:szCs w:val="22"/>
        </w:rPr>
      </w:pPr>
      <w:r>
        <w:t>20.</w:t>
      </w:r>
      <w:r>
        <w:tab/>
        <w:t>Worms etc., restrictions on digging for etc.</w:t>
      </w:r>
      <w:r>
        <w:tab/>
      </w:r>
      <w:r>
        <w:fldChar w:fldCharType="begin"/>
      </w:r>
      <w:r>
        <w:instrText xml:space="preserve"> PAGEREF _Toc51681656 \h </w:instrText>
      </w:r>
      <w:r>
        <w:fldChar w:fldCharType="separate"/>
      </w:r>
      <w:r>
        <w:t>15</w:t>
      </w:r>
      <w:r>
        <w:fldChar w:fldCharType="end"/>
      </w:r>
    </w:p>
    <w:p>
      <w:pPr>
        <w:pStyle w:val="TOC8"/>
        <w:rPr>
          <w:rFonts w:asciiTheme="minorHAnsi" w:eastAsiaTheme="minorEastAsia" w:hAnsiTheme="minorHAnsi" w:cstheme="minorBidi"/>
          <w:szCs w:val="22"/>
        </w:rPr>
      </w:pPr>
      <w:r>
        <w:t>21.</w:t>
      </w:r>
      <w:r>
        <w:tab/>
        <w:t>Vegetation, protection of</w:t>
      </w:r>
      <w:r>
        <w:tab/>
      </w:r>
      <w:r>
        <w:fldChar w:fldCharType="begin"/>
      </w:r>
      <w:r>
        <w:instrText xml:space="preserve"> PAGEREF _Toc51681657 \h </w:instrText>
      </w:r>
      <w:r>
        <w:fldChar w:fldCharType="separate"/>
      </w:r>
      <w:r>
        <w:t>16</w:t>
      </w:r>
      <w:r>
        <w:fldChar w:fldCharType="end"/>
      </w:r>
    </w:p>
    <w:p>
      <w:pPr>
        <w:pStyle w:val="TOC8"/>
        <w:rPr>
          <w:rFonts w:asciiTheme="minorHAnsi" w:eastAsiaTheme="minorEastAsia" w:hAnsiTheme="minorHAnsi" w:cstheme="minorBidi"/>
          <w:szCs w:val="22"/>
        </w:rPr>
      </w:pPr>
      <w:r>
        <w:t>22A.</w:t>
      </w:r>
      <w:r>
        <w:tab/>
        <w:t>Vessels unattended, and moorings, on land, restrictions on</w:t>
      </w:r>
      <w:r>
        <w:tab/>
      </w:r>
      <w:r>
        <w:fldChar w:fldCharType="begin"/>
      </w:r>
      <w:r>
        <w:instrText xml:space="preserve"> PAGEREF _Toc51681658 \h </w:instrText>
      </w:r>
      <w:r>
        <w:fldChar w:fldCharType="separate"/>
      </w:r>
      <w:r>
        <w:t>17</w:t>
      </w:r>
      <w:r>
        <w:fldChar w:fldCharType="end"/>
      </w:r>
    </w:p>
    <w:p>
      <w:pPr>
        <w:pStyle w:val="TOC8"/>
        <w:rPr>
          <w:rFonts w:asciiTheme="minorHAnsi" w:eastAsiaTheme="minorEastAsia" w:hAnsiTheme="minorHAnsi" w:cstheme="minorBidi"/>
          <w:szCs w:val="22"/>
        </w:rPr>
      </w:pPr>
      <w:r>
        <w:t>22.</w:t>
      </w:r>
      <w:r>
        <w:tab/>
        <w:t>Launching vessels from trailers, restrictions on</w:t>
      </w:r>
      <w:r>
        <w:tab/>
      </w:r>
      <w:r>
        <w:fldChar w:fldCharType="begin"/>
      </w:r>
      <w:r>
        <w:instrText xml:space="preserve"> PAGEREF _Toc51681659 \h </w:instrText>
      </w:r>
      <w:r>
        <w:fldChar w:fldCharType="separate"/>
      </w:r>
      <w:r>
        <w:t>17</w:t>
      </w:r>
      <w:r>
        <w:fldChar w:fldCharType="end"/>
      </w:r>
    </w:p>
    <w:p>
      <w:pPr>
        <w:pStyle w:val="TOC8"/>
        <w:rPr>
          <w:rFonts w:asciiTheme="minorHAnsi" w:eastAsiaTheme="minorEastAsia" w:hAnsiTheme="minorHAnsi" w:cstheme="minorBidi"/>
          <w:szCs w:val="22"/>
        </w:rPr>
      </w:pPr>
      <w:r>
        <w:t>23.</w:t>
      </w:r>
      <w:r>
        <w:tab/>
        <w:t>Living on vessels, restrictions on</w:t>
      </w:r>
      <w:r>
        <w:tab/>
      </w:r>
      <w:r>
        <w:fldChar w:fldCharType="begin"/>
      </w:r>
      <w:r>
        <w:instrText xml:space="preserve"> PAGEREF _Toc51681660 \h </w:instrText>
      </w:r>
      <w:r>
        <w:fldChar w:fldCharType="separate"/>
      </w:r>
      <w:r>
        <w:t>18</w:t>
      </w:r>
      <w:r>
        <w:fldChar w:fldCharType="end"/>
      </w:r>
    </w:p>
    <w:p>
      <w:pPr>
        <w:pStyle w:val="TOC8"/>
        <w:rPr>
          <w:rFonts w:asciiTheme="minorHAnsi" w:eastAsiaTheme="minorEastAsia" w:hAnsiTheme="minorHAnsi" w:cstheme="minorBidi"/>
          <w:szCs w:val="22"/>
        </w:rPr>
      </w:pPr>
      <w:r>
        <w:t>24.</w:t>
      </w:r>
      <w:r>
        <w:tab/>
        <w:t>Use of Department courtesy moorings</w:t>
      </w:r>
      <w:r>
        <w:tab/>
      </w:r>
      <w:r>
        <w:fldChar w:fldCharType="begin"/>
      </w:r>
      <w:r>
        <w:instrText xml:space="preserve"> PAGEREF _Toc51681661 \h </w:instrText>
      </w:r>
      <w:r>
        <w:fldChar w:fldCharType="separate"/>
      </w:r>
      <w:r>
        <w:t>19</w:t>
      </w:r>
      <w:r>
        <w:fldChar w:fldCharType="end"/>
      </w:r>
    </w:p>
    <w:p>
      <w:pPr>
        <w:pStyle w:val="TOC8"/>
        <w:rPr>
          <w:rFonts w:asciiTheme="minorHAnsi" w:eastAsiaTheme="minorEastAsia" w:hAnsiTheme="minorHAnsi" w:cstheme="minorBidi"/>
          <w:szCs w:val="22"/>
        </w:rPr>
      </w:pPr>
      <w:r>
        <w:t>25.</w:t>
      </w:r>
      <w:r>
        <w:tab/>
        <w:t>Litter</w:t>
      </w:r>
      <w:r>
        <w:tab/>
      </w:r>
      <w:r>
        <w:fldChar w:fldCharType="begin"/>
      </w:r>
      <w:r>
        <w:instrText xml:space="preserve"> PAGEREF _Toc51681662 \h </w:instrText>
      </w:r>
      <w:r>
        <w:fldChar w:fldCharType="separate"/>
      </w:r>
      <w:r>
        <w:t>20</w:t>
      </w:r>
      <w:r>
        <w:fldChar w:fldCharType="end"/>
      </w:r>
    </w:p>
    <w:p>
      <w:pPr>
        <w:pStyle w:val="TOC8"/>
        <w:rPr>
          <w:rFonts w:asciiTheme="minorHAnsi" w:eastAsiaTheme="minorEastAsia" w:hAnsiTheme="minorHAnsi" w:cstheme="minorBidi"/>
          <w:szCs w:val="22"/>
        </w:rPr>
      </w:pPr>
      <w:r>
        <w:t>26.</w:t>
      </w:r>
      <w:r>
        <w:tab/>
        <w:t>Spectator events in River reserve, holding etc.</w:t>
      </w:r>
      <w:r>
        <w:tab/>
      </w:r>
      <w:r>
        <w:fldChar w:fldCharType="begin"/>
      </w:r>
      <w:r>
        <w:instrText xml:space="preserve"> PAGEREF _Toc51681663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Permits</w:t>
      </w:r>
    </w:p>
    <w:p>
      <w:pPr>
        <w:pStyle w:val="TOC8"/>
        <w:rPr>
          <w:rFonts w:asciiTheme="minorHAnsi" w:eastAsiaTheme="minorEastAsia" w:hAnsiTheme="minorHAnsi" w:cstheme="minorBidi"/>
          <w:szCs w:val="22"/>
        </w:rPr>
      </w:pPr>
      <w:r>
        <w:t>27.</w:t>
      </w:r>
      <w:r>
        <w:tab/>
        <w:t>Permit for emergency works etc. (r. 11), application for</w:t>
      </w:r>
      <w:r>
        <w:tab/>
      </w:r>
      <w:r>
        <w:fldChar w:fldCharType="begin"/>
      </w:r>
      <w:r>
        <w:instrText xml:space="preserve"> PAGEREF _Toc51681665 \h </w:instrText>
      </w:r>
      <w:r>
        <w:fldChar w:fldCharType="separate"/>
      </w:r>
      <w:r>
        <w:t>21</w:t>
      </w:r>
      <w:r>
        <w:fldChar w:fldCharType="end"/>
      </w:r>
    </w:p>
    <w:p>
      <w:pPr>
        <w:pStyle w:val="TOC8"/>
        <w:rPr>
          <w:rFonts w:asciiTheme="minorHAnsi" w:eastAsiaTheme="minorEastAsia" w:hAnsiTheme="minorHAnsi" w:cstheme="minorBidi"/>
          <w:szCs w:val="22"/>
        </w:rPr>
      </w:pPr>
      <w:r>
        <w:t>28.</w:t>
      </w:r>
      <w:r>
        <w:tab/>
        <w:t>Permit under these regulations, application for</w:t>
      </w:r>
      <w:r>
        <w:tab/>
      </w:r>
      <w:r>
        <w:fldChar w:fldCharType="begin"/>
      </w:r>
      <w:r>
        <w:instrText xml:space="preserve"> PAGEREF _Toc51681666 \h </w:instrText>
      </w:r>
      <w:r>
        <w:fldChar w:fldCharType="separate"/>
      </w:r>
      <w:r>
        <w:t>21</w:t>
      </w:r>
      <w:r>
        <w:fldChar w:fldCharType="end"/>
      </w:r>
    </w:p>
    <w:p>
      <w:pPr>
        <w:pStyle w:val="TOC8"/>
        <w:rPr>
          <w:rFonts w:asciiTheme="minorHAnsi" w:eastAsiaTheme="minorEastAsia" w:hAnsiTheme="minorHAnsi" w:cstheme="minorBidi"/>
          <w:szCs w:val="22"/>
        </w:rPr>
      </w:pPr>
      <w:r>
        <w:t>29.</w:t>
      </w:r>
      <w:r>
        <w:tab/>
        <w:t>Grant of permit</w:t>
      </w:r>
      <w:r>
        <w:tab/>
      </w:r>
      <w:r>
        <w:fldChar w:fldCharType="begin"/>
      </w:r>
      <w:r>
        <w:instrText xml:space="preserve"> PAGEREF _Toc51681667 \h </w:instrText>
      </w:r>
      <w:r>
        <w:fldChar w:fldCharType="separate"/>
      </w:r>
      <w:r>
        <w:t>22</w:t>
      </w:r>
      <w:r>
        <w:fldChar w:fldCharType="end"/>
      </w:r>
    </w:p>
    <w:p>
      <w:pPr>
        <w:pStyle w:val="TOC8"/>
        <w:rPr>
          <w:rFonts w:asciiTheme="minorHAnsi" w:eastAsiaTheme="minorEastAsia" w:hAnsiTheme="minorHAnsi" w:cstheme="minorBidi"/>
          <w:szCs w:val="22"/>
        </w:rPr>
      </w:pPr>
      <w:r>
        <w:t>30.</w:t>
      </w:r>
      <w:r>
        <w:tab/>
        <w:t>Duration of permit</w:t>
      </w:r>
      <w:r>
        <w:tab/>
      </w:r>
      <w:r>
        <w:fldChar w:fldCharType="begin"/>
      </w:r>
      <w:r>
        <w:instrText xml:space="preserve"> PAGEREF _Toc51681668 \h </w:instrText>
      </w:r>
      <w:r>
        <w:fldChar w:fldCharType="separate"/>
      </w:r>
      <w:r>
        <w:t>22</w:t>
      </w:r>
      <w:r>
        <w:fldChar w:fldCharType="end"/>
      </w:r>
    </w:p>
    <w:p>
      <w:pPr>
        <w:pStyle w:val="TOC8"/>
        <w:rPr>
          <w:rFonts w:asciiTheme="minorHAnsi" w:eastAsiaTheme="minorEastAsia" w:hAnsiTheme="minorHAnsi" w:cstheme="minorBidi"/>
          <w:szCs w:val="22"/>
        </w:rPr>
      </w:pPr>
      <w:r>
        <w:t>31.</w:t>
      </w:r>
      <w:r>
        <w:tab/>
        <w:t>Conditions and restrictions on permit</w:t>
      </w:r>
      <w:r>
        <w:tab/>
      </w:r>
      <w:r>
        <w:fldChar w:fldCharType="begin"/>
      </w:r>
      <w:r>
        <w:instrText xml:space="preserve"> PAGEREF _Toc51681669 \h </w:instrText>
      </w:r>
      <w:r>
        <w:fldChar w:fldCharType="separate"/>
      </w:r>
      <w:r>
        <w:t>22</w:t>
      </w:r>
      <w:r>
        <w:fldChar w:fldCharType="end"/>
      </w:r>
    </w:p>
    <w:p>
      <w:pPr>
        <w:pStyle w:val="TOC8"/>
        <w:rPr>
          <w:rFonts w:asciiTheme="minorHAnsi" w:eastAsiaTheme="minorEastAsia" w:hAnsiTheme="minorHAnsi" w:cstheme="minorBidi"/>
          <w:szCs w:val="22"/>
        </w:rPr>
      </w:pPr>
      <w:r>
        <w:t>32.</w:t>
      </w:r>
      <w:r>
        <w:tab/>
        <w:t>Clerical amendment of permit</w:t>
      </w:r>
      <w:r>
        <w:tab/>
      </w:r>
      <w:r>
        <w:fldChar w:fldCharType="begin"/>
      </w:r>
      <w:r>
        <w:instrText xml:space="preserve"> PAGEREF _Toc51681670 \h </w:instrText>
      </w:r>
      <w:r>
        <w:fldChar w:fldCharType="separate"/>
      </w:r>
      <w:r>
        <w:t>22</w:t>
      </w:r>
      <w:r>
        <w:fldChar w:fldCharType="end"/>
      </w:r>
    </w:p>
    <w:p>
      <w:pPr>
        <w:pStyle w:val="TOC8"/>
        <w:rPr>
          <w:rFonts w:asciiTheme="minorHAnsi" w:eastAsiaTheme="minorEastAsia" w:hAnsiTheme="minorHAnsi" w:cstheme="minorBidi"/>
          <w:szCs w:val="22"/>
        </w:rPr>
      </w:pPr>
      <w:r>
        <w:t>33.</w:t>
      </w:r>
      <w:r>
        <w:tab/>
        <w:t>CEO may revoke or suspend permit</w:t>
      </w:r>
      <w:r>
        <w:tab/>
      </w:r>
      <w:r>
        <w:fldChar w:fldCharType="begin"/>
      </w:r>
      <w:r>
        <w:instrText xml:space="preserve"> PAGEREF _Toc51681671 \h </w:instrText>
      </w:r>
      <w:r>
        <w:fldChar w:fldCharType="separate"/>
      </w:r>
      <w:r>
        <w:t>23</w:t>
      </w:r>
      <w:r>
        <w:fldChar w:fldCharType="end"/>
      </w:r>
    </w:p>
    <w:p>
      <w:pPr>
        <w:pStyle w:val="TOC8"/>
        <w:rPr>
          <w:rFonts w:asciiTheme="minorHAnsi" w:eastAsiaTheme="minorEastAsia" w:hAnsiTheme="minorHAnsi" w:cstheme="minorBidi"/>
          <w:szCs w:val="22"/>
        </w:rPr>
      </w:pPr>
      <w:r>
        <w:t>34.</w:t>
      </w:r>
      <w:r>
        <w:tab/>
        <w:t>Revoking or suspending permit, procedure for</w:t>
      </w:r>
      <w:r>
        <w:tab/>
      </w:r>
      <w:r>
        <w:fldChar w:fldCharType="begin"/>
      </w:r>
      <w:r>
        <w:instrText xml:space="preserve"> PAGEREF _Toc51681672 \h </w:instrText>
      </w:r>
      <w:r>
        <w:fldChar w:fldCharType="separate"/>
      </w:r>
      <w:r>
        <w:t>23</w:t>
      </w:r>
      <w:r>
        <w:fldChar w:fldCharType="end"/>
      </w:r>
    </w:p>
    <w:p>
      <w:pPr>
        <w:pStyle w:val="TOC8"/>
        <w:rPr>
          <w:rFonts w:asciiTheme="minorHAnsi" w:eastAsiaTheme="minorEastAsia" w:hAnsiTheme="minorHAnsi" w:cstheme="minorBidi"/>
          <w:szCs w:val="22"/>
        </w:rPr>
      </w:pPr>
      <w:r>
        <w:t>35.</w:t>
      </w:r>
      <w:r>
        <w:tab/>
        <w:t>Immediate suspension of permit</w:t>
      </w:r>
      <w:r>
        <w:tab/>
      </w:r>
      <w:r>
        <w:fldChar w:fldCharType="begin"/>
      </w:r>
      <w:r>
        <w:instrText xml:space="preserve"> PAGEREF _Toc51681673 \h </w:instrText>
      </w:r>
      <w:r>
        <w:fldChar w:fldCharType="separate"/>
      </w:r>
      <w:r>
        <w:t>24</w:t>
      </w:r>
      <w:r>
        <w:fldChar w:fldCharType="end"/>
      </w:r>
    </w:p>
    <w:p>
      <w:pPr>
        <w:pStyle w:val="TOC8"/>
        <w:rPr>
          <w:rFonts w:asciiTheme="minorHAnsi" w:eastAsiaTheme="minorEastAsia" w:hAnsiTheme="minorHAnsi" w:cstheme="minorBidi"/>
          <w:szCs w:val="22"/>
        </w:rPr>
      </w:pPr>
      <w:r>
        <w:t>36.</w:t>
      </w:r>
      <w:r>
        <w:tab/>
        <w:t>Approval in force at 25 Sep 2007, saving for</w:t>
      </w:r>
      <w:r>
        <w:tab/>
      </w:r>
      <w:r>
        <w:fldChar w:fldCharType="begin"/>
      </w:r>
      <w:r>
        <w:instrText xml:space="preserve"> PAGEREF _Toc51681674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8"/>
        <w:rPr>
          <w:rFonts w:asciiTheme="minorHAnsi" w:eastAsiaTheme="minorEastAsia" w:hAnsiTheme="minorHAnsi" w:cstheme="minorBidi"/>
          <w:szCs w:val="22"/>
        </w:rPr>
      </w:pPr>
      <w:r>
        <w:t>37.</w:t>
      </w:r>
      <w:r>
        <w:tab/>
        <w:t>Offences prescribed (Act s. 123)</w:t>
      </w:r>
      <w:r>
        <w:tab/>
      </w:r>
      <w:r>
        <w:fldChar w:fldCharType="begin"/>
      </w:r>
      <w:r>
        <w:instrText xml:space="preserve"> PAGEREF _Toc51681676 \h </w:instrText>
      </w:r>
      <w:r>
        <w:fldChar w:fldCharType="separate"/>
      </w:r>
      <w:r>
        <w:t>26</w:t>
      </w:r>
      <w:r>
        <w:fldChar w:fldCharType="end"/>
      </w:r>
    </w:p>
    <w:p>
      <w:pPr>
        <w:pStyle w:val="TOC8"/>
        <w:rPr>
          <w:rFonts w:asciiTheme="minorHAnsi" w:eastAsiaTheme="minorEastAsia" w:hAnsiTheme="minorHAnsi" w:cstheme="minorBidi"/>
          <w:szCs w:val="22"/>
        </w:rPr>
      </w:pPr>
      <w:r>
        <w:t>38.</w:t>
      </w:r>
      <w:r>
        <w:tab/>
        <w:t>Modified penalties prescribed (Act s. 123)</w:t>
      </w:r>
      <w:r>
        <w:tab/>
      </w:r>
      <w:r>
        <w:fldChar w:fldCharType="begin"/>
      </w:r>
      <w:r>
        <w:instrText xml:space="preserve"> PAGEREF _Toc51681677 \h </w:instrText>
      </w:r>
      <w:r>
        <w:fldChar w:fldCharType="separate"/>
      </w:r>
      <w:r>
        <w:t>26</w:t>
      </w:r>
      <w:r>
        <w:fldChar w:fldCharType="end"/>
      </w:r>
    </w:p>
    <w:p>
      <w:pPr>
        <w:pStyle w:val="TOC8"/>
        <w:rPr>
          <w:rFonts w:asciiTheme="minorHAnsi" w:eastAsiaTheme="minorEastAsia" w:hAnsiTheme="minorHAnsi" w:cstheme="minorBidi"/>
          <w:szCs w:val="22"/>
        </w:rPr>
      </w:pPr>
      <w:r>
        <w:t>39.</w:t>
      </w:r>
      <w:r>
        <w:tab/>
        <w:t>Infringement notice, form of prescribed (Act s. 123(3))</w:t>
      </w:r>
      <w:r>
        <w:tab/>
      </w:r>
      <w:r>
        <w:fldChar w:fldCharType="begin"/>
      </w:r>
      <w:r>
        <w:instrText xml:space="preserve"> PAGEREF _Toc51681678 \h </w:instrText>
      </w:r>
      <w:r>
        <w:fldChar w:fldCharType="separate"/>
      </w:r>
      <w:r>
        <w:t>26</w:t>
      </w:r>
      <w:r>
        <w:fldChar w:fldCharType="end"/>
      </w:r>
    </w:p>
    <w:p>
      <w:pPr>
        <w:pStyle w:val="TOC8"/>
        <w:rPr>
          <w:rFonts w:asciiTheme="minorHAnsi" w:eastAsiaTheme="minorEastAsia" w:hAnsiTheme="minorHAnsi" w:cstheme="minorBidi"/>
          <w:szCs w:val="22"/>
        </w:rPr>
      </w:pPr>
      <w:r>
        <w:t>40.</w:t>
      </w:r>
      <w:r>
        <w:tab/>
        <w:t>Withdrawal of infringement notice, form of prescribed (Act s. 123(7))</w:t>
      </w:r>
      <w:r>
        <w:tab/>
      </w:r>
      <w:r>
        <w:fldChar w:fldCharType="begin"/>
      </w:r>
      <w:r>
        <w:instrText xml:space="preserve"> PAGEREF _Toc51681679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41.</w:t>
      </w:r>
      <w:r>
        <w:tab/>
        <w:t>Continuing offence, penalty for</w:t>
      </w:r>
      <w:r>
        <w:tab/>
      </w:r>
      <w:r>
        <w:fldChar w:fldCharType="begin"/>
      </w:r>
      <w:r>
        <w:instrText xml:space="preserve"> PAGEREF _Toc51681681 \h </w:instrText>
      </w:r>
      <w:r>
        <w:fldChar w:fldCharType="separate"/>
      </w:r>
      <w:r>
        <w:t>27</w:t>
      </w:r>
      <w:r>
        <w:fldChar w:fldCharType="end"/>
      </w:r>
    </w:p>
    <w:p>
      <w:pPr>
        <w:pStyle w:val="TOC8"/>
        <w:rPr>
          <w:rFonts w:asciiTheme="minorHAnsi" w:eastAsiaTheme="minorEastAsia" w:hAnsiTheme="minorHAnsi" w:cstheme="minorBidi"/>
          <w:szCs w:val="22"/>
        </w:rPr>
      </w:pPr>
      <w:r>
        <w:t>42.</w:t>
      </w:r>
      <w:r>
        <w:tab/>
        <w:t>Rate of interest prescribed (Act s. 103(4))</w:t>
      </w:r>
      <w:r>
        <w:tab/>
      </w:r>
      <w:r>
        <w:fldChar w:fldCharType="begin"/>
      </w:r>
      <w:r>
        <w:instrText xml:space="preserve"> PAGEREF _Toc51681682 \h </w:instrText>
      </w:r>
      <w:r>
        <w:fldChar w:fldCharType="separate"/>
      </w:r>
      <w:r>
        <w:t>27</w:t>
      </w:r>
      <w:r>
        <w:fldChar w:fldCharType="end"/>
      </w:r>
    </w:p>
    <w:p>
      <w:pPr>
        <w:pStyle w:val="TOC8"/>
        <w:rPr>
          <w:rFonts w:asciiTheme="minorHAnsi" w:eastAsiaTheme="minorEastAsia" w:hAnsiTheme="minorHAnsi" w:cstheme="minorBidi"/>
          <w:szCs w:val="22"/>
        </w:rPr>
      </w:pPr>
      <w:r>
        <w:t>43.</w:t>
      </w:r>
      <w:r>
        <w:tab/>
        <w:t>Sch. 5 authority proposing to act in conflict with Act, procedure in case of</w:t>
      </w:r>
      <w:r>
        <w:tab/>
      </w:r>
      <w:r>
        <w:fldChar w:fldCharType="begin"/>
      </w:r>
      <w:r>
        <w:instrText xml:space="preserve"> PAGEREF _Toc51681683 \h </w:instrText>
      </w:r>
      <w:r>
        <w:fldChar w:fldCharType="separate"/>
      </w:r>
      <w:r>
        <w:t>27</w:t>
      </w:r>
      <w:r>
        <w:fldChar w:fldCharType="end"/>
      </w:r>
    </w:p>
    <w:p>
      <w:pPr>
        <w:pStyle w:val="TOC8"/>
        <w:rPr>
          <w:rFonts w:asciiTheme="minorHAnsi" w:eastAsiaTheme="minorEastAsia" w:hAnsiTheme="minorHAnsi" w:cstheme="minorBidi"/>
          <w:szCs w:val="22"/>
        </w:rPr>
      </w:pPr>
      <w:r>
        <w:t>44.</w:t>
      </w:r>
      <w:r>
        <w:tab/>
        <w:t>River reserve leases (Act s. 29), renewal and sublease of</w:t>
      </w:r>
      <w:r>
        <w:tab/>
      </w:r>
      <w:r>
        <w:fldChar w:fldCharType="begin"/>
      </w:r>
      <w:r>
        <w:instrText xml:space="preserve"> PAGEREF _Toc51681684 \h </w:instrText>
      </w:r>
      <w:r>
        <w:fldChar w:fldCharType="separate"/>
      </w:r>
      <w:r>
        <w:t>28</w:t>
      </w:r>
      <w:r>
        <w:fldChar w:fldCharType="end"/>
      </w:r>
    </w:p>
    <w:p>
      <w:pPr>
        <w:pStyle w:val="TOC8"/>
        <w:rPr>
          <w:rFonts w:asciiTheme="minorHAnsi" w:eastAsiaTheme="minorEastAsia" w:hAnsiTheme="minorHAnsi" w:cstheme="minorBidi"/>
          <w:szCs w:val="22"/>
        </w:rPr>
      </w:pPr>
      <w:r>
        <w:t>45.</w:t>
      </w:r>
      <w:r>
        <w:tab/>
        <w:t>Act Schedule 2 amended</w:t>
      </w:r>
      <w:r>
        <w:tab/>
      </w:r>
      <w:r>
        <w:fldChar w:fldCharType="begin"/>
      </w:r>
      <w:r>
        <w:instrText xml:space="preserve"> PAGEREF _Toc51681685 \h </w:instrText>
      </w:r>
      <w:r>
        <w:fldChar w:fldCharType="separate"/>
      </w:r>
      <w:r>
        <w:t>28</w:t>
      </w:r>
      <w:r>
        <w:fldChar w:fldCharType="end"/>
      </w:r>
    </w:p>
    <w:p>
      <w:pPr>
        <w:pStyle w:val="TOC8"/>
        <w:rPr>
          <w:rFonts w:asciiTheme="minorHAnsi" w:eastAsiaTheme="minorEastAsia" w:hAnsiTheme="minorHAnsi" w:cstheme="minorBidi"/>
          <w:szCs w:val="22"/>
        </w:rPr>
      </w:pPr>
      <w:r>
        <w:t>46.</w:t>
      </w:r>
      <w:r>
        <w:tab/>
        <w:t>Act Schedule 3 amended</w:t>
      </w:r>
      <w:r>
        <w:tab/>
      </w:r>
      <w:r>
        <w:fldChar w:fldCharType="begin"/>
      </w:r>
      <w:r>
        <w:instrText xml:space="preserve"> PAGEREF _Toc51681686 \h </w:instrText>
      </w:r>
      <w:r>
        <w:fldChar w:fldCharType="separate"/>
      </w:r>
      <w:r>
        <w:t>29</w:t>
      </w:r>
      <w:r>
        <w:fldChar w:fldCharType="end"/>
      </w:r>
    </w:p>
    <w:p>
      <w:pPr>
        <w:pStyle w:val="TOC8"/>
        <w:rPr>
          <w:rFonts w:asciiTheme="minorHAnsi" w:eastAsiaTheme="minorEastAsia" w:hAnsiTheme="minorHAnsi" w:cstheme="minorBidi"/>
          <w:szCs w:val="22"/>
        </w:rPr>
      </w:pPr>
      <w:r>
        <w:t>47.</w:t>
      </w:r>
      <w:r>
        <w:tab/>
        <w:t>Act Schedule 4 amended</w:t>
      </w:r>
      <w:r>
        <w:tab/>
      </w:r>
      <w:r>
        <w:fldChar w:fldCharType="begin"/>
      </w:r>
      <w:r>
        <w:instrText xml:space="preserve"> PAGEREF _Toc51681687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_Toc51681691 \h </w:instrText>
      </w:r>
      <w:r>
        <w:fldChar w:fldCharType="separate"/>
      </w:r>
      <w:r>
        <w:t>42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_Toc51681692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Swan and Canning Rivers Management Act 2006</w:t>
      </w:r>
    </w:p>
    <w:p>
      <w:pPr>
        <w:pStyle w:val="NameofActReg"/>
      </w:pPr>
      <w:r>
        <w:t>Swan and Canning Rivers Management Regulations 2007</w:t>
      </w:r>
    </w:p>
    <w:p>
      <w:pPr>
        <w:pStyle w:val="Heading2"/>
        <w:pageBreakBefore w:val="0"/>
        <w:spacing w:before="240"/>
      </w:pPr>
      <w:bookmarkStart w:id="3" w:name="_Toc51670423"/>
      <w:bookmarkStart w:id="4" w:name="_Toc51670957"/>
      <w:bookmarkStart w:id="5" w:name="_Toc5168162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51681630"/>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Swan and Canning Rivers Management Regulations 2007</w:t>
      </w:r>
      <w:r>
        <w:t>.</w:t>
      </w:r>
    </w:p>
    <w:p>
      <w:pPr>
        <w:pStyle w:val="PermNoteHeading"/>
      </w:pPr>
      <w:r>
        <w:tab/>
        <w:t>Note:</w:t>
      </w:r>
    </w:p>
    <w:p>
      <w:pPr>
        <w:pStyle w:val="PermNoteText"/>
      </w:pPr>
      <w:r>
        <w:tab/>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8" w:name="_Toc51681631"/>
      <w:r>
        <w:rPr>
          <w:rStyle w:val="CharSectno"/>
        </w:rPr>
        <w:t>2</w:t>
      </w:r>
      <w:r>
        <w:t>.</w:t>
      </w:r>
      <w:r>
        <w:tab/>
        <w:t>Terms used</w:t>
      </w:r>
      <w:bookmarkEnd w:id="8"/>
    </w:p>
    <w:p>
      <w:pPr>
        <w:pStyle w:val="Subsection"/>
      </w:pPr>
      <w:r>
        <w:tab/>
      </w:r>
      <w:r>
        <w:tab/>
        <w:t>In these regulations, unless the contrary intention appears —</w:t>
      </w:r>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tab/>
      </w:r>
      <w:r>
        <w:rPr>
          <w:rStyle w:val="CharDefText"/>
        </w:rPr>
        <w:t>structure</w:t>
      </w:r>
      <w:r>
        <w:t xml:space="preserve"> means any building, shelter, equipment, fence, path, jetty, mooring or other thing that is fixed to land or to anything that is fixed to land;</w:t>
      </w:r>
    </w:p>
    <w:p>
      <w:pPr>
        <w:pStyle w:val="Defstart"/>
      </w:pPr>
      <w:r>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 Gazette 28 Aug 2012 p. 4132-3.]</w:t>
      </w:r>
    </w:p>
    <w:p>
      <w:pPr>
        <w:pStyle w:val="Heading2"/>
      </w:pPr>
      <w:bookmarkStart w:id="9" w:name="_Toc51670426"/>
      <w:bookmarkStart w:id="10" w:name="_Toc51670960"/>
      <w:bookmarkStart w:id="11" w:name="_Toc51681632"/>
      <w:r>
        <w:rPr>
          <w:rStyle w:val="CharPartNo"/>
        </w:rPr>
        <w:t>Part 2</w:t>
      </w:r>
      <w:r>
        <w:t> — </w:t>
      </w:r>
      <w:r>
        <w:rPr>
          <w:rStyle w:val="CharPartText"/>
        </w:rPr>
        <w:t>Development and regulation of related works, acts and activities</w:t>
      </w:r>
      <w:bookmarkEnd w:id="9"/>
      <w:bookmarkEnd w:id="10"/>
      <w:bookmarkEnd w:id="11"/>
    </w:p>
    <w:p>
      <w:pPr>
        <w:pStyle w:val="Heading3"/>
      </w:pPr>
      <w:bookmarkStart w:id="12" w:name="_Toc51670427"/>
      <w:bookmarkStart w:id="13" w:name="_Toc51670961"/>
      <w:bookmarkStart w:id="14" w:name="_Toc51681633"/>
      <w:r>
        <w:rPr>
          <w:rStyle w:val="CharDivNo"/>
        </w:rPr>
        <w:t>Division 1</w:t>
      </w:r>
      <w:r>
        <w:t> — </w:t>
      </w:r>
      <w:r>
        <w:rPr>
          <w:rStyle w:val="CharDivText"/>
        </w:rPr>
        <w:t>Development</w:t>
      </w:r>
      <w:bookmarkEnd w:id="12"/>
      <w:bookmarkEnd w:id="13"/>
      <w:bookmarkEnd w:id="14"/>
    </w:p>
    <w:p>
      <w:pPr>
        <w:pStyle w:val="Ednotesection"/>
        <w:spacing w:before="200"/>
      </w:pPr>
      <w:r>
        <w:t>[</w:t>
      </w:r>
      <w:r>
        <w:rPr>
          <w:b/>
        </w:rPr>
        <w:t>3.</w:t>
      </w:r>
      <w:r>
        <w:tab/>
        <w:t>Deleted: Gazette 28 Aug 2012 p. 4133.]</w:t>
      </w:r>
    </w:p>
    <w:p>
      <w:pPr>
        <w:pStyle w:val="Heading5"/>
        <w:spacing w:before="200"/>
      </w:pPr>
      <w:bookmarkStart w:id="15" w:name="_Toc51681634"/>
      <w:r>
        <w:rPr>
          <w:rStyle w:val="CharSectno"/>
        </w:rPr>
        <w:t>4</w:t>
      </w:r>
      <w:r>
        <w:t>.</w:t>
      </w:r>
      <w:r>
        <w:tab/>
        <w:t xml:space="preserve">Act s. 3(1) </w:t>
      </w:r>
      <w:r>
        <w:rPr>
          <w:i/>
        </w:rPr>
        <w:t>development</w:t>
      </w:r>
      <w:r>
        <w:t>, exclusions from</w:t>
      </w:r>
      <w:bookmarkEnd w:id="15"/>
    </w:p>
    <w:p>
      <w:pPr>
        <w:pStyle w:val="Subsection"/>
        <w:spacing w:before="140"/>
      </w:pPr>
      <w:r>
        <w:tab/>
      </w:r>
      <w:r>
        <w:tab/>
        <w:t>The following works, acts and activities do not constitute development for the purposes of the definition of that term in section 3(1) —</w:t>
      </w:r>
    </w:p>
    <w:p>
      <w:pPr>
        <w:pStyle w:val="Indenta"/>
        <w:spacing w:before="60"/>
      </w:pPr>
      <w:r>
        <w:tab/>
        <w:t>(a)</w:t>
      </w:r>
      <w:r>
        <w:tab/>
        <w:t>the exhibition of a sign, including a traffic control sign or device;</w:t>
      </w:r>
    </w:p>
    <w:p>
      <w:pPr>
        <w:pStyle w:val="Indenta"/>
        <w:spacing w:before="60"/>
      </w:pPr>
      <w:r>
        <w:tab/>
        <w:t>(b)</w:t>
      </w:r>
      <w:r>
        <w:tab/>
        <w:t xml:space="preserve">repairs to or maintenance of an existing structure which — </w:t>
      </w:r>
    </w:p>
    <w:p>
      <w:pPr>
        <w:pStyle w:val="Indenti"/>
        <w:spacing w:before="60"/>
      </w:pPr>
      <w:r>
        <w:tab/>
        <w:t>(i)</w:t>
      </w:r>
      <w:r>
        <w:tab/>
        <w:t>are not related to a change of use of any part of the structure; and</w:t>
      </w:r>
    </w:p>
    <w:p>
      <w:pPr>
        <w:pStyle w:val="Indenti"/>
        <w:spacing w:before="60"/>
      </w:pPr>
      <w:r>
        <w:tab/>
        <w:t>(ii)</w:t>
      </w:r>
      <w:r>
        <w:tab/>
        <w:t>do not alter the structure’s function or appearance;</w:t>
      </w:r>
    </w:p>
    <w:p>
      <w:pPr>
        <w:pStyle w:val="Indenta"/>
        <w:spacing w:before="60"/>
      </w:pPr>
      <w:r>
        <w:tab/>
        <w:t>(c)</w:t>
      </w:r>
      <w:r>
        <w:tab/>
        <w:t>the carrying out of work inside a building which is not related to a change of use of any part of the building and does not alter its external appearance;</w:t>
      </w:r>
    </w:p>
    <w:p>
      <w:pPr>
        <w:pStyle w:val="Indenta"/>
        <w:spacing w:before="60"/>
      </w:pPr>
      <w:r>
        <w:tab/>
        <w:t>(d)</w:t>
      </w:r>
      <w:r>
        <w:tab/>
        <w:t>works, acts and activities urgently required to avoid or mitigate danger to public safety or significant damage to property or the environment;</w:t>
      </w:r>
    </w:p>
    <w:p>
      <w:pPr>
        <w:pStyle w:val="Indenta"/>
        <w:spacing w:before="60"/>
      </w:pPr>
      <w:r>
        <w:tab/>
        <w:t>(e)</w:t>
      </w:r>
      <w:r>
        <w:tab/>
        <w:t xml:space="preserve">works, acts and activities undertaken — </w:t>
      </w:r>
    </w:p>
    <w:p>
      <w:pPr>
        <w:pStyle w:val="Indenti"/>
        <w:spacing w:before="60"/>
      </w:pPr>
      <w:r>
        <w:tab/>
        <w:t>(i)</w:t>
      </w:r>
      <w:r>
        <w:tab/>
        <w:t>by a Schedule 5 authority for the purpose of controlling erosion; or</w:t>
      </w:r>
    </w:p>
    <w:p>
      <w:pPr>
        <w:pStyle w:val="Indenti"/>
        <w:spacing w:before="60"/>
      </w:pPr>
      <w:r>
        <w:tab/>
        <w:t>(ii)</w:t>
      </w:r>
      <w:r>
        <w:tab/>
        <w:t>by any other person for the purpose of controlling erosion on private property that is contiguous with the River reserve;</w:t>
      </w:r>
    </w:p>
    <w:p>
      <w:pPr>
        <w:pStyle w:val="Indenta"/>
        <w:spacing w:before="60"/>
      </w:pPr>
      <w:r>
        <w:tab/>
        <w:t>(f)</w:t>
      </w:r>
      <w:r>
        <w:tab/>
        <w:t>the placement of temporary structures, including structures associated with spectator events, for a period not exceeding 6 months, and the removal of those structures;</w:t>
      </w:r>
    </w:p>
    <w:p>
      <w:pPr>
        <w:pStyle w:val="Indenta"/>
      </w:pPr>
      <w:r>
        <w:tab/>
        <w:t>(ga)</w:t>
      </w:r>
      <w:r>
        <w:tab/>
        <w:t>works, acts and activities by leaseholders that are of a value less than $50 000;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$500 000;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pPr>
      <w:r>
        <w:tab/>
        <w:t>(k)</w:t>
      </w:r>
      <w:r>
        <w:tab/>
        <w:t>maintenance dredging in waters in the Riverpark or development control area;</w:t>
      </w:r>
    </w:p>
    <w:p>
      <w:pPr>
        <w:pStyle w:val="Indenta"/>
      </w:pPr>
      <w:r>
        <w:tab/>
        <w:t>(l)</w:t>
      </w:r>
      <w:r>
        <w:tab/>
        <w:t>scientific studies.</w:t>
      </w:r>
    </w:p>
    <w:p>
      <w:pPr>
        <w:pStyle w:val="Footnotesection"/>
      </w:pPr>
      <w:r>
        <w:tab/>
        <w:t>[Regulation 4 amended: Gazette 28 Aug 2012 p. 4133.]</w:t>
      </w:r>
    </w:p>
    <w:p>
      <w:pPr>
        <w:pStyle w:val="Heading5"/>
      </w:pPr>
      <w:bookmarkStart w:id="16" w:name="_Toc51681635"/>
      <w:r>
        <w:rPr>
          <w:rStyle w:val="CharSectno"/>
        </w:rPr>
        <w:t>5</w:t>
      </w:r>
      <w:r>
        <w:t>.</w:t>
      </w:r>
      <w:r>
        <w:tab/>
        <w:t>Development that CEO may approve (Act. s. 85(1))</w:t>
      </w:r>
      <w:bookmarkEnd w:id="16"/>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tab/>
        <w:t>(b)</w:t>
      </w:r>
      <w:r>
        <w:tab/>
        <w:t>the placement of temporary structures, including structures associated with spectator events, for a period exceeding 6 months but not exceeding 18 months, and the removal of those structures.</w:t>
      </w:r>
    </w:p>
    <w:p>
      <w:pPr>
        <w:pStyle w:val="Footnotesection"/>
      </w:pPr>
      <w:r>
        <w:tab/>
        <w:t>[Regulation 5 amended: Gazette 28 Aug 2012 p. 4133.]</w:t>
      </w:r>
    </w:p>
    <w:p>
      <w:pPr>
        <w:pStyle w:val="Heading5"/>
      </w:pPr>
      <w:bookmarkStart w:id="17" w:name="_Toc51681636"/>
      <w:r>
        <w:rPr>
          <w:rStyle w:val="CharSectno"/>
        </w:rPr>
        <w:t>6</w:t>
      </w:r>
      <w:r>
        <w:t>.</w:t>
      </w:r>
      <w:r>
        <w:tab/>
        <w:t>Form prescribed (Act s. 72)</w:t>
      </w:r>
      <w:bookmarkEnd w:id="17"/>
    </w:p>
    <w:p>
      <w:pPr>
        <w:pStyle w:val="Subsection"/>
      </w:pPr>
      <w:r>
        <w:tab/>
      </w:r>
      <w:r>
        <w:tab/>
        <w:t>Schedule 2 Form 1 is prescribed for the purposes of section 72.</w:t>
      </w:r>
    </w:p>
    <w:p>
      <w:pPr>
        <w:pStyle w:val="Footnotesection"/>
        <w:spacing w:before="100"/>
        <w:ind w:left="890" w:hanging="890"/>
      </w:pPr>
      <w:r>
        <w:tab/>
        <w:t>[Regulation 6 amended: Gazette 28 Aug 2012 p. 4134.]</w:t>
      </w:r>
    </w:p>
    <w:p>
      <w:pPr>
        <w:pStyle w:val="Heading5"/>
      </w:pPr>
      <w:bookmarkStart w:id="18" w:name="_Toc51681637"/>
      <w:r>
        <w:rPr>
          <w:rStyle w:val="CharSectno"/>
        </w:rPr>
        <w:t>7</w:t>
      </w:r>
      <w:r>
        <w:t>.</w:t>
      </w:r>
      <w:r>
        <w:tab/>
        <w:t>Form prescribed (Act s. 89(4))</w:t>
      </w:r>
      <w:bookmarkEnd w:id="18"/>
    </w:p>
    <w:p>
      <w:pPr>
        <w:pStyle w:val="Subsection"/>
      </w:pPr>
      <w:r>
        <w:tab/>
      </w:r>
      <w:r>
        <w:tab/>
        <w:t>Schedule 2 Form 2 is prescribed for the purposes of section 89(4).</w:t>
      </w:r>
    </w:p>
    <w:p>
      <w:pPr>
        <w:pStyle w:val="Footnotesection"/>
        <w:spacing w:before="100"/>
        <w:ind w:left="890" w:hanging="890"/>
      </w:pPr>
      <w:r>
        <w:tab/>
        <w:t>[Regulation 7 amended: Gazette 28 Aug 2012 p. 4134.]</w:t>
      </w:r>
    </w:p>
    <w:p>
      <w:pPr>
        <w:pStyle w:val="Heading3"/>
      </w:pPr>
      <w:bookmarkStart w:id="19" w:name="_Toc51670432"/>
      <w:bookmarkStart w:id="20" w:name="_Toc51670966"/>
      <w:bookmarkStart w:id="21" w:name="_Toc51681638"/>
      <w:r>
        <w:rPr>
          <w:rStyle w:val="CharDivNo"/>
        </w:rPr>
        <w:t>Division 2</w:t>
      </w:r>
      <w:r>
        <w:t> — </w:t>
      </w:r>
      <w:r>
        <w:rPr>
          <w:rStyle w:val="CharDivText"/>
        </w:rPr>
        <w:t>Regulation of works, acts and activities that are not “development”</w:t>
      </w:r>
      <w:bookmarkEnd w:id="19"/>
      <w:bookmarkEnd w:id="20"/>
      <w:bookmarkEnd w:id="21"/>
    </w:p>
    <w:p>
      <w:pPr>
        <w:pStyle w:val="Heading5"/>
      </w:pPr>
      <w:bookmarkStart w:id="22" w:name="_Toc51681639"/>
      <w:r>
        <w:rPr>
          <w:rStyle w:val="CharSectno"/>
        </w:rPr>
        <w:t>8</w:t>
      </w:r>
      <w:r>
        <w:t>.</w:t>
      </w:r>
      <w:r>
        <w:tab/>
        <w:t>Application of this Division</w:t>
      </w:r>
      <w:bookmarkEnd w:id="22"/>
    </w:p>
    <w:p>
      <w:pPr>
        <w:pStyle w:val="Subsection"/>
      </w:pPr>
      <w:r>
        <w:tab/>
      </w:r>
      <w:r>
        <w:tab/>
        <w:t xml:space="preserve">This Division does not apply to anything done in accordance with — </w:t>
      </w:r>
    </w:p>
    <w:p>
      <w:pPr>
        <w:pStyle w:val="Indenta"/>
        <w:spacing w:before="70"/>
      </w:pPr>
      <w:r>
        <w:tab/>
        <w:t>(a)</w:t>
      </w:r>
      <w:r>
        <w:tab/>
        <w:t>an approval for the purposes of section 70; or</w:t>
      </w:r>
    </w:p>
    <w:p>
      <w:pPr>
        <w:pStyle w:val="Indenta"/>
        <w:spacing w:before="70"/>
      </w:pPr>
      <w:r>
        <w:tab/>
        <w:t>(b)</w:t>
      </w:r>
      <w:r>
        <w:tab/>
        <w:t>a determination of the Western Australian Planning Commission under the Metropolitan Region Scheme clause 30A.</w:t>
      </w:r>
    </w:p>
    <w:p>
      <w:pPr>
        <w:pStyle w:val="Footnotesection"/>
        <w:spacing w:before="100"/>
        <w:ind w:left="890" w:hanging="890"/>
      </w:pPr>
      <w:r>
        <w:tab/>
        <w:t>[Regulation 8 amended: Gazette 28 Aug 2012 p. 4134.]</w:t>
      </w:r>
    </w:p>
    <w:p>
      <w:pPr>
        <w:pStyle w:val="Heading5"/>
      </w:pPr>
      <w:bookmarkStart w:id="23" w:name="_Toc51681640"/>
      <w:r>
        <w:rPr>
          <w:rStyle w:val="CharSectno"/>
        </w:rPr>
        <w:t>9</w:t>
      </w:r>
      <w:r>
        <w:t>.</w:t>
      </w:r>
      <w:r>
        <w:tab/>
        <w:t>Signs, restrictions on exhibiting</w:t>
      </w:r>
      <w:bookmarkEnd w:id="23"/>
    </w:p>
    <w:p>
      <w:pPr>
        <w:pStyle w:val="Subsection"/>
      </w:pPr>
      <w:r>
        <w:tab/>
        <w:t>(1)</w:t>
      </w:r>
      <w:r>
        <w:tab/>
        <w:t>A person must not, unless the person has a permit to do so, exhibit a sign in the Riverpark or development control area.</w:t>
      </w:r>
    </w:p>
    <w:p>
      <w:pPr>
        <w:pStyle w:val="Penstart"/>
      </w:pPr>
      <w:r>
        <w:tab/>
        <w:t>Penalty: a fine of $5 000.</w:t>
      </w:r>
    </w:p>
    <w:p>
      <w:pPr>
        <w:pStyle w:val="Subsection"/>
      </w:pPr>
      <w:r>
        <w:tab/>
        <w:t>(2)</w:t>
      </w:r>
      <w:r>
        <w:tab/>
        <w:t xml:space="preserve">Subregulation (1) does not apply to the following signs — </w:t>
      </w:r>
    </w:p>
    <w:p>
      <w:pPr>
        <w:pStyle w:val="Indenta"/>
        <w:spacing w:before="70"/>
      </w:pPr>
      <w:r>
        <w:tab/>
        <w:t>(a)</w:t>
      </w:r>
      <w:r>
        <w:tab/>
        <w:t xml:space="preserve">a sign exhibited with the approval of a Schedule 5 authority that owns or has the care, control and management of the land on which the sign is exhibited if — </w:t>
      </w:r>
    </w:p>
    <w:p>
      <w:pPr>
        <w:pStyle w:val="Indenti"/>
        <w:spacing w:before="70"/>
      </w:pPr>
      <w:r>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CEO for that purpose;</w:t>
      </w:r>
    </w:p>
    <w:p>
      <w:pPr>
        <w:pStyle w:val="Indenta"/>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w:t>
      </w:r>
      <w:r>
        <w:rPr>
          <w:vertAlign w:val="superscript"/>
        </w:rPr>
        <w:sym w:font="Symbol" w:char="F032"/>
      </w:r>
      <w:r>
        <w:t>; or</w:t>
      </w:r>
    </w:p>
    <w:p>
      <w:pPr>
        <w:pStyle w:val="Indenti"/>
      </w:pPr>
      <w:r>
        <w:tab/>
        <w:t>(x)</w:t>
      </w:r>
      <w:r>
        <w:tab/>
        <w:t>a sign on a vehicle or vessel;</w:t>
      </w:r>
    </w:p>
    <w:p>
      <w:pPr>
        <w:pStyle w:val="Indenta"/>
        <w:keepNext/>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pPr>
      <w:r>
        <w:tab/>
        <w:t>(3)</w:t>
      </w:r>
      <w:r>
        <w:tab/>
        <w:t>The CEO may transfer a permit granted for the purposes of this regulation from one person to another.</w:t>
      </w:r>
    </w:p>
    <w:p>
      <w:pPr>
        <w:pStyle w:val="Subsection"/>
      </w:pPr>
      <w:r>
        <w:tab/>
        <w:t>(4)</w:t>
      </w:r>
      <w:r>
        <w:tab/>
        <w:t xml:space="preserve">The CEO may — </w:t>
      </w:r>
    </w:p>
    <w:p>
      <w:pPr>
        <w:pStyle w:val="Indenta"/>
      </w:pPr>
      <w:r>
        <w:tab/>
        <w:t>(a)</w:t>
      </w:r>
      <w:r>
        <w:tab/>
        <w:t>remove any sign exhibited in contravention of this regulation; and</w:t>
      </w:r>
    </w:p>
    <w:p>
      <w:pPr>
        <w:pStyle w:val="Indenta"/>
      </w:pPr>
      <w:r>
        <w:tab/>
        <w:t>(b)</w:t>
      </w:r>
      <w:r>
        <w:tab/>
        <w:t>dispose of the sign so removed as the CEO thinks fit.</w:t>
      </w:r>
    </w:p>
    <w:p>
      <w:pPr>
        <w:pStyle w:val="Subsection"/>
      </w:pPr>
      <w:r>
        <w:tab/>
        <w:t>(5)</w:t>
      </w:r>
      <w:r>
        <w:tab/>
        <w:t>If the CEO removes or disposes of a sign under subregulation (4), the CEO may recover the cost of the removal or disposal in a court of competent jurisdiction from the owner of the sign.</w:t>
      </w:r>
    </w:p>
    <w:p>
      <w:pPr>
        <w:pStyle w:val="Footnotesection"/>
      </w:pPr>
      <w:r>
        <w:tab/>
        <w:t>[Regulation 9 amended: Gazette 28 Aug 2012 p. 4134; 19 Jun 2015 p. 2097</w:t>
      </w:r>
      <w:r>
        <w:noBreakHyphen/>
        <w:t>8 and 2100.]</w:t>
      </w:r>
    </w:p>
    <w:p>
      <w:pPr>
        <w:pStyle w:val="Heading5"/>
      </w:pPr>
      <w:bookmarkStart w:id="24" w:name="_Toc51681641"/>
      <w:r>
        <w:rPr>
          <w:rStyle w:val="CharSectno"/>
        </w:rPr>
        <w:t>10</w:t>
      </w:r>
      <w:r>
        <w:t>.</w:t>
      </w:r>
      <w:r>
        <w:tab/>
      </w:r>
      <w:r>
        <w:rPr>
          <w:spacing w:val="-2"/>
        </w:rPr>
        <w:t>Repair and maintenance of existing structure, restrictions on</w:t>
      </w:r>
      <w:bookmarkEnd w:id="24"/>
    </w:p>
    <w:p>
      <w:pPr>
        <w:pStyle w:val="Subsection"/>
      </w:pPr>
      <w:r>
        <w:tab/>
        <w:t>(1)</w:t>
      </w:r>
      <w:r>
        <w:tab/>
        <w:t xml:space="preserve">In this regulation — </w:t>
      </w:r>
    </w:p>
    <w:p>
      <w:pPr>
        <w:pStyle w:val="Defstar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Next/>
        <w:keepLines/>
      </w:pPr>
      <w:r>
        <w:tab/>
        <w:t>Penalty: a fine of $5 000.</w:t>
      </w:r>
    </w:p>
    <w:p>
      <w:pPr>
        <w:pStyle w:val="Subsection"/>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by a Schedule 5 authority that owns or has the care, control and management of the park; or</w:t>
      </w:r>
    </w:p>
    <w:p>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pPr>
        <w:pStyle w:val="Indenta"/>
      </w:pPr>
      <w:r>
        <w:tab/>
        <w:t>(d)</w:t>
      </w:r>
      <w:r>
        <w:tab/>
        <w:t>works referred to in regulation 4(c).</w:t>
      </w:r>
    </w:p>
    <w:p>
      <w:pPr>
        <w:pStyle w:val="Footnotesection"/>
        <w:spacing w:before="100"/>
        <w:ind w:left="890" w:hanging="890"/>
      </w:pPr>
      <w:r>
        <w:tab/>
        <w:t>[Regulation 10 amended: Gazette 28 Aug 2012 p. 4134.]</w:t>
      </w:r>
    </w:p>
    <w:p>
      <w:pPr>
        <w:pStyle w:val="Heading5"/>
        <w:spacing w:before="200"/>
      </w:pPr>
      <w:bookmarkStart w:id="25" w:name="_Toc51681642"/>
      <w:r>
        <w:rPr>
          <w:rStyle w:val="CharSectno"/>
        </w:rPr>
        <w:t>11</w:t>
      </w:r>
      <w:r>
        <w:t>.</w:t>
      </w:r>
      <w:r>
        <w:tab/>
        <w:t>Emergency works etc., restrictions on</w:t>
      </w:r>
      <w:bookmarkEnd w:id="25"/>
    </w:p>
    <w:p>
      <w:pPr>
        <w:pStyle w:val="Subsection"/>
        <w:spacing w:before="120"/>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spacing w:before="120"/>
      </w:pPr>
      <w:r>
        <w:tab/>
        <w:t>(2)</w:t>
      </w:r>
      <w:r>
        <w:tab/>
        <w:t>A person must not, unless the person has a permit to do so, undertake any emergency works, acts or activities in the Riverpark or development control area.</w:t>
      </w:r>
    </w:p>
    <w:p>
      <w:pPr>
        <w:pStyle w:val="Penstart"/>
      </w:pPr>
      <w:r>
        <w:tab/>
        <w:t>Penalty: a fine of $5 000.</w:t>
      </w:r>
    </w:p>
    <w:p>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spacing w:before="120"/>
      </w:pPr>
      <w:r>
        <w:tab/>
        <w:t>(4)</w:t>
      </w:r>
      <w:r>
        <w:tab/>
        <w:t xml:space="preserve">It is a defence to proceedings for an offence under this regulation if — </w:t>
      </w:r>
    </w:p>
    <w:p>
      <w:pPr>
        <w:pStyle w:val="Indenta"/>
        <w:spacing w:before="60"/>
      </w:pPr>
      <w:r>
        <w:tab/>
        <w:t>(a)</w:t>
      </w:r>
      <w:r>
        <w:tab/>
        <w:t xml:space="preserve">the person charged with that offence proves that — </w:t>
      </w:r>
    </w:p>
    <w:p>
      <w:pPr>
        <w:pStyle w:val="Indenti"/>
        <w:spacing w:before="60"/>
      </w:pPr>
      <w:r>
        <w:tab/>
        <w:t>(i)</w:t>
      </w:r>
      <w:r>
        <w:tab/>
        <w:t>the person took all reasonable precautions to avoid the need for the emergency works, acts or activities; and</w:t>
      </w:r>
    </w:p>
    <w:p>
      <w:pPr>
        <w:pStyle w:val="Indenti"/>
        <w:spacing w:before="60"/>
      </w:pPr>
      <w:r>
        <w:tab/>
        <w:t>(ii)</w:t>
      </w:r>
      <w:r>
        <w:tab/>
        <w:t>it was not reasonably practicable to obtain a permit before undertaking the emergency works, acts or activities; and</w:t>
      </w:r>
    </w:p>
    <w:p>
      <w:pPr>
        <w:pStyle w:val="Indenti"/>
        <w:spacing w:before="60"/>
      </w:pPr>
      <w:r>
        <w:tab/>
        <w:t>(iii)</w:t>
      </w:r>
      <w:r>
        <w:tab/>
        <w:t>as soon as was reasonably practicable the person gave the CEO written notification of the emergency works, acts or activities;</w:t>
      </w:r>
    </w:p>
    <w:p>
      <w:pPr>
        <w:pStyle w:val="Indenta"/>
        <w:spacing w:before="20"/>
      </w:pPr>
      <w:r>
        <w:tab/>
      </w:r>
      <w:r>
        <w:tab/>
        <w:t>or</w:t>
      </w:r>
    </w:p>
    <w:p>
      <w:pPr>
        <w:pStyle w:val="Indenta"/>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r>
        <w:tab/>
        <w:t>[Regulation 11 amended: Gazette 28 Aug 2012 p. 4134; 19 Jun 2015 p. 2100.]</w:t>
      </w:r>
    </w:p>
    <w:p>
      <w:pPr>
        <w:pStyle w:val="Heading5"/>
      </w:pPr>
      <w:bookmarkStart w:id="26" w:name="_Toc51681643"/>
      <w:r>
        <w:rPr>
          <w:rStyle w:val="CharSectno"/>
        </w:rPr>
        <w:t>12</w:t>
      </w:r>
      <w:r>
        <w:t>.</w:t>
      </w:r>
      <w:r>
        <w:tab/>
        <w:t>Erosion control, restrictions on</w:t>
      </w:r>
      <w:bookmarkEnd w:id="26"/>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a fine of $5 000.</w:t>
      </w:r>
    </w:p>
    <w:p>
      <w:pPr>
        <w:pStyle w:val="Subsection"/>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pPr>
      <w:r>
        <w:tab/>
        <w:t>(b)</w:t>
      </w:r>
      <w:r>
        <w:tab/>
        <w:t>the authority has a permit to do so.</w:t>
      </w:r>
    </w:p>
    <w:p>
      <w:pPr>
        <w:pStyle w:val="Penstart"/>
      </w:pPr>
      <w:r>
        <w:tab/>
        <w:t>Penalty: a fine of $5 000.</w:t>
      </w:r>
    </w:p>
    <w:p>
      <w:pPr>
        <w:pStyle w:val="Footnotesection"/>
      </w:pPr>
      <w:r>
        <w:tab/>
        <w:t>[Regulation 12 amended: Gazette 28 Aug 2012 p. 4135.]</w:t>
      </w:r>
    </w:p>
    <w:p>
      <w:pPr>
        <w:pStyle w:val="Heading5"/>
      </w:pPr>
      <w:bookmarkStart w:id="27" w:name="_Toc51681644"/>
      <w:r>
        <w:rPr>
          <w:rStyle w:val="CharSectno"/>
        </w:rPr>
        <w:t>13</w:t>
      </w:r>
      <w:r>
        <w:t>.</w:t>
      </w:r>
      <w:r>
        <w:tab/>
        <w:t>Temporary structures, restrictions on placing etc.</w:t>
      </w:r>
      <w:bookmarkEnd w:id="27"/>
    </w:p>
    <w:p>
      <w:pPr>
        <w:pStyle w:val="Subsection"/>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pPr>
      <w:r>
        <w:tab/>
        <w:t>(2)</w:t>
      </w:r>
      <w:r>
        <w:tab/>
        <w:t xml:space="preserve">A person must not place or remove a temporary structure, including a structure associated with a spectator event, in the Riverpark or development control area unless — </w:t>
      </w:r>
    </w:p>
    <w:p>
      <w:pPr>
        <w:pStyle w:val="Indenta"/>
        <w:spacing w:before="70"/>
      </w:pPr>
      <w:r>
        <w:tab/>
        <w:t>(a)</w:t>
      </w:r>
      <w:r>
        <w:tab/>
        <w:t>the temporary structure relates to an act or activity referred to in regulation 17(2)(b); or</w:t>
      </w:r>
    </w:p>
    <w:p>
      <w:pPr>
        <w:pStyle w:val="Indenta"/>
        <w:spacing w:before="70"/>
      </w:pPr>
      <w:r>
        <w:tab/>
        <w:t>(b)</w:t>
      </w:r>
      <w:r>
        <w:tab/>
        <w:t>the person has a permit to do so.</w:t>
      </w:r>
    </w:p>
    <w:p>
      <w:pPr>
        <w:pStyle w:val="Penstart"/>
      </w:pPr>
      <w:r>
        <w:tab/>
        <w:t>Penalty: a fine of $5 000.</w:t>
      </w:r>
    </w:p>
    <w:p>
      <w:pPr>
        <w:pStyle w:val="Footnotesection"/>
      </w:pPr>
      <w:r>
        <w:tab/>
        <w:t>[Regulation 13 amended: Gazette 28 Aug 2012 p. 4135.]</w:t>
      </w:r>
    </w:p>
    <w:p>
      <w:pPr>
        <w:pStyle w:val="Heading5"/>
      </w:pPr>
      <w:bookmarkStart w:id="28" w:name="_Toc51681645"/>
      <w:r>
        <w:rPr>
          <w:rStyle w:val="CharSectno"/>
        </w:rPr>
        <w:t>14A</w:t>
      </w:r>
      <w:r>
        <w:t>.</w:t>
      </w:r>
      <w:r>
        <w:tab/>
        <w:t>Leaseholders, restrictions on works by</w:t>
      </w:r>
      <w:bookmarkEnd w:id="28"/>
    </w:p>
    <w:p>
      <w:pPr>
        <w:pStyle w:val="Subsection"/>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12 or 15.</w:t>
      </w:r>
    </w:p>
    <w:p>
      <w:pPr>
        <w:pStyle w:val="Subsection"/>
      </w:pPr>
      <w:r>
        <w:tab/>
        <w:t>(2)</w:t>
      </w:r>
      <w:r>
        <w:tab/>
        <w:t>A leaseholder must not undertake any works in the Riverpark or development control area unless the leaseholder has a permit to do so.</w:t>
      </w:r>
    </w:p>
    <w:p>
      <w:pPr>
        <w:pStyle w:val="Penstart"/>
      </w:pPr>
      <w:r>
        <w:tab/>
        <w:t>Penalty: a fine of $5 000.</w:t>
      </w:r>
    </w:p>
    <w:p>
      <w:pPr>
        <w:pStyle w:val="Footnotesection"/>
      </w:pPr>
      <w:r>
        <w:tab/>
        <w:t>[Regulation 14A inserted: Gazette 28 Aug 2012 p. 4135.]</w:t>
      </w:r>
    </w:p>
    <w:p>
      <w:pPr>
        <w:pStyle w:val="Heading5"/>
      </w:pPr>
      <w:bookmarkStart w:id="29" w:name="_Toc51681646"/>
      <w:r>
        <w:rPr>
          <w:rStyle w:val="CharSectno"/>
        </w:rPr>
        <w:t>14</w:t>
      </w:r>
      <w:r>
        <w:t>.</w:t>
      </w:r>
      <w:r>
        <w:tab/>
        <w:t>Sch. 5 authorities, restrictions on works by</w:t>
      </w:r>
      <w:bookmarkEnd w:id="29"/>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10,12 or 15.</w:t>
      </w:r>
    </w:p>
    <w:p>
      <w:pPr>
        <w:pStyle w:val="Subsection"/>
      </w:pPr>
      <w:r>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pPr>
      <w:r>
        <w:tab/>
        <w:t>(b)</w:t>
      </w:r>
      <w:r>
        <w:tab/>
        <w:t>the authority has a permit to do so.</w:t>
      </w:r>
    </w:p>
    <w:p>
      <w:pPr>
        <w:pStyle w:val="Penstart"/>
      </w:pPr>
      <w:r>
        <w:tab/>
        <w:t>Penalty: a fine of $5 000.</w:t>
      </w:r>
    </w:p>
    <w:p>
      <w:pPr>
        <w:pStyle w:val="Footnotesection"/>
      </w:pPr>
      <w:r>
        <w:tab/>
        <w:t>[Regulation 14 amended: Gazette 28 Aug 2012 p. 4136.]</w:t>
      </w:r>
    </w:p>
    <w:p>
      <w:pPr>
        <w:pStyle w:val="Heading5"/>
      </w:pPr>
      <w:bookmarkStart w:id="30" w:name="_Toc51681647"/>
      <w:r>
        <w:rPr>
          <w:rStyle w:val="CharSectno"/>
        </w:rPr>
        <w:t>15</w:t>
      </w:r>
      <w:r>
        <w:t>.</w:t>
      </w:r>
      <w:r>
        <w:tab/>
        <w:t>Fire hazard reduction, restrictions on</w:t>
      </w:r>
      <w:bookmarkEnd w:id="30"/>
    </w:p>
    <w:p>
      <w:pPr>
        <w:pStyle w:val="Subsection"/>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pPr>
      <w:r>
        <w:tab/>
        <w:t>(2)</w:t>
      </w:r>
      <w:r>
        <w:tab/>
        <w:t xml:space="preserve">A person must not, unless the person has a permit to do so, undertake fire hazard reduction in the Riverpark or development control area unless the fire hazard reduction is carried out — </w:t>
      </w:r>
    </w:p>
    <w:p>
      <w:pPr>
        <w:pStyle w:val="Indenta"/>
        <w:spacing w:before="60"/>
      </w:pPr>
      <w:r>
        <w:tab/>
        <w:t>(a)</w:t>
      </w:r>
      <w:r>
        <w:tab/>
        <w:t>in accordance with a management programme; or</w:t>
      </w:r>
    </w:p>
    <w:p>
      <w:pPr>
        <w:pStyle w:val="Indenta"/>
        <w:spacing w:before="60"/>
      </w:pPr>
      <w:r>
        <w:tab/>
        <w:t>(b)</w:t>
      </w:r>
      <w:r>
        <w:tab/>
        <w:t>in the course of fighting a fire.</w:t>
      </w:r>
    </w:p>
    <w:p>
      <w:pPr>
        <w:pStyle w:val="Penstart"/>
      </w:pPr>
      <w:r>
        <w:tab/>
        <w:t>Penalty: a fine of $5 000.</w:t>
      </w:r>
    </w:p>
    <w:p>
      <w:pPr>
        <w:pStyle w:val="Footnotesection"/>
      </w:pPr>
      <w:r>
        <w:tab/>
        <w:t>[Regulation 15 amended: Gazette 28 Aug 2012 p. 4136.]</w:t>
      </w:r>
    </w:p>
    <w:p>
      <w:pPr>
        <w:pStyle w:val="Heading5"/>
      </w:pPr>
      <w:bookmarkStart w:id="31" w:name="_Toc51681648"/>
      <w:r>
        <w:rPr>
          <w:rStyle w:val="CharSectno"/>
        </w:rPr>
        <w:t>16A</w:t>
      </w:r>
      <w:r>
        <w:t>.</w:t>
      </w:r>
      <w:r>
        <w:tab/>
        <w:t>Aircraft activity, restrictions on</w:t>
      </w:r>
      <w:bookmarkEnd w:id="31"/>
    </w:p>
    <w:p>
      <w:pPr>
        <w:pStyle w:val="Subsection"/>
      </w:pPr>
      <w:r>
        <w:tab/>
        <w:t>(1)</w:t>
      </w:r>
      <w:r>
        <w:tab/>
        <w:t xml:space="preserve">In this regulation — </w:t>
      </w:r>
    </w:p>
    <w:p>
      <w:pPr>
        <w:pStyle w:val="Defstart"/>
      </w:pPr>
      <w:r>
        <w:tab/>
      </w:r>
      <w:r>
        <w:rPr>
          <w:rStyle w:val="CharDefText"/>
        </w:rPr>
        <w:t>aircraft</w:t>
      </w:r>
      <w:r>
        <w:t xml:space="preserve"> means a machine that can derive support in the atmosphere from buoyancy or the reactions of the air but does not include a hovercraft;</w:t>
      </w:r>
    </w:p>
    <w:p>
      <w:pPr>
        <w:pStyle w:val="Defstart"/>
      </w:pPr>
      <w:r>
        <w:tab/>
      </w:r>
      <w:r>
        <w:rPr>
          <w:rStyle w:val="CharDefText"/>
        </w:rPr>
        <w:t>aircraft activity</w:t>
      </w:r>
      <w:r>
        <w:t xml:space="preserve"> means all or any of the following — </w:t>
      </w:r>
    </w:p>
    <w:p>
      <w:pPr>
        <w:pStyle w:val="Defpara"/>
        <w:spacing w:before="60"/>
      </w:pPr>
      <w:r>
        <w:tab/>
        <w:t>(a)</w:t>
      </w:r>
      <w:r>
        <w:tab/>
        <w:t>the landing or touching down of an aircraft;</w:t>
      </w:r>
    </w:p>
    <w:p>
      <w:pPr>
        <w:pStyle w:val="Defpara"/>
        <w:spacing w:before="60"/>
      </w:pPr>
      <w:r>
        <w:tab/>
        <w:t>(b)</w:t>
      </w:r>
      <w:r>
        <w:tab/>
        <w:t>the take off of an aircraft;</w:t>
      </w:r>
    </w:p>
    <w:p>
      <w:pPr>
        <w:pStyle w:val="Defpara"/>
        <w:spacing w:before="60"/>
      </w:pPr>
      <w:r>
        <w:tab/>
        <w:t>(c)</w:t>
      </w:r>
      <w:r>
        <w:tab/>
        <w:t>the standing, parking, docking or mooring of an aircraft;</w:t>
      </w:r>
    </w:p>
    <w:p>
      <w:pPr>
        <w:pStyle w:val="Defpara"/>
        <w:spacing w:before="60"/>
      </w:pPr>
      <w:r>
        <w:tab/>
        <w:t>(d)</w:t>
      </w:r>
      <w:r>
        <w:tab/>
        <w:t>the embarkation of passengers onto or disembarkation of passengers from an aircraft;</w:t>
      </w:r>
    </w:p>
    <w:p>
      <w:pPr>
        <w:pStyle w:val="Defpara"/>
        <w:spacing w:before="60"/>
      </w:pPr>
      <w:r>
        <w:tab/>
        <w:t>(e)</w:t>
      </w:r>
      <w:r>
        <w:tab/>
        <w:t>the loading of freight onto or the unloading of freight from an aircraft;</w:t>
      </w:r>
    </w:p>
    <w:p>
      <w:pPr>
        <w:pStyle w:val="Defpara"/>
        <w:spacing w:before="60"/>
      </w:pPr>
      <w:r>
        <w:tab/>
        <w:t>(f)</w:t>
      </w:r>
      <w:r>
        <w:tab/>
        <w:t>the refuelling, servicing or repair of an aircraft.</w:t>
      </w:r>
    </w:p>
    <w:p>
      <w:pPr>
        <w:pStyle w:val="Subsection"/>
      </w:pPr>
      <w:r>
        <w:tab/>
        <w:t>(2)</w:t>
      </w:r>
      <w:r>
        <w:tab/>
        <w:t xml:space="preserve">A person must not undertake any aircraft activity in the Riverpark or development control area unless — </w:t>
      </w:r>
    </w:p>
    <w:p>
      <w:pPr>
        <w:pStyle w:val="Indenta"/>
        <w:spacing w:before="60"/>
      </w:pPr>
      <w:r>
        <w:tab/>
        <w:t>(a)</w:t>
      </w:r>
      <w:r>
        <w:tab/>
        <w:t>the activity is urgently required to avoid or mitigate danger to public safety or significant damage to property or the environment; or</w:t>
      </w:r>
    </w:p>
    <w:p>
      <w:pPr>
        <w:pStyle w:val="Indenta"/>
      </w:pPr>
      <w:r>
        <w:tab/>
        <w:t>(b)</w:t>
      </w:r>
      <w:r>
        <w:tab/>
        <w:t xml:space="preserve">the person has — </w:t>
      </w:r>
    </w:p>
    <w:p>
      <w:pPr>
        <w:pStyle w:val="Indenti"/>
      </w:pPr>
      <w:r>
        <w:tab/>
        <w:t>(i)</w:t>
      </w:r>
      <w:r>
        <w:tab/>
        <w:t>a licence to do so granted under section 32; or</w:t>
      </w:r>
    </w:p>
    <w:p>
      <w:pPr>
        <w:pStyle w:val="Indenti"/>
      </w:pPr>
      <w:r>
        <w:tab/>
        <w:t>(ii)</w:t>
      </w:r>
      <w:r>
        <w:tab/>
        <w:t>a permit to do so.</w:t>
      </w:r>
    </w:p>
    <w:p>
      <w:pPr>
        <w:pStyle w:val="Penstart"/>
      </w:pPr>
      <w:r>
        <w:tab/>
        <w:t>Penalty: a fine of $5 000.</w:t>
      </w:r>
    </w:p>
    <w:p>
      <w:pPr>
        <w:pStyle w:val="Footnotesection"/>
      </w:pPr>
      <w:r>
        <w:tab/>
        <w:t>[Regulation 16A inserted: Gazette 28 Aug 2012 p. 4136.]</w:t>
      </w:r>
    </w:p>
    <w:p>
      <w:pPr>
        <w:pStyle w:val="Heading5"/>
      </w:pPr>
      <w:bookmarkStart w:id="32" w:name="_Toc51681649"/>
      <w:r>
        <w:rPr>
          <w:rStyle w:val="CharSectno"/>
        </w:rPr>
        <w:t>16B</w:t>
      </w:r>
      <w:r>
        <w:t>.</w:t>
      </w:r>
      <w:r>
        <w:tab/>
        <w:t>Maintenance dredging, restrictions on</w:t>
      </w:r>
      <w:bookmarkEnd w:id="32"/>
    </w:p>
    <w:p>
      <w:pPr>
        <w:pStyle w:val="Subsection"/>
      </w:pPr>
      <w:r>
        <w:tab/>
      </w:r>
      <w:r>
        <w:tab/>
        <w:t>A person must not, except in accordance with a permit, undertake maintenance dredging in waters in the Riverpark or development control area.</w:t>
      </w:r>
    </w:p>
    <w:p>
      <w:pPr>
        <w:pStyle w:val="Penstart"/>
      </w:pPr>
      <w:r>
        <w:tab/>
        <w:t>Penalty: a fine of $5 000.</w:t>
      </w:r>
    </w:p>
    <w:p>
      <w:pPr>
        <w:pStyle w:val="Footnotesection"/>
      </w:pPr>
      <w:r>
        <w:tab/>
        <w:t>[Regulation 16B inserted: Gazette 28 Aug 2012 p. 4137.]</w:t>
      </w:r>
    </w:p>
    <w:p>
      <w:pPr>
        <w:pStyle w:val="Heading5"/>
      </w:pPr>
      <w:bookmarkStart w:id="33" w:name="_Toc51681650"/>
      <w:r>
        <w:rPr>
          <w:rStyle w:val="CharSectno"/>
        </w:rPr>
        <w:t>16C</w:t>
      </w:r>
      <w:r>
        <w:t>.</w:t>
      </w:r>
      <w:r>
        <w:tab/>
        <w:t>Scientific studies, restrictions on</w:t>
      </w:r>
      <w:bookmarkEnd w:id="33"/>
    </w:p>
    <w:p>
      <w:pPr>
        <w:pStyle w:val="Subsection"/>
      </w:pPr>
      <w:r>
        <w:tab/>
      </w:r>
      <w:r>
        <w:tab/>
        <w:t>A person must not, except in accordance with a permit, undertake any scientific studies in the Riverpark or development control area.</w:t>
      </w:r>
    </w:p>
    <w:p>
      <w:pPr>
        <w:pStyle w:val="Penstart"/>
      </w:pPr>
      <w:r>
        <w:tab/>
        <w:t>Penalty: a fine of $5 000.</w:t>
      </w:r>
    </w:p>
    <w:p>
      <w:pPr>
        <w:pStyle w:val="Footnotesection"/>
      </w:pPr>
      <w:r>
        <w:tab/>
        <w:t>[Regulation 16C inserted: Gazette 28 Aug 2012 p. 4137.]</w:t>
      </w:r>
    </w:p>
    <w:p>
      <w:pPr>
        <w:pStyle w:val="Heading2"/>
      </w:pPr>
      <w:bookmarkStart w:id="34" w:name="_Toc51670445"/>
      <w:bookmarkStart w:id="35" w:name="_Toc51670979"/>
      <w:bookmarkStart w:id="36" w:name="_Toc51681651"/>
      <w:r>
        <w:rPr>
          <w:rStyle w:val="CharPartNo"/>
        </w:rPr>
        <w:t>Part 3</w:t>
      </w:r>
      <w:r>
        <w:rPr>
          <w:rStyle w:val="CharDivNo"/>
        </w:rPr>
        <w:t> </w:t>
      </w:r>
      <w:r>
        <w:t>—</w:t>
      </w:r>
      <w:r>
        <w:rPr>
          <w:rStyle w:val="CharDivText"/>
        </w:rPr>
        <w:t> </w:t>
      </w:r>
      <w:r>
        <w:rPr>
          <w:rStyle w:val="CharPartText"/>
        </w:rPr>
        <w:t>Protection of Riverpark and development control area</w:t>
      </w:r>
      <w:bookmarkEnd w:id="34"/>
      <w:bookmarkEnd w:id="35"/>
      <w:bookmarkEnd w:id="36"/>
    </w:p>
    <w:p>
      <w:pPr>
        <w:pStyle w:val="Heading5"/>
      </w:pPr>
      <w:bookmarkStart w:id="37" w:name="_Toc51681652"/>
      <w:r>
        <w:rPr>
          <w:rStyle w:val="CharSectno"/>
        </w:rPr>
        <w:t>16</w:t>
      </w:r>
      <w:r>
        <w:t>.</w:t>
      </w:r>
      <w:r>
        <w:tab/>
        <w:t>Application of this Part</w:t>
      </w:r>
      <w:bookmarkEnd w:id="37"/>
    </w:p>
    <w:p>
      <w:pPr>
        <w:pStyle w:val="Subsection"/>
      </w:pPr>
      <w:r>
        <w:tab/>
      </w:r>
      <w:r>
        <w:tab/>
        <w:t xml:space="preserve">This Part does not apply to anything done in accordance with — </w:t>
      </w:r>
    </w:p>
    <w:p>
      <w:pPr>
        <w:pStyle w:val="Indenta"/>
      </w:pPr>
      <w:r>
        <w:tab/>
        <w:t>(a)</w:t>
      </w:r>
      <w:r>
        <w:tab/>
        <w:t>an approval for the purposes of section 70; or</w:t>
      </w:r>
    </w:p>
    <w:p>
      <w:pPr>
        <w:pStyle w:val="Indenta"/>
      </w:pPr>
      <w:r>
        <w:tab/>
        <w:t>(b)</w:t>
      </w:r>
      <w:r>
        <w:tab/>
        <w:t>a determination of the Western Australian Planning Commission under the Metropolitan Region Scheme clause 30A.</w:t>
      </w:r>
    </w:p>
    <w:p>
      <w:pPr>
        <w:pStyle w:val="Footnotesection"/>
      </w:pPr>
      <w:r>
        <w:tab/>
        <w:t>[Regulation 16 amended: Gazette 28 Aug 2012 p. 4137.]</w:t>
      </w:r>
    </w:p>
    <w:p>
      <w:pPr>
        <w:pStyle w:val="Heading5"/>
      </w:pPr>
      <w:bookmarkStart w:id="38" w:name="_Toc51681653"/>
      <w:r>
        <w:rPr>
          <w:rStyle w:val="CharSectno"/>
        </w:rPr>
        <w:t>17</w:t>
      </w:r>
      <w:r>
        <w:t>.</w:t>
      </w:r>
      <w:r>
        <w:tab/>
        <w:t>Commercial acts and activities, restrictions on</w:t>
      </w:r>
      <w:bookmarkEnd w:id="38"/>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a fine of $5 000.</w:t>
      </w:r>
    </w:p>
    <w:p>
      <w:pPr>
        <w:pStyle w:val="Subsection"/>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pPr>
      <w:r>
        <w:tab/>
        <w:t>(b)</w:t>
      </w:r>
      <w:r>
        <w:tab/>
        <w:t xml:space="preserve">is undertaken — </w:t>
      </w:r>
    </w:p>
    <w:p>
      <w:pPr>
        <w:pStyle w:val="Indenti"/>
      </w:pPr>
      <w:r>
        <w:tab/>
        <w:t>(i)</w:t>
      </w:r>
      <w:r>
        <w:tab/>
        <w:t xml:space="preserve">in accordance with a licence or permit granted under the </w:t>
      </w:r>
      <w:r>
        <w:rPr>
          <w:i/>
        </w:rPr>
        <w:t>Conservation and Land Management Act 1984</w:t>
      </w:r>
      <w:r>
        <w:t xml:space="preserve"> section 101; or</w:t>
      </w:r>
    </w:p>
    <w:p>
      <w:pPr>
        <w:pStyle w:val="Indenti"/>
      </w:pPr>
      <w:r>
        <w:tab/>
        <w:t>(ii)</w:t>
      </w:r>
      <w:r>
        <w:tab/>
        <w:t xml:space="preserve">in accordance with a licence granted under the </w:t>
      </w:r>
      <w:r>
        <w:rPr>
          <w:i/>
        </w:rPr>
        <w:t>Fish Resources Management Regulations 1995</w:t>
      </w:r>
      <w:r>
        <w:t xml:space="preserve"> Part 11 Division 1 or 5; or</w:t>
      </w:r>
    </w:p>
    <w:p>
      <w:pPr>
        <w:pStyle w:val="Indenti"/>
      </w:pPr>
      <w:r>
        <w:tab/>
        <w:t>(iii)</w:t>
      </w:r>
      <w:r>
        <w:tab/>
        <w:t>in accordance with a permit granted under regulation 26; or</w:t>
      </w:r>
    </w:p>
    <w:p>
      <w:pPr>
        <w:pStyle w:val="Indenti"/>
      </w:pPr>
      <w:r>
        <w:tab/>
        <w:t>(iv)</w:t>
      </w:r>
      <w:r>
        <w:tab/>
        <w:t>in the course of an event referred to in regulation 26(4).</w:t>
      </w:r>
    </w:p>
    <w:p>
      <w:pPr>
        <w:pStyle w:val="Footnotesection"/>
      </w:pPr>
      <w:r>
        <w:tab/>
        <w:t>[Regulation 17 amended: Gazette 28 Aug 2012 p. 4137; 19 Jun 2015 p. 2098.]</w:t>
      </w:r>
    </w:p>
    <w:p>
      <w:pPr>
        <w:pStyle w:val="Heading5"/>
      </w:pPr>
      <w:bookmarkStart w:id="39" w:name="_Toc51681654"/>
      <w:r>
        <w:rPr>
          <w:rStyle w:val="CharSectno"/>
        </w:rPr>
        <w:t>18</w:t>
      </w:r>
      <w:r>
        <w:t>.</w:t>
      </w:r>
      <w:r>
        <w:tab/>
        <w:t>Banks of waters, protection of</w:t>
      </w:r>
      <w:bookmarkEnd w:id="39"/>
    </w:p>
    <w:p>
      <w:pPr>
        <w:pStyle w:val="Subsection"/>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a fine of $5 000.</w:t>
      </w:r>
    </w:p>
    <w:p>
      <w:pPr>
        <w:pStyle w:val="Subsection"/>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pPr>
      <w:r>
        <w:tab/>
        <w:t>(b)</w:t>
      </w:r>
      <w:r>
        <w:tab/>
        <w:t>causing or permitting grazing by livestock.</w:t>
      </w:r>
    </w:p>
    <w:p>
      <w:pPr>
        <w:pStyle w:val="Heading5"/>
      </w:pPr>
      <w:bookmarkStart w:id="40" w:name="_Toc51681655"/>
      <w:r>
        <w:rPr>
          <w:rStyle w:val="CharSectno"/>
        </w:rPr>
        <w:t>19</w:t>
      </w:r>
      <w:r>
        <w:t>.</w:t>
      </w:r>
      <w:r>
        <w:tab/>
        <w:t>River bed, restrictions on digging in</w:t>
      </w:r>
      <w:bookmarkEnd w:id="40"/>
    </w:p>
    <w:p>
      <w:pPr>
        <w:pStyle w:val="Subsection"/>
      </w:pPr>
      <w:r>
        <w:tab/>
        <w:t>(1)</w:t>
      </w:r>
      <w:r>
        <w:tab/>
        <w:t>A person must not, unless the person has a permit to do so, dig in the bed or subsoil beneath any waters in the Riverpark.</w:t>
      </w:r>
    </w:p>
    <w:p>
      <w:pPr>
        <w:pStyle w:val="Penstart"/>
      </w:pPr>
      <w:r>
        <w:tab/>
        <w:t>Penalty: a fine of $5 000.</w:t>
      </w:r>
    </w:p>
    <w:p>
      <w:pPr>
        <w:pStyle w:val="Subsection"/>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pPr>
      <w:r>
        <w:tab/>
        <w:t>(b)</w:t>
      </w:r>
      <w:r>
        <w:tab/>
        <w:t>anchoring vessels.</w:t>
      </w:r>
    </w:p>
    <w:p>
      <w:pPr>
        <w:pStyle w:val="Heading5"/>
      </w:pPr>
      <w:bookmarkStart w:id="41" w:name="_Toc51681656"/>
      <w:r>
        <w:rPr>
          <w:rStyle w:val="CharSectno"/>
        </w:rPr>
        <w:t>20</w:t>
      </w:r>
      <w:r>
        <w:t>.</w:t>
      </w:r>
      <w:r>
        <w:tab/>
        <w:t>Worms etc., restrictions on digging for etc.</w:t>
      </w:r>
      <w:bookmarkEnd w:id="41"/>
    </w:p>
    <w:p>
      <w:pPr>
        <w:pStyle w:val="Subsection"/>
      </w:pPr>
      <w:r>
        <w:tab/>
        <w:t>(1)</w:t>
      </w:r>
      <w:r>
        <w:tab/>
        <w:t xml:space="preserve">A person must not, unless the person has a permit to do so — </w:t>
      </w:r>
    </w:p>
    <w:p>
      <w:pPr>
        <w:pStyle w:val="Indenta"/>
      </w:pPr>
      <w:r>
        <w:tab/>
        <w:t>(a)</w:t>
      </w:r>
      <w:r>
        <w:tab/>
        <w:t>dig for worms or other invertebrates in the Riverpark; or</w:t>
      </w:r>
    </w:p>
    <w:p>
      <w:pPr>
        <w:pStyle w:val="Indenta"/>
      </w:pPr>
      <w:r>
        <w:tab/>
        <w:t>(b)</w:t>
      </w:r>
      <w:r>
        <w:tab/>
        <w:t>take worms or other invertebrates from the Riverpark if the worms or other invertebrates were obtained by digging.</w:t>
      </w:r>
    </w:p>
    <w:p>
      <w:pPr>
        <w:pStyle w:val="Penstart"/>
      </w:pPr>
      <w:r>
        <w:tab/>
        <w:t>Penalty: a fine of $5 000.</w:t>
      </w:r>
    </w:p>
    <w:p>
      <w:pPr>
        <w:pStyle w:val="Subsection"/>
      </w:pPr>
      <w:r>
        <w:tab/>
        <w:t>(2)</w:t>
      </w:r>
      <w:r>
        <w:tab/>
        <w:t xml:space="preserve">This regulation does not apply — </w:t>
      </w:r>
    </w:p>
    <w:p>
      <w:pPr>
        <w:pStyle w:val="Indenta"/>
      </w:pPr>
      <w:r>
        <w:tab/>
        <w:t>(a)</w:t>
      </w:r>
      <w:r>
        <w:tab/>
        <w:t xml:space="preserve">if — </w:t>
      </w:r>
    </w:p>
    <w:p>
      <w:pPr>
        <w:pStyle w:val="Indenti"/>
      </w:pPr>
      <w:r>
        <w:tab/>
        <w:t>(i)</w:t>
      </w:r>
      <w:r>
        <w:tab/>
        <w:t>the worms or other invertebrates are dug up in the bed or subsoil beneath any waters that is at least 5 m from any river bank and any vegetation; and</w:t>
      </w:r>
    </w:p>
    <w:p>
      <w:pPr>
        <w:pStyle w:val="Indenti"/>
      </w:pPr>
      <w:r>
        <w:tab/>
        <w:t>(ii)</w:t>
      </w:r>
      <w:r>
        <w:tab/>
        <w:t>any other material dug from the bed or subsoil is returned to the location from which it was taken;</w:t>
      </w:r>
    </w:p>
    <w:p>
      <w:pPr>
        <w:pStyle w:val="Indenta"/>
      </w:pPr>
      <w:r>
        <w:tab/>
      </w:r>
      <w:r>
        <w:tab/>
        <w:t>or</w:t>
      </w:r>
    </w:p>
    <w:p>
      <w:pPr>
        <w:pStyle w:val="Indenta"/>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Heading5"/>
      </w:pPr>
      <w:bookmarkStart w:id="42" w:name="_Toc51681657"/>
      <w:r>
        <w:rPr>
          <w:rStyle w:val="CharSectno"/>
        </w:rPr>
        <w:t>21</w:t>
      </w:r>
      <w:r>
        <w:t>.</w:t>
      </w:r>
      <w:r>
        <w:tab/>
        <w:t>Vegetation, protection of</w:t>
      </w:r>
      <w:bookmarkEnd w:id="42"/>
    </w:p>
    <w:p>
      <w:pPr>
        <w:pStyle w:val="Subsection"/>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 a fine of $5 000.</w:t>
      </w:r>
    </w:p>
    <w:p>
      <w:pPr>
        <w:pStyle w:val="Subsection"/>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pPr>
      <w:r>
        <w:tab/>
        <w:t>(f)</w:t>
      </w:r>
      <w:r>
        <w:tab/>
        <w:t>in the creation of access tracks for fire hazard reduction in accordance with a management programme.</w:t>
      </w:r>
    </w:p>
    <w:p>
      <w:pPr>
        <w:pStyle w:val="Heading5"/>
      </w:pPr>
      <w:bookmarkStart w:id="43" w:name="_Toc51681658"/>
      <w:r>
        <w:rPr>
          <w:rStyle w:val="CharSectno"/>
        </w:rPr>
        <w:t>22A</w:t>
      </w:r>
      <w:r>
        <w:t>.</w:t>
      </w:r>
      <w:r>
        <w:tab/>
        <w:t>Vessels unattended, and moorings, on land, restrictions on</w:t>
      </w:r>
      <w:bookmarkEnd w:id="43"/>
    </w:p>
    <w:p>
      <w:pPr>
        <w:pStyle w:val="Subsection"/>
      </w:pPr>
      <w:r>
        <w:tab/>
        <w:t>(1)</w:t>
      </w:r>
      <w:r>
        <w:tab/>
        <w:t xml:space="preserve">A person must not leave a vessel unattended for 8 hours or more above the high water mark in the Riverpark or development control area unless — </w:t>
      </w:r>
    </w:p>
    <w:p>
      <w:pPr>
        <w:pStyle w:val="Indenta"/>
      </w:pPr>
      <w:r>
        <w:tab/>
        <w:t>(a)</w:t>
      </w:r>
      <w:r>
        <w:tab/>
        <w:t>the vessel is stored in a facility approved under Part 5 of the Act or by permit for that purpose; or</w:t>
      </w:r>
    </w:p>
    <w:p>
      <w:pPr>
        <w:pStyle w:val="Indenta"/>
      </w:pPr>
      <w:r>
        <w:tab/>
        <w:t>(b)</w:t>
      </w:r>
      <w:r>
        <w:tab/>
        <w:t>the person has a permit to do so.</w:t>
      </w:r>
    </w:p>
    <w:p>
      <w:pPr>
        <w:pStyle w:val="Penstart"/>
      </w:pPr>
      <w:r>
        <w:tab/>
        <w:t>Penalty: a fine of $5 000.</w:t>
      </w:r>
    </w:p>
    <w:p>
      <w:pPr>
        <w:pStyle w:val="Subsection"/>
      </w:pPr>
      <w:r>
        <w:tab/>
        <w:t>(2)</w:t>
      </w:r>
      <w:r>
        <w:tab/>
        <w:t>A person must not, unless the person has a permit to do so, place above the high water mark in the Riverpark or development control area an object for securing vessels.</w:t>
      </w:r>
    </w:p>
    <w:p>
      <w:pPr>
        <w:pStyle w:val="Penstart"/>
      </w:pPr>
      <w:r>
        <w:tab/>
        <w:t>Penalty: a fine of $5 000.</w:t>
      </w:r>
    </w:p>
    <w:p>
      <w:pPr>
        <w:pStyle w:val="Footnotesection"/>
      </w:pPr>
      <w:r>
        <w:tab/>
        <w:t>[Regulation 22A inserted: Gazette 28 Aug 2012 p. 4137-8; amended: Gazette 19 Jun 2015 p. 2098.]</w:t>
      </w:r>
    </w:p>
    <w:p>
      <w:pPr>
        <w:pStyle w:val="Heading5"/>
      </w:pPr>
      <w:bookmarkStart w:id="44" w:name="_Toc51681659"/>
      <w:r>
        <w:rPr>
          <w:rStyle w:val="CharSectno"/>
        </w:rPr>
        <w:t>22</w:t>
      </w:r>
      <w:r>
        <w:t>.</w:t>
      </w:r>
      <w:r>
        <w:tab/>
        <w:t>Launching vessels from trailers, restrictions on</w:t>
      </w:r>
      <w:bookmarkEnd w:id="44"/>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spacing w:before="70"/>
      </w:pPr>
      <w:r>
        <w:tab/>
        <w:t>(a)</w:t>
      </w:r>
      <w:r>
        <w:tab/>
        <w:t xml:space="preserve">a boat ramp — </w:t>
      </w:r>
    </w:p>
    <w:p>
      <w:pPr>
        <w:pStyle w:val="Defsubpara"/>
        <w:spacing w:before="70"/>
      </w:pPr>
      <w:r>
        <w:tab/>
        <w:t>(i)</w:t>
      </w:r>
      <w:r>
        <w:tab/>
        <w:t xml:space="preserve">approved under the </w:t>
      </w:r>
      <w:r>
        <w:rPr>
          <w:i/>
          <w:iCs/>
        </w:rPr>
        <w:t>Swan River Trust Act 1988</w:t>
      </w:r>
      <w:r>
        <w:rPr>
          <w:iCs/>
          <w:vertAlign w:val="superscript"/>
        </w:rPr>
        <w:t> 1</w:t>
      </w:r>
      <w:r>
        <w:t xml:space="preserve"> or the </w:t>
      </w:r>
      <w:r>
        <w:rPr>
          <w:i/>
          <w:iCs/>
        </w:rPr>
        <w:t>Swan and Canning Rivers Management Act 2006</w:t>
      </w:r>
      <w:r>
        <w:t>; or</w:t>
      </w:r>
    </w:p>
    <w:p>
      <w:pPr>
        <w:pStyle w:val="Defsubpara"/>
        <w:spacing w:before="70"/>
      </w:pPr>
      <w:r>
        <w:tab/>
        <w:t>(ii)</w:t>
      </w:r>
      <w:r>
        <w:tab/>
        <w:t xml:space="preserve">that was in existence at the commencement of the </w:t>
      </w:r>
      <w:r>
        <w:rPr>
          <w:i/>
          <w:iCs/>
        </w:rPr>
        <w:t>Swan River Trust Act 1988</w:t>
      </w:r>
      <w:r>
        <w:rPr>
          <w:iCs/>
          <w:vertAlign w:val="superscript"/>
        </w:rPr>
        <w:t> 1</w:t>
      </w:r>
      <w:r>
        <w:t xml:space="preserve">, and has not been altered in contravention of that Act or the </w:t>
      </w:r>
      <w:r>
        <w:rPr>
          <w:i/>
          <w:iCs/>
        </w:rPr>
        <w:t>Swan and Canning Rivers Management Act 2006</w:t>
      </w:r>
      <w:r>
        <w:t>,</w:t>
      </w:r>
    </w:p>
    <w:p>
      <w:pPr>
        <w:pStyle w:val="Defpara"/>
        <w:spacing w:before="70"/>
      </w:pPr>
      <w:r>
        <w:tab/>
      </w:r>
      <w:r>
        <w:tab/>
        <w:t xml:space="preserve">and that is licensed to be used under the </w:t>
      </w:r>
      <w:r>
        <w:rPr>
          <w:i/>
          <w:iCs/>
        </w:rPr>
        <w:t>Jetties Act 1926</w:t>
      </w:r>
      <w:r>
        <w:t xml:space="preserve"> section 7; or</w:t>
      </w:r>
    </w:p>
    <w:p>
      <w:pPr>
        <w:pStyle w:val="Defpara"/>
      </w:pPr>
      <w:r>
        <w:tab/>
        <w:t>(b)</w:t>
      </w:r>
      <w:r>
        <w:tab/>
        <w:t>an area that is between 2 signs for the time being erected or established by authority of the CEO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pPr>
      <w:r>
        <w:tab/>
        <w:t>(2)</w:t>
      </w:r>
      <w:r>
        <w:tab/>
        <w:t>A person must not, unless the person has a permit to do so, launch a vessel directly from a trailer into any waters in the Riverpark or development control area except at a permitted launching place.</w:t>
      </w:r>
    </w:p>
    <w:p>
      <w:pPr>
        <w:pStyle w:val="Penstart"/>
      </w:pPr>
      <w:r>
        <w:tab/>
        <w:t>Penalty: a fine of $5 000.</w:t>
      </w:r>
    </w:p>
    <w:p>
      <w:pPr>
        <w:pStyle w:val="Footnotesection"/>
      </w:pPr>
      <w:r>
        <w:tab/>
        <w:t>[Regulation 22 amended: Gazette 19 Jun 2015 p. 2098.]</w:t>
      </w:r>
    </w:p>
    <w:p>
      <w:pPr>
        <w:pStyle w:val="Heading5"/>
      </w:pPr>
      <w:bookmarkStart w:id="45" w:name="_Toc51681660"/>
      <w:r>
        <w:rPr>
          <w:rStyle w:val="CharSectno"/>
        </w:rPr>
        <w:t>23</w:t>
      </w:r>
      <w:r>
        <w:t>.</w:t>
      </w:r>
      <w:r>
        <w:tab/>
        <w:t>Living on vessels, restrictions on</w:t>
      </w:r>
      <w:bookmarkEnd w:id="45"/>
    </w:p>
    <w:p>
      <w:pPr>
        <w:pStyle w:val="Subsection"/>
      </w:pPr>
      <w:r>
        <w:tab/>
      </w:r>
      <w:r>
        <w:tab/>
        <w:t xml:space="preserve">A person must not use a vessel in waters in the development control area as living accommodation unless — </w:t>
      </w:r>
    </w:p>
    <w:p>
      <w:pPr>
        <w:pStyle w:val="Indenta"/>
      </w:pPr>
      <w:r>
        <w:tab/>
        <w:t>(a)</w:t>
      </w:r>
      <w:r>
        <w:tab/>
        <w:t>the vessel is moored in an area approved by the CEO for the purposes of this regulation; or</w:t>
      </w:r>
    </w:p>
    <w:p>
      <w:pPr>
        <w:pStyle w:val="Indenta"/>
        <w:keepNext/>
        <w:keepLines/>
      </w:pPr>
      <w:r>
        <w:tab/>
        <w:t>(b)</w:t>
      </w:r>
      <w:r>
        <w:tab/>
        <w:t xml:space="preserve">the person does not use the vessel as living accommodation for — </w:t>
      </w:r>
    </w:p>
    <w:p>
      <w:pPr>
        <w:pStyle w:val="Indenti"/>
        <w:keepNext/>
        <w:keepLines/>
      </w:pPr>
      <w:r>
        <w:tab/>
        <w:t>(i)</w:t>
      </w:r>
      <w:r>
        <w:tab/>
        <w:t>a period of more than 6 consecutive days; or</w:t>
      </w:r>
    </w:p>
    <w:p>
      <w:pPr>
        <w:pStyle w:val="Indenti"/>
      </w:pPr>
      <w:r>
        <w:tab/>
        <w:t>(ii)</w:t>
      </w:r>
      <w:r>
        <w:tab/>
        <w:t>more than 10 days (which do not include any period of more than 6 consecutive days) in any period of 30 consecutive days that includes the period in which the offence is alleged to have been committed.</w:t>
      </w:r>
    </w:p>
    <w:p>
      <w:pPr>
        <w:pStyle w:val="Penstart"/>
      </w:pPr>
      <w:r>
        <w:tab/>
        <w:t>Penalty: a fine of $5 000.</w:t>
      </w:r>
    </w:p>
    <w:p>
      <w:pPr>
        <w:pStyle w:val="Footnotesection"/>
      </w:pPr>
      <w:r>
        <w:tab/>
        <w:t>[Regulation 23 amended: Gazette 19 Jun 2015 p. 2100.]</w:t>
      </w:r>
    </w:p>
    <w:p>
      <w:pPr>
        <w:pStyle w:val="Heading5"/>
      </w:pPr>
      <w:bookmarkStart w:id="46" w:name="_Toc51681661"/>
      <w:r>
        <w:rPr>
          <w:rStyle w:val="CharSectno"/>
        </w:rPr>
        <w:t>24</w:t>
      </w:r>
      <w:r>
        <w:t>.</w:t>
      </w:r>
      <w:r>
        <w:tab/>
        <w:t>Use of Department courtesy moorings</w:t>
      </w:r>
      <w:bookmarkEnd w:id="46"/>
    </w:p>
    <w:p>
      <w:pPr>
        <w:pStyle w:val="Subsection"/>
        <w:keepNext/>
      </w:pPr>
      <w:r>
        <w:tab/>
        <w:t>(1)</w:t>
      </w:r>
      <w:r>
        <w:tab/>
        <w:t xml:space="preserve">In this regulation — </w:t>
      </w:r>
    </w:p>
    <w:p>
      <w:pPr>
        <w:pStyle w:val="Defstart"/>
        <w:keepNext/>
      </w:pPr>
      <w:r>
        <w:rPr>
          <w:b/>
        </w:rPr>
        <w:tab/>
      </w:r>
      <w:r>
        <w:rPr>
          <w:rStyle w:val="CharDefText"/>
        </w:rPr>
        <w:t>commercial vessel</w:t>
      </w:r>
      <w:r>
        <w:t xml:space="preserve"> means — </w:t>
      </w:r>
    </w:p>
    <w:p>
      <w:pPr>
        <w:pStyle w:val="Defpara"/>
      </w:pPr>
      <w:r>
        <w:tab/>
        <w:t>(a)</w:t>
      </w:r>
      <w:r>
        <w:tab/>
        <w:t>a vessel which is not used solely for pleasure or recreation; or</w:t>
      </w:r>
    </w:p>
    <w:p>
      <w:pPr>
        <w:pStyle w:val="Defpara"/>
      </w:pPr>
      <w:r>
        <w:tab/>
        <w:t>(b)</w:t>
      </w:r>
      <w:r>
        <w:tab/>
        <w:t>a vessel the use of which is made, allowed or authorised in the course of a business or in connection with a commercial purpose;</w:t>
      </w:r>
    </w:p>
    <w:p>
      <w:pPr>
        <w:pStyle w:val="Defstart"/>
      </w:pPr>
      <w:r>
        <w:tab/>
      </w:r>
      <w:r>
        <w:rPr>
          <w:rStyle w:val="CharDefText"/>
        </w:rPr>
        <w:t>Department courtesy mooring</w:t>
      </w:r>
      <w:r>
        <w:t xml:space="preserve"> means a buoy coloured orange and marked with the words “DPaW, Courtesy Mooring, 4 hr limit” situated in the waters of the River reserve;</w:t>
      </w:r>
    </w:p>
    <w:p>
      <w:pPr>
        <w:pStyle w:val="Defstart"/>
      </w:pPr>
      <w:r>
        <w:rPr>
          <w:b/>
        </w:rPr>
        <w:tab/>
      </w:r>
      <w:r>
        <w:rPr>
          <w:rStyle w:val="CharDefText"/>
        </w:rPr>
        <w:t>length</w:t>
      </w:r>
      <w:r>
        <w:t xml:space="preserve"> means the distance from the fore part of the hull to the after part of the hull taken at the upperside of the uppermost weathertight deck or, in the case of an open vessel, at the height of the gunwale.</w:t>
      </w:r>
    </w:p>
    <w:p>
      <w:pPr>
        <w:pStyle w:val="Subsection"/>
      </w:pPr>
      <w:r>
        <w:tab/>
        <w:t>(2)</w:t>
      </w:r>
      <w:r>
        <w:tab/>
        <w:t xml:space="preserve">A person must not secure a vessel to a Department courtesy mooring during the period from 7 a.m. to 7 p.m. on any particular day unless the vessel is secured to the mooring for less than — </w:t>
      </w:r>
    </w:p>
    <w:p>
      <w:pPr>
        <w:pStyle w:val="Indenta"/>
      </w:pPr>
      <w:r>
        <w:tab/>
        <w:t>(a)</w:t>
      </w:r>
      <w:r>
        <w:tab/>
        <w:t>4 consecutive hours; or</w:t>
      </w:r>
    </w:p>
    <w:p>
      <w:pPr>
        <w:pStyle w:val="Indenta"/>
      </w:pPr>
      <w:r>
        <w:tab/>
        <w:t>(b)</w:t>
      </w:r>
      <w:r>
        <w:tab/>
        <w:t>4 hours in any period of 6 hours.</w:t>
      </w:r>
    </w:p>
    <w:p>
      <w:pPr>
        <w:pStyle w:val="Penstart"/>
      </w:pPr>
      <w:r>
        <w:tab/>
        <w:t>Penalty: a fine of $5 000.</w:t>
      </w:r>
    </w:p>
    <w:p>
      <w:pPr>
        <w:pStyle w:val="Subsection"/>
      </w:pPr>
      <w:r>
        <w:tab/>
        <w:t>(3)</w:t>
      </w:r>
      <w:r>
        <w:tab/>
        <w:t>A person must not secure a vessel to a Department courtesy mooring if the vessel exceeds the maximum length of vessel for that mooring as specified on a sign affixed to the mooring by authority of the CEO.</w:t>
      </w:r>
    </w:p>
    <w:p>
      <w:pPr>
        <w:pStyle w:val="Penstart"/>
      </w:pPr>
      <w:r>
        <w:tab/>
        <w:t>Penalty: a fine of $5 000.</w:t>
      </w:r>
    </w:p>
    <w:p>
      <w:pPr>
        <w:pStyle w:val="Footnotesection"/>
      </w:pPr>
      <w:r>
        <w:tab/>
        <w:t>[Regulation 24 amended: Gazette 28 Aug 2012 p. 4138; 19 Jun 2015 p. 2098</w:t>
      </w:r>
      <w:r>
        <w:noBreakHyphen/>
        <w:t>9.]</w:t>
      </w:r>
    </w:p>
    <w:p>
      <w:pPr>
        <w:pStyle w:val="Heading5"/>
      </w:pPr>
      <w:bookmarkStart w:id="47" w:name="_Toc51681662"/>
      <w:r>
        <w:rPr>
          <w:rStyle w:val="CharSectno"/>
        </w:rPr>
        <w:t>25</w:t>
      </w:r>
      <w:r>
        <w:t>.</w:t>
      </w:r>
      <w:r>
        <w:tab/>
        <w:t>Litter</w:t>
      </w:r>
      <w:bookmarkEnd w:id="47"/>
    </w:p>
    <w:p>
      <w:pPr>
        <w:pStyle w:val="Subsection"/>
        <w:keepNext/>
      </w:pPr>
      <w:r>
        <w:tab/>
        <w:t>(1)</w:t>
      </w:r>
      <w:r>
        <w:tab/>
        <w:t xml:space="preserve">In this regulation — </w:t>
      </w:r>
    </w:p>
    <w:p>
      <w:pPr>
        <w:pStyle w:val="Defstart"/>
        <w:keepNext/>
      </w:pPr>
      <w:r>
        <w:rPr>
          <w:b/>
        </w:rPr>
        <w:tab/>
      </w:r>
      <w:r>
        <w:rPr>
          <w:rStyle w:val="CharDefText"/>
        </w:rPr>
        <w:t>litter</w:t>
      </w:r>
      <w:r>
        <w:t xml:space="preserve"> has the meaning given to that term by the </w:t>
      </w:r>
      <w:r>
        <w:rPr>
          <w:i/>
          <w:iCs/>
        </w:rPr>
        <w:t>Litter Act 1979</w:t>
      </w:r>
      <w:r>
        <w:t>.</w:t>
      </w:r>
    </w:p>
    <w:p>
      <w:pPr>
        <w:pStyle w:val="Subsection"/>
        <w:keepNext/>
      </w:pPr>
      <w:r>
        <w:tab/>
        <w:t>(2)</w:t>
      </w:r>
      <w:r>
        <w:tab/>
        <w:t>A person must not deposit litter, or cause litter to be deposited, in the Riverpark unless the litter is deposited in a place or receptacle set aside or provided for that purpose.</w:t>
      </w:r>
    </w:p>
    <w:p>
      <w:pPr>
        <w:pStyle w:val="Penstart"/>
      </w:pPr>
      <w:r>
        <w:tab/>
        <w:t>Penalty: a fine of $5 000.</w:t>
      </w:r>
    </w:p>
    <w:p>
      <w:pPr>
        <w:pStyle w:val="Subsection"/>
        <w:keepNext/>
      </w:pPr>
      <w:r>
        <w:tab/>
        <w:t>(3)</w:t>
      </w:r>
      <w:r>
        <w:tab/>
        <w:t>A person must not deliberately break any glass, metal or earthenware object in the Riverpark.</w:t>
      </w:r>
    </w:p>
    <w:p>
      <w:pPr>
        <w:pStyle w:val="Penstart"/>
      </w:pPr>
      <w:r>
        <w:tab/>
        <w:t>Penalty: a fine of $5 000.</w:t>
      </w:r>
    </w:p>
    <w:p>
      <w:pPr>
        <w:pStyle w:val="Heading5"/>
      </w:pPr>
      <w:bookmarkStart w:id="48" w:name="_Toc51681663"/>
      <w:r>
        <w:rPr>
          <w:rStyle w:val="CharSectno"/>
        </w:rPr>
        <w:t>26</w:t>
      </w:r>
      <w:r>
        <w:t>.</w:t>
      </w:r>
      <w:r>
        <w:tab/>
        <w:t>Spectator events in River reserve, holding etc.</w:t>
      </w:r>
      <w:bookmarkEnd w:id="48"/>
    </w:p>
    <w:p>
      <w:pPr>
        <w:pStyle w:val="Ednotesubsection"/>
      </w:pPr>
      <w:r>
        <w:tab/>
        <w:t>[(1)</w:t>
      </w:r>
      <w:r>
        <w:tab/>
        <w:t>deleted]</w:t>
      </w:r>
    </w:p>
    <w:p>
      <w:pPr>
        <w:pStyle w:val="Subsection"/>
        <w:keepNext/>
        <w:keepLines/>
      </w:pPr>
      <w:r>
        <w:tab/>
        <w:t>(2)</w:t>
      </w:r>
      <w:r>
        <w:tab/>
        <w:t>A person must not, unless the person has a permit to do so, organise or hold a spectator event within the River reserve, or promote such an event.</w:t>
      </w:r>
    </w:p>
    <w:p>
      <w:pPr>
        <w:pStyle w:val="Penstart"/>
        <w:keepNext/>
        <w:keepLines/>
      </w:pPr>
      <w:r>
        <w:tab/>
        <w:t>Penalty: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Next/>
        <w:keepLines/>
      </w:pPr>
      <w:r>
        <w:tab/>
        <w:t>(a)</w:t>
      </w:r>
      <w:r>
        <w:tab/>
        <w:t xml:space="preserve">in relation to an event for which permission is required under the </w:t>
      </w:r>
      <w:r>
        <w:rPr>
          <w:i/>
          <w:iCs/>
        </w:rPr>
        <w:t>Navigable Waters Regulations 1958</w:t>
      </w:r>
      <w:r>
        <w:t xml:space="preserve"> regulation 51C; or</w:t>
      </w:r>
    </w:p>
    <w:p>
      <w:pPr>
        <w:pStyle w:val="Indenta"/>
      </w:pPr>
      <w:r>
        <w:tab/>
        <w:t>(b)</w:t>
      </w:r>
      <w:r>
        <w:tab/>
        <w:t>in relation to an event on land owned by or under the care, control and management of a Schedule 5 authority.</w:t>
      </w:r>
    </w:p>
    <w:p>
      <w:pPr>
        <w:pStyle w:val="Footnotesection"/>
      </w:pPr>
      <w:r>
        <w:tab/>
        <w:t>[Regulation 26 amended: Gazette 28 Aug 2012 p. 4138.]</w:t>
      </w:r>
    </w:p>
    <w:p>
      <w:pPr>
        <w:pStyle w:val="Heading2"/>
      </w:pPr>
      <w:bookmarkStart w:id="49" w:name="_Toc51670458"/>
      <w:bookmarkStart w:id="50" w:name="_Toc51670992"/>
      <w:bookmarkStart w:id="51" w:name="_Toc51681664"/>
      <w:r>
        <w:rPr>
          <w:rStyle w:val="CharPartNo"/>
        </w:rPr>
        <w:t>Part 4</w:t>
      </w:r>
      <w:r>
        <w:rPr>
          <w:rStyle w:val="CharDivNo"/>
        </w:rPr>
        <w:t> </w:t>
      </w:r>
      <w:r>
        <w:t>—</w:t>
      </w:r>
      <w:r>
        <w:rPr>
          <w:rStyle w:val="CharDivText"/>
        </w:rPr>
        <w:t> </w:t>
      </w:r>
      <w:r>
        <w:rPr>
          <w:rStyle w:val="CharPartText"/>
        </w:rPr>
        <w:t>Permits</w:t>
      </w:r>
      <w:bookmarkEnd w:id="49"/>
      <w:bookmarkEnd w:id="50"/>
      <w:bookmarkEnd w:id="51"/>
    </w:p>
    <w:p>
      <w:pPr>
        <w:pStyle w:val="Heading5"/>
      </w:pPr>
      <w:bookmarkStart w:id="52" w:name="_Toc51681665"/>
      <w:r>
        <w:rPr>
          <w:rStyle w:val="CharSectno"/>
        </w:rPr>
        <w:t>27</w:t>
      </w:r>
      <w:r>
        <w:t>.</w:t>
      </w:r>
      <w:r>
        <w:tab/>
        <w:t>Permit for emergency works etc. (r. 11), application for</w:t>
      </w:r>
      <w:bookmarkEnd w:id="52"/>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CEO orally or in writing.</w:t>
      </w:r>
    </w:p>
    <w:p>
      <w:pPr>
        <w:pStyle w:val="Subsection"/>
      </w:pPr>
      <w:r>
        <w:tab/>
        <w:t>(3)</w:t>
      </w:r>
      <w:r>
        <w:tab/>
        <w:t>The permit may be given to the applicant orally or in writing.</w:t>
      </w:r>
    </w:p>
    <w:p>
      <w:pPr>
        <w:pStyle w:val="Subsection"/>
      </w:pPr>
      <w:r>
        <w:tab/>
        <w:t>(4)</w:t>
      </w:r>
      <w:r>
        <w:tab/>
        <w:t>If the applicant is given a permit orally, the CEO must give the applicant a permit in writing as soon as practicable after giving the permit orally.</w:t>
      </w:r>
    </w:p>
    <w:p>
      <w:pPr>
        <w:pStyle w:val="Subsection"/>
      </w:pPr>
      <w:r>
        <w:tab/>
        <w:t>(5)</w:t>
      </w:r>
      <w:r>
        <w:tab/>
        <w:t>The CEO may refuse to accept an application under this regulation and require the application to be made under regulation 28.</w:t>
      </w:r>
    </w:p>
    <w:p>
      <w:pPr>
        <w:pStyle w:val="Footnotesection"/>
      </w:pPr>
      <w:r>
        <w:tab/>
        <w:t>[Regulation 27 amended: Gazette 19 Jun 2015 p. 2100.]</w:t>
      </w:r>
    </w:p>
    <w:p>
      <w:pPr>
        <w:pStyle w:val="Heading5"/>
      </w:pPr>
      <w:bookmarkStart w:id="53" w:name="_Toc51681666"/>
      <w:r>
        <w:rPr>
          <w:rStyle w:val="CharSectno"/>
        </w:rPr>
        <w:t>28</w:t>
      </w:r>
      <w:r>
        <w:t>.</w:t>
      </w:r>
      <w:r>
        <w:tab/>
        <w:t>Permit under these regulations, application for</w:t>
      </w:r>
      <w:bookmarkEnd w:id="53"/>
    </w:p>
    <w:p>
      <w:pPr>
        <w:pStyle w:val="Subsection"/>
      </w:pPr>
      <w:r>
        <w:tab/>
        <w:t>(1)</w:t>
      </w:r>
      <w:r>
        <w:tab/>
        <w:t xml:space="preserve">Except as provided in regulation 27, an application for a permit must — </w:t>
      </w:r>
    </w:p>
    <w:p>
      <w:pPr>
        <w:pStyle w:val="Indenta"/>
      </w:pPr>
      <w:r>
        <w:tab/>
        <w:t>(a)</w:t>
      </w:r>
      <w:r>
        <w:tab/>
        <w:t>be made in a form and in the manner approved by the CEO; and</w:t>
      </w:r>
    </w:p>
    <w:p>
      <w:pPr>
        <w:pStyle w:val="Indenta"/>
      </w:pPr>
      <w:r>
        <w:tab/>
        <w:t>(b)</w:t>
      </w:r>
      <w:r>
        <w:tab/>
        <w:t>provide the information required by the form; and</w:t>
      </w:r>
    </w:p>
    <w:p>
      <w:pPr>
        <w:pStyle w:val="Indenta"/>
      </w:pPr>
      <w:r>
        <w:tab/>
        <w:t>(c)</w:t>
      </w:r>
      <w:r>
        <w:tab/>
        <w:t>be lodged with the CEO together with any application fee prescribed under these regulations.</w:t>
      </w:r>
    </w:p>
    <w:p>
      <w:pPr>
        <w:pStyle w:val="Subsection"/>
      </w:pPr>
      <w:r>
        <w:tab/>
        <w:t>(2)</w:t>
      </w:r>
      <w:r>
        <w:tab/>
        <w:t>The CEO may require an applicant to provide additional information reasonably related to an application before determining the application.</w:t>
      </w:r>
    </w:p>
    <w:p>
      <w:pPr>
        <w:pStyle w:val="Subsection"/>
        <w:keepNext/>
      </w:pPr>
      <w:r>
        <w:tab/>
        <w:t>(3)</w:t>
      </w:r>
      <w:r>
        <w:tab/>
        <w:t>The CEO may refuse to consider an application which is not in accordance with subregulation (1) or where an applicant has not complied with subregulation (2).</w:t>
      </w:r>
    </w:p>
    <w:p>
      <w:pPr>
        <w:pStyle w:val="Footnotesection"/>
      </w:pPr>
      <w:r>
        <w:tab/>
        <w:t>[Regulation 28 amended: Gazette 19 Jun 2015 p. 2100.]</w:t>
      </w:r>
    </w:p>
    <w:p>
      <w:pPr>
        <w:pStyle w:val="Heading5"/>
      </w:pPr>
      <w:bookmarkStart w:id="54" w:name="_Toc51681667"/>
      <w:r>
        <w:rPr>
          <w:rStyle w:val="CharSectno"/>
        </w:rPr>
        <w:t>29</w:t>
      </w:r>
      <w:r>
        <w:t>.</w:t>
      </w:r>
      <w:r>
        <w:tab/>
        <w:t>Grant of permit</w:t>
      </w:r>
      <w:bookmarkEnd w:id="54"/>
    </w:p>
    <w:p>
      <w:pPr>
        <w:pStyle w:val="Subsection"/>
      </w:pPr>
      <w:r>
        <w:tab/>
        <w:t>(1)</w:t>
      </w:r>
      <w:r>
        <w:tab/>
        <w:t>The CEO may grant, or refuse to grant, a permit to carry out an activity for which a permit is required under these regulations.</w:t>
      </w:r>
    </w:p>
    <w:p>
      <w:pPr>
        <w:pStyle w:val="Subsection"/>
      </w:pPr>
      <w:r>
        <w:tab/>
        <w:t>(2)</w:t>
      </w:r>
      <w:r>
        <w:tab/>
        <w:t>A permit may be granted in combination with other permits.</w:t>
      </w:r>
    </w:p>
    <w:p>
      <w:pPr>
        <w:pStyle w:val="Footnotesection"/>
      </w:pPr>
      <w:r>
        <w:tab/>
        <w:t>[Regulation 29 amended: Gazette 19 Jun 2015 p. 2100.]</w:t>
      </w:r>
    </w:p>
    <w:p>
      <w:pPr>
        <w:pStyle w:val="Heading5"/>
      </w:pPr>
      <w:bookmarkStart w:id="55" w:name="_Toc51681668"/>
      <w:r>
        <w:rPr>
          <w:rStyle w:val="CharSectno"/>
        </w:rPr>
        <w:t>30</w:t>
      </w:r>
      <w:r>
        <w:t>.</w:t>
      </w:r>
      <w:r>
        <w:tab/>
        <w:t>Duration of permit</w:t>
      </w:r>
      <w:bookmarkEnd w:id="55"/>
    </w:p>
    <w:p>
      <w:pPr>
        <w:pStyle w:val="Subsection"/>
      </w:pPr>
      <w:r>
        <w:tab/>
      </w:r>
      <w:r>
        <w:tab/>
        <w:t>Subject to these regulations, a permit has effect for the period specified in the permit.</w:t>
      </w:r>
    </w:p>
    <w:p>
      <w:pPr>
        <w:pStyle w:val="Heading5"/>
      </w:pPr>
      <w:bookmarkStart w:id="56" w:name="_Toc51681669"/>
      <w:r>
        <w:rPr>
          <w:rStyle w:val="CharSectno"/>
        </w:rPr>
        <w:t>31</w:t>
      </w:r>
      <w:r>
        <w:t>.</w:t>
      </w:r>
      <w:r>
        <w:tab/>
        <w:t>Conditions and restrictions on permit</w:t>
      </w:r>
      <w:bookmarkEnd w:id="56"/>
    </w:p>
    <w:p>
      <w:pPr>
        <w:pStyle w:val="Subsection"/>
      </w:pPr>
      <w:r>
        <w:tab/>
        <w:t>(1)</w:t>
      </w:r>
      <w:r>
        <w:tab/>
        <w:t>The CEO may impose conditions and restrictions on a permit.</w:t>
      </w:r>
    </w:p>
    <w:p>
      <w:pPr>
        <w:pStyle w:val="Subsection"/>
      </w:pPr>
      <w:r>
        <w:tab/>
        <w:t>(2)</w:t>
      </w:r>
      <w:r>
        <w:tab/>
        <w:t>Conditions and restrictions imposed on a permit must be endorsed on or attached to the written permit.</w:t>
      </w:r>
    </w:p>
    <w:p>
      <w:pPr>
        <w:pStyle w:val="Subsection"/>
      </w:pPr>
      <w:r>
        <w:tab/>
        <w:t>(3)</w:t>
      </w:r>
      <w:r>
        <w:tab/>
        <w:t>The holder of a permit who contravenes a condition or restriction imposed on the permit commits an offence.</w:t>
      </w:r>
    </w:p>
    <w:p>
      <w:pPr>
        <w:pStyle w:val="Penstart"/>
      </w:pPr>
      <w:r>
        <w:tab/>
        <w:t>Penalty: a fine of $5 000.</w:t>
      </w:r>
    </w:p>
    <w:p>
      <w:pPr>
        <w:pStyle w:val="Footnotesection"/>
      </w:pPr>
      <w:r>
        <w:tab/>
        <w:t>[Regulation 31 amended: Gazette 19 Jun 2015 p. 2100.]</w:t>
      </w:r>
    </w:p>
    <w:p>
      <w:pPr>
        <w:pStyle w:val="Heading5"/>
      </w:pPr>
      <w:bookmarkStart w:id="57" w:name="_Toc51681670"/>
      <w:r>
        <w:rPr>
          <w:rStyle w:val="CharSectno"/>
        </w:rPr>
        <w:t>32</w:t>
      </w:r>
      <w:r>
        <w:t>.</w:t>
      </w:r>
      <w:r>
        <w:tab/>
        <w:t>Clerical amendment of permit</w:t>
      </w:r>
      <w:bookmarkEnd w:id="57"/>
    </w:p>
    <w:p>
      <w:pPr>
        <w:pStyle w:val="Subsection"/>
      </w:pPr>
      <w:r>
        <w:tab/>
        <w:t>(1)</w:t>
      </w:r>
      <w:r>
        <w:tab/>
        <w:t>The CEO may amend a permit by correcting in the permit a clerical mistake or unintentional error or omission.</w:t>
      </w:r>
    </w:p>
    <w:p>
      <w:pPr>
        <w:pStyle w:val="Subsection"/>
      </w:pPr>
      <w:r>
        <w:tab/>
        <w:t>(2)</w:t>
      </w:r>
      <w:r>
        <w:tab/>
        <w:t>A permit may be amended on application by the holder of the permit or on the initiative of the CEO.</w:t>
      </w:r>
    </w:p>
    <w:p>
      <w:pPr>
        <w:pStyle w:val="Footnotesection"/>
      </w:pPr>
      <w:r>
        <w:tab/>
        <w:t>[Regulation 32 amended: Gazette 19 Jun 2015 p. 2100.]</w:t>
      </w:r>
    </w:p>
    <w:p>
      <w:pPr>
        <w:pStyle w:val="Heading5"/>
      </w:pPr>
      <w:bookmarkStart w:id="58" w:name="_Toc51681671"/>
      <w:r>
        <w:rPr>
          <w:rStyle w:val="CharSectno"/>
        </w:rPr>
        <w:t>33</w:t>
      </w:r>
      <w:r>
        <w:t>.</w:t>
      </w:r>
      <w:r>
        <w:tab/>
        <w:t>CEO may revoke or suspend permit</w:t>
      </w:r>
      <w:bookmarkEnd w:id="58"/>
    </w:p>
    <w:p>
      <w:pPr>
        <w:pStyle w:val="Subsection"/>
        <w:spacing w:before="140"/>
      </w:pPr>
      <w:r>
        <w:tab/>
        <w:t>(1)</w:t>
      </w:r>
      <w:r>
        <w:tab/>
        <w:t>The CEO may revoke or suspend a permit.</w:t>
      </w:r>
    </w:p>
    <w:p>
      <w:pPr>
        <w:pStyle w:val="Subsection"/>
        <w:keepNext/>
        <w:spacing w:before="140"/>
      </w:pPr>
      <w:r>
        <w:tab/>
        <w:t>(2)</w:t>
      </w:r>
      <w:r>
        <w:tab/>
        <w:t xml:space="preserve">The grounds for revocation or suspension of a permit are that — </w:t>
      </w:r>
    </w:p>
    <w:p>
      <w:pPr>
        <w:pStyle w:val="Indenta"/>
        <w:spacing w:before="60"/>
      </w:pPr>
      <w:r>
        <w:tab/>
        <w:t>(a)</w:t>
      </w:r>
      <w:r>
        <w:tab/>
        <w:t>the CEO is satisfied that there has been a breach of any of the conditions or restrictions to which the permit is subject; or</w:t>
      </w:r>
    </w:p>
    <w:p>
      <w:pPr>
        <w:pStyle w:val="Indenta"/>
        <w:spacing w:before="60"/>
      </w:pPr>
      <w:r>
        <w:tab/>
        <w:t>(b)</w:t>
      </w:r>
      <w:r>
        <w:tab/>
        <w:t>information contained in or supporting the application for the permit was false or misleading in a material respect.</w:t>
      </w:r>
    </w:p>
    <w:p>
      <w:pPr>
        <w:pStyle w:val="Footnotesection"/>
      </w:pPr>
      <w:r>
        <w:tab/>
        <w:t>[Regulation 33 amended: Gazette 19 Jun 2015 p. 2100-1.]</w:t>
      </w:r>
    </w:p>
    <w:p>
      <w:pPr>
        <w:pStyle w:val="Heading5"/>
      </w:pPr>
      <w:bookmarkStart w:id="59" w:name="_Toc51681672"/>
      <w:r>
        <w:rPr>
          <w:rStyle w:val="CharSectno"/>
        </w:rPr>
        <w:t>34</w:t>
      </w:r>
      <w:r>
        <w:t>.</w:t>
      </w:r>
      <w:r>
        <w:tab/>
        <w:t>Revoking or suspending permit, procedure for</w:t>
      </w:r>
      <w:bookmarkEnd w:id="59"/>
    </w:p>
    <w:p>
      <w:pPr>
        <w:pStyle w:val="Subsection"/>
      </w:pPr>
      <w:r>
        <w:tab/>
        <w:t>(1)</w:t>
      </w:r>
      <w:r>
        <w:tab/>
        <w:t>Before revoking or suspending a permit the CEO must give the holder of the permit a written notice under this regulation.</w:t>
      </w:r>
    </w:p>
    <w:p>
      <w:pPr>
        <w:pStyle w:val="Subsection"/>
      </w:pPr>
      <w:r>
        <w:tab/>
        <w:t>(2)</w:t>
      </w:r>
      <w:r>
        <w:tab/>
        <w:t xml:space="preserve">The notice must — </w:t>
      </w:r>
    </w:p>
    <w:p>
      <w:pPr>
        <w:pStyle w:val="Indenta"/>
      </w:pPr>
      <w:r>
        <w:tab/>
        <w:t>(a)</w:t>
      </w:r>
      <w:r>
        <w:tab/>
        <w:t>state details of the proposed action including, in the case of a proposed suspension, the proposed period of suspension; and</w:t>
      </w:r>
    </w:p>
    <w:p>
      <w:pPr>
        <w:pStyle w:val="Indenta"/>
      </w:pPr>
      <w:r>
        <w:tab/>
        <w:t>(b)</w:t>
      </w:r>
      <w:r>
        <w:tab/>
        <w:t>invite the holder to make representation to the CEO to show why the action should not be taken; and</w:t>
      </w:r>
    </w:p>
    <w:p>
      <w:pPr>
        <w:pStyle w:val="Indenta"/>
      </w:pPr>
      <w:r>
        <w:tab/>
        <w:t>(c)</w:t>
      </w:r>
      <w:r>
        <w:tab/>
        <w:t>state the period (at least 14 days after the notice is given to the holder) within which representations may be made.</w:t>
      </w:r>
    </w:p>
    <w:p>
      <w:pPr>
        <w:pStyle w:val="Subsection"/>
      </w:pPr>
      <w:r>
        <w:tab/>
        <w:t>(3)</w:t>
      </w:r>
      <w:r>
        <w:tab/>
        <w:t>The representations must be made in writing.</w:t>
      </w:r>
    </w:p>
    <w:p>
      <w:pPr>
        <w:pStyle w:val="Subsection"/>
        <w:keepNext/>
      </w:pPr>
      <w:r>
        <w:tab/>
        <w:t>(4)</w:t>
      </w:r>
      <w:r>
        <w:tab/>
        <w:t xml:space="preserve">The CEO may take the proposed action — </w:t>
      </w:r>
    </w:p>
    <w:p>
      <w:pPr>
        <w:pStyle w:val="Indenta"/>
        <w:keepNext/>
      </w:pPr>
      <w:r>
        <w:tab/>
        <w:t>(a)</w:t>
      </w:r>
      <w:r>
        <w:tab/>
        <w:t>at any time after the holder of the permit gives the CEO written notice that the holder does not intend to make any representations or further representations; or</w:t>
      </w:r>
    </w:p>
    <w:p>
      <w:pPr>
        <w:pStyle w:val="Indenta"/>
      </w:pPr>
      <w:r>
        <w:tab/>
        <w:t>(b)</w:t>
      </w:r>
      <w:r>
        <w:tab/>
        <w:t>if such notice is not given, after the end of the period stated in the notice within which representations may be made.</w:t>
      </w:r>
    </w:p>
    <w:p>
      <w:pPr>
        <w:pStyle w:val="Subsection"/>
      </w:pPr>
      <w:r>
        <w:tab/>
        <w:t>(5)</w:t>
      </w:r>
      <w:r>
        <w:tab/>
        <w:t>The CEO must consider any representations properly made by the holder of the permit.</w:t>
      </w:r>
    </w:p>
    <w:p>
      <w:pPr>
        <w:pStyle w:val="Subsection"/>
      </w:pPr>
      <w:r>
        <w:tab/>
        <w:t>(6)</w:t>
      </w:r>
      <w:r>
        <w:tab/>
        <w:t>The CEO must give the holder of the permit written notice of any revocation or suspension of the permit.</w:t>
      </w:r>
    </w:p>
    <w:p>
      <w:pPr>
        <w:pStyle w:val="Footnotesection"/>
      </w:pPr>
      <w:r>
        <w:tab/>
        <w:t>[Regulation 34 amended: Gazette 19 Jun 2015 p. 2100-1.]</w:t>
      </w:r>
    </w:p>
    <w:p>
      <w:pPr>
        <w:pStyle w:val="Heading5"/>
      </w:pPr>
      <w:bookmarkStart w:id="60" w:name="_Toc51681673"/>
      <w:r>
        <w:rPr>
          <w:rStyle w:val="CharSectno"/>
        </w:rPr>
        <w:t>35</w:t>
      </w:r>
      <w:r>
        <w:t>.</w:t>
      </w:r>
      <w:r>
        <w:tab/>
        <w:t>Immediate suspension of permit</w:t>
      </w:r>
      <w:bookmarkEnd w:id="60"/>
    </w:p>
    <w:p>
      <w:pPr>
        <w:pStyle w:val="Subsection"/>
      </w:pPr>
      <w:r>
        <w:tab/>
        <w:t>(1)</w:t>
      </w:r>
      <w:r>
        <w:tab/>
        <w:t>This regulation applies, despite regulation 34 and whether or not action has been commenced under that regulation, if the CEO considers it necessary to suspend a permit immediately because there is an immediate and serious risk of harm to the ecological and community benefits and amenity of the Riverpark or development control area.</w:t>
      </w:r>
    </w:p>
    <w:p>
      <w:pPr>
        <w:pStyle w:val="Subsection"/>
      </w:pPr>
      <w:r>
        <w:tab/>
        <w:t>(2)</w:t>
      </w:r>
      <w:r>
        <w:tab/>
        <w:t xml:space="preserve">The CEO may, by written notice given to the holder of a permit, immediately suspend the permit until the earlier of the following — </w:t>
      </w:r>
    </w:p>
    <w:p>
      <w:pPr>
        <w:pStyle w:val="Indenta"/>
      </w:pPr>
      <w:r>
        <w:tab/>
        <w:t>(a)</w:t>
      </w:r>
      <w:r>
        <w:tab/>
        <w:t>the time at which the CEO informs the holder of the CEO’s decision under regulation 34;</w:t>
      </w:r>
    </w:p>
    <w:p>
      <w:pPr>
        <w:pStyle w:val="Indenta"/>
      </w:pPr>
      <w:r>
        <w:tab/>
        <w:t>(b)</w:t>
      </w:r>
      <w:r>
        <w:tab/>
        <w:t>the end of the period of suspension specified in the notice.</w:t>
      </w:r>
    </w:p>
    <w:p>
      <w:pPr>
        <w:pStyle w:val="Subsection"/>
      </w:pPr>
      <w:r>
        <w:tab/>
        <w:t>(3)</w:t>
      </w:r>
      <w:r>
        <w:tab/>
        <w:t xml:space="preserve">The notice must — </w:t>
      </w:r>
    </w:p>
    <w:p>
      <w:pPr>
        <w:pStyle w:val="Indenta"/>
      </w:pPr>
      <w:r>
        <w:tab/>
        <w:t>(a)</w:t>
      </w:r>
      <w:r>
        <w:tab/>
        <w:t>specify a period of suspension not exceeding 6 weeks; and</w:t>
      </w:r>
    </w:p>
    <w:p>
      <w:pPr>
        <w:pStyle w:val="Indenta"/>
      </w:pPr>
      <w:r>
        <w:tab/>
        <w:t>(b)</w:t>
      </w:r>
      <w:r>
        <w:tab/>
        <w:t>state that the holder may make written representations to the CEO about the suspension.</w:t>
      </w:r>
    </w:p>
    <w:p>
      <w:pPr>
        <w:pStyle w:val="Subsection"/>
      </w:pPr>
      <w:r>
        <w:tab/>
        <w:t>(4)</w:t>
      </w:r>
      <w:r>
        <w:tab/>
        <w:t>The CEO must consider any written representations made to the CEO by the holder about the suspension.</w:t>
      </w:r>
    </w:p>
    <w:p>
      <w:pPr>
        <w:pStyle w:val="Subsection"/>
      </w:pPr>
      <w:r>
        <w:tab/>
        <w:t>(5)</w:t>
      </w:r>
      <w:r>
        <w:tab/>
        <w:t>The CEO may revoke the suspension at any time, whether or not in response to any written representations made to the CEO by the holder.</w:t>
      </w:r>
    </w:p>
    <w:p>
      <w:pPr>
        <w:pStyle w:val="Footnotesection"/>
      </w:pPr>
      <w:r>
        <w:tab/>
        <w:t>[Regulation 35 amended: Gazette 19 Jun 2015 p. 2099 and 2100-1.]</w:t>
      </w:r>
    </w:p>
    <w:p>
      <w:pPr>
        <w:pStyle w:val="Heading5"/>
      </w:pPr>
      <w:bookmarkStart w:id="61" w:name="_Toc51681674"/>
      <w:r>
        <w:rPr>
          <w:rStyle w:val="CharSectno"/>
        </w:rPr>
        <w:t>36</w:t>
      </w:r>
      <w:r>
        <w:t>.</w:t>
      </w:r>
      <w:r>
        <w:tab/>
        <w:t>Approval in force at 25 Sep 2007, saving for</w:t>
      </w:r>
      <w:bookmarkEnd w:id="61"/>
    </w:p>
    <w:p>
      <w:pPr>
        <w:pStyle w:val="Subsection"/>
      </w:pPr>
      <w:r>
        <w:tab/>
      </w:r>
      <w:r>
        <w:tab/>
        <w:t xml:space="preserve">Any approval of the Trust given under the </w:t>
      </w:r>
      <w:r>
        <w:rPr>
          <w:i/>
          <w:iCs/>
        </w:rPr>
        <w:t>Swan River Trust Regulations 1989</w:t>
      </w:r>
      <w:r>
        <w:rPr>
          <w:iCs/>
          <w:vertAlign w:val="superscript"/>
        </w:rPr>
        <w:t> 2</w:t>
      </w:r>
      <w:r>
        <w:t xml:space="preserve"> and of effect immediately prior to the coming into operation of these regulations has effect as if it were a permit under these regulations.</w:t>
      </w:r>
    </w:p>
    <w:p>
      <w:pPr>
        <w:pStyle w:val="Heading2"/>
      </w:pPr>
      <w:bookmarkStart w:id="62" w:name="_Toc51670469"/>
      <w:bookmarkStart w:id="63" w:name="_Toc51671003"/>
      <w:bookmarkStart w:id="64" w:name="_Toc51681675"/>
      <w:r>
        <w:rPr>
          <w:rStyle w:val="CharPartNo"/>
        </w:rPr>
        <w:t>Part 5</w:t>
      </w:r>
      <w:r>
        <w:rPr>
          <w:rStyle w:val="CharDivNo"/>
        </w:rPr>
        <w:t> </w:t>
      </w:r>
      <w:r>
        <w:t>—</w:t>
      </w:r>
      <w:r>
        <w:rPr>
          <w:rStyle w:val="CharDivText"/>
        </w:rPr>
        <w:t> </w:t>
      </w:r>
      <w:r>
        <w:rPr>
          <w:rStyle w:val="CharPartText"/>
        </w:rPr>
        <w:t>Infringement notices</w:t>
      </w:r>
      <w:bookmarkEnd w:id="62"/>
      <w:bookmarkEnd w:id="63"/>
      <w:bookmarkEnd w:id="64"/>
    </w:p>
    <w:p>
      <w:pPr>
        <w:pStyle w:val="Heading5"/>
      </w:pPr>
      <w:bookmarkStart w:id="65" w:name="_Toc51681676"/>
      <w:r>
        <w:rPr>
          <w:rStyle w:val="CharSectno"/>
        </w:rPr>
        <w:t>37</w:t>
      </w:r>
      <w:r>
        <w:t>.</w:t>
      </w:r>
      <w:r>
        <w:tab/>
        <w:t>Offences prescribed (Act s. 123)</w:t>
      </w:r>
      <w:bookmarkEnd w:id="65"/>
    </w:p>
    <w:p>
      <w:pPr>
        <w:pStyle w:val="Subsection"/>
      </w:pPr>
      <w:r>
        <w:tab/>
      </w:r>
      <w:r>
        <w:tab/>
        <w:t>The offences specified in Schedule 1 are offences for which an infringement notice may be issued under section 123.</w:t>
      </w:r>
    </w:p>
    <w:p>
      <w:pPr>
        <w:pStyle w:val="Footnotesection"/>
      </w:pPr>
      <w:r>
        <w:tab/>
        <w:t>[Regulation 37 amended: Gazette 28 Aug 2012 p. 4138.]</w:t>
      </w:r>
    </w:p>
    <w:p>
      <w:pPr>
        <w:pStyle w:val="Heading5"/>
      </w:pPr>
      <w:bookmarkStart w:id="66" w:name="_Toc51681677"/>
      <w:r>
        <w:rPr>
          <w:rStyle w:val="CharSectno"/>
        </w:rPr>
        <w:t>38</w:t>
      </w:r>
      <w:r>
        <w:t>.</w:t>
      </w:r>
      <w:r>
        <w:tab/>
        <w:t>Modified penalties prescribed (Act s. 123)</w:t>
      </w:r>
      <w:bookmarkEnd w:id="66"/>
    </w:p>
    <w:p>
      <w:pPr>
        <w:pStyle w:val="Subsection"/>
      </w:pPr>
      <w:r>
        <w:tab/>
      </w:r>
      <w:r>
        <w:tab/>
        <w:t>The modified penalty to be specified in an infringement notice issued for an offence is the modified penalty set out for that offence in Schedule 1.</w:t>
      </w:r>
    </w:p>
    <w:p>
      <w:pPr>
        <w:pStyle w:val="Heading5"/>
      </w:pPr>
      <w:bookmarkStart w:id="67" w:name="_Toc51681678"/>
      <w:r>
        <w:rPr>
          <w:rStyle w:val="CharSectno"/>
        </w:rPr>
        <w:t>39</w:t>
      </w:r>
      <w:r>
        <w:t>.</w:t>
      </w:r>
      <w:r>
        <w:tab/>
        <w:t>Infringement notice, form of prescribed (Act s. 123(3))</w:t>
      </w:r>
      <w:bookmarkEnd w:id="67"/>
    </w:p>
    <w:p>
      <w:pPr>
        <w:pStyle w:val="Subsection"/>
      </w:pPr>
      <w:r>
        <w:tab/>
      </w:r>
      <w:r>
        <w:tab/>
        <w:t>Schedule 2 Form 3 is prescribed for the purposes of section 123(3)(a).</w:t>
      </w:r>
    </w:p>
    <w:p>
      <w:pPr>
        <w:pStyle w:val="Footnotesection"/>
      </w:pPr>
      <w:r>
        <w:tab/>
        <w:t>[Regulation 39 amended: Gazette 28 Aug 2012 p. 4139.]</w:t>
      </w:r>
    </w:p>
    <w:p>
      <w:pPr>
        <w:pStyle w:val="Heading5"/>
      </w:pPr>
      <w:bookmarkStart w:id="68" w:name="_Toc51681679"/>
      <w:r>
        <w:rPr>
          <w:rStyle w:val="CharSectno"/>
        </w:rPr>
        <w:t>40</w:t>
      </w:r>
      <w:r>
        <w:t>.</w:t>
      </w:r>
      <w:r>
        <w:tab/>
        <w:t>Withdrawal of infringement notice, form of prescribed (Act s. 123(7))</w:t>
      </w:r>
      <w:bookmarkEnd w:id="68"/>
    </w:p>
    <w:p>
      <w:pPr>
        <w:pStyle w:val="Subsection"/>
      </w:pPr>
      <w:r>
        <w:tab/>
      </w:r>
      <w:r>
        <w:tab/>
        <w:t>Schedule 2 Form 4 is prescribed for the purposes of section 123(7).</w:t>
      </w:r>
    </w:p>
    <w:p>
      <w:pPr>
        <w:pStyle w:val="Footnotesection"/>
      </w:pPr>
      <w:r>
        <w:tab/>
        <w:t>[Regulation 40 amended: Gazette 28 Aug 2012 p. 4139.]</w:t>
      </w:r>
    </w:p>
    <w:p>
      <w:pPr>
        <w:pStyle w:val="Heading2"/>
      </w:pPr>
      <w:bookmarkStart w:id="69" w:name="_Toc51670474"/>
      <w:bookmarkStart w:id="70" w:name="_Toc51671008"/>
      <w:bookmarkStart w:id="71" w:name="_Toc51681680"/>
      <w:r>
        <w:rPr>
          <w:rStyle w:val="CharPartNo"/>
        </w:rPr>
        <w:t>Part 6</w:t>
      </w:r>
      <w:r>
        <w:rPr>
          <w:rStyle w:val="CharDivNo"/>
        </w:rPr>
        <w:t> </w:t>
      </w:r>
      <w:r>
        <w:t>—</w:t>
      </w:r>
      <w:r>
        <w:rPr>
          <w:rStyle w:val="CharDivText"/>
        </w:rPr>
        <w:t> </w:t>
      </w:r>
      <w:r>
        <w:rPr>
          <w:rStyle w:val="CharPartText"/>
        </w:rPr>
        <w:t>Other matters</w:t>
      </w:r>
      <w:bookmarkEnd w:id="69"/>
      <w:bookmarkEnd w:id="70"/>
      <w:bookmarkEnd w:id="71"/>
    </w:p>
    <w:p>
      <w:pPr>
        <w:pStyle w:val="Heading5"/>
      </w:pPr>
      <w:bookmarkStart w:id="72" w:name="_Toc51681681"/>
      <w:r>
        <w:rPr>
          <w:rStyle w:val="CharSectno"/>
        </w:rPr>
        <w:t>41</w:t>
      </w:r>
      <w:r>
        <w:t>.</w:t>
      </w:r>
      <w:r>
        <w:tab/>
        <w:t>Continuing offence, penalty for</w:t>
      </w:r>
      <w:bookmarkEnd w:id="72"/>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73" w:name="_Toc51681682"/>
      <w:r>
        <w:rPr>
          <w:rStyle w:val="CharSectno"/>
        </w:rPr>
        <w:t>42</w:t>
      </w:r>
      <w:r>
        <w:t>.</w:t>
      </w:r>
      <w:r>
        <w:tab/>
        <w:t>Rate of interest prescribed (Act s. 103(4))</w:t>
      </w:r>
      <w:bookmarkEnd w:id="73"/>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r>
        <w:tab/>
        <w:t>[Regulation 42 amended: Gazette 28 Aug 2012 p. 4139.]</w:t>
      </w:r>
    </w:p>
    <w:p>
      <w:pPr>
        <w:pStyle w:val="Heading5"/>
      </w:pPr>
      <w:bookmarkStart w:id="74" w:name="_Toc51681683"/>
      <w:r>
        <w:rPr>
          <w:rStyle w:val="CharSectno"/>
        </w:rPr>
        <w:t>43</w:t>
      </w:r>
      <w:r>
        <w:t>.</w:t>
      </w:r>
      <w:r>
        <w:tab/>
        <w:t>Sch. 5 authority proposing to act in conflict with Act, procedure in case of</w:t>
      </w:r>
      <w:bookmarkEnd w:id="74"/>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CEO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keepNext/>
      </w:pPr>
      <w:r>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Footnotesection"/>
      </w:pPr>
      <w:r>
        <w:tab/>
        <w:t>[Regulation 43 amended: Gazette 19 Jun 2015 p. 2099.]</w:t>
      </w:r>
    </w:p>
    <w:p>
      <w:pPr>
        <w:pStyle w:val="Heading5"/>
      </w:pPr>
      <w:bookmarkStart w:id="75" w:name="_Toc51681684"/>
      <w:r>
        <w:rPr>
          <w:rStyle w:val="CharSectno"/>
        </w:rPr>
        <w:t>44</w:t>
      </w:r>
      <w:r>
        <w:t>.</w:t>
      </w:r>
      <w:r>
        <w:tab/>
        <w:t>River reserve leases (Act s. 29), renewal and sublease of</w:t>
      </w:r>
      <w:bookmarkEnd w:id="75"/>
    </w:p>
    <w:p>
      <w:pPr>
        <w:pStyle w:val="Subsection"/>
      </w:pPr>
      <w:r>
        <w:tab/>
        <w:t>(1)</w:t>
      </w:r>
      <w:r>
        <w:tab/>
        <w:t xml:space="preserve">The CEO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CEO may grant a sublease of a lease granted with the approval of the Minister under section 29 if the terms and conditions of the sublease are consistent with the lease.</w:t>
      </w:r>
    </w:p>
    <w:p>
      <w:pPr>
        <w:pStyle w:val="Footnotesection"/>
      </w:pPr>
      <w:r>
        <w:tab/>
        <w:t>[Regulation 44 amended: Gazette 28 Aug 2012 p. 4139; 19 Jun 2015 p. 2100-1.]</w:t>
      </w:r>
    </w:p>
    <w:p>
      <w:pPr>
        <w:pStyle w:val="Heading5"/>
      </w:pPr>
      <w:bookmarkStart w:id="76" w:name="_Toc51681685"/>
      <w:r>
        <w:rPr>
          <w:rStyle w:val="CharSectno"/>
        </w:rPr>
        <w:t>45</w:t>
      </w:r>
      <w:r>
        <w:t>.</w:t>
      </w:r>
      <w:r>
        <w:tab/>
        <w:t>Act Schedule 2 amended</w:t>
      </w:r>
      <w:bookmarkEnd w:id="76"/>
    </w:p>
    <w:p>
      <w:pPr>
        <w:pStyle w:val="Subsection"/>
      </w:pPr>
      <w:r>
        <w:tab/>
        <w:t>(1)</w:t>
      </w:r>
      <w:r>
        <w:tab/>
        <w:t>Under section 13(1), this regulation amends Schedule 2 to the Act.</w:t>
      </w:r>
    </w:p>
    <w:p>
      <w:pPr>
        <w:pStyle w:val="Subsection"/>
        <w:keepNext/>
      </w:pPr>
      <w:r>
        <w:tab/>
        <w:t>(2)</w:t>
      </w:r>
      <w:r>
        <w:tab/>
        <w:t>Delete “</w:t>
      </w:r>
      <w:r>
        <w:rPr>
          <w:sz w:val="22"/>
        </w:rPr>
        <w:t>47465.</w:t>
      </w:r>
      <w:r>
        <w:t>” and insert:</w:t>
      </w:r>
    </w:p>
    <w:p>
      <w:pPr>
        <w:pStyle w:val="BlankOpen"/>
      </w:pPr>
    </w:p>
    <w:p>
      <w:pPr>
        <w:pStyle w:val="Subsection"/>
      </w:pPr>
      <w:r>
        <w:tab/>
      </w:r>
      <w:r>
        <w:tab/>
      </w:r>
      <w:r>
        <w:rPr>
          <w:sz w:val="22"/>
          <w:szCs w:val="22"/>
        </w:rPr>
        <w:t>47465 Version 6.</w:t>
      </w:r>
    </w:p>
    <w:p>
      <w:pPr>
        <w:pStyle w:val="BlankClose"/>
      </w:pPr>
    </w:p>
    <w:p>
      <w:pPr>
        <w:pStyle w:val="Footnotesection"/>
      </w:pPr>
      <w:r>
        <w:tab/>
        <w:t>[Regulation 45 inserted: Gazette 4 Mar 2016 p. 625.]</w:t>
      </w:r>
    </w:p>
    <w:p>
      <w:pPr>
        <w:pStyle w:val="Heading5"/>
      </w:pPr>
      <w:bookmarkStart w:id="77" w:name="_Toc51681686"/>
      <w:r>
        <w:rPr>
          <w:rStyle w:val="CharSectno"/>
        </w:rPr>
        <w:t>46</w:t>
      </w:r>
      <w:r>
        <w:t>.</w:t>
      </w:r>
      <w:r>
        <w:tab/>
        <w:t>Act Schedule 3 amended</w:t>
      </w:r>
      <w:bookmarkEnd w:id="77"/>
    </w:p>
    <w:p>
      <w:pPr>
        <w:pStyle w:val="Subsection"/>
      </w:pPr>
      <w:r>
        <w:tab/>
        <w:t>(1)</w:t>
      </w:r>
      <w:r>
        <w:tab/>
        <w:t>Under section 13(1), this regulation amends Schedule 3 to the Act.</w:t>
      </w:r>
    </w:p>
    <w:p>
      <w:pPr>
        <w:pStyle w:val="Subsection"/>
      </w:pPr>
      <w:r>
        <w:tab/>
        <w:t>(2)</w:t>
      </w:r>
      <w:r>
        <w:tab/>
        <w:t>Delete “</w:t>
      </w:r>
      <w:r>
        <w:rPr>
          <w:sz w:val="22"/>
        </w:rPr>
        <w:t>47465.</w:t>
      </w:r>
      <w:r>
        <w:t>” and insert:</w:t>
      </w:r>
    </w:p>
    <w:p>
      <w:pPr>
        <w:pStyle w:val="BlankOpen"/>
      </w:pPr>
    </w:p>
    <w:p>
      <w:pPr>
        <w:pStyle w:val="Subsection"/>
      </w:pPr>
      <w:r>
        <w:rPr>
          <w:sz w:val="22"/>
          <w:szCs w:val="22"/>
        </w:rPr>
        <w:tab/>
      </w:r>
      <w:r>
        <w:rPr>
          <w:sz w:val="22"/>
          <w:szCs w:val="22"/>
        </w:rPr>
        <w:tab/>
        <w:t>47465 Version 6.</w:t>
      </w:r>
    </w:p>
    <w:p>
      <w:pPr>
        <w:pStyle w:val="BlankClose"/>
      </w:pPr>
    </w:p>
    <w:p>
      <w:pPr>
        <w:pStyle w:val="Footnotesection"/>
      </w:pPr>
      <w:r>
        <w:tab/>
        <w:t>[Regulation 46 inserted: Gazette 4 Mar 2016 p. 626.]</w:t>
      </w:r>
    </w:p>
    <w:p>
      <w:pPr>
        <w:pStyle w:val="Heading5"/>
      </w:pPr>
      <w:bookmarkStart w:id="78" w:name="_Toc51681687"/>
      <w:r>
        <w:rPr>
          <w:rStyle w:val="CharSectno"/>
        </w:rPr>
        <w:t>47</w:t>
      </w:r>
      <w:r>
        <w:t>.</w:t>
      </w:r>
      <w:r>
        <w:tab/>
        <w:t>Act Schedule 4 amended</w:t>
      </w:r>
      <w:bookmarkEnd w:id="78"/>
    </w:p>
    <w:p>
      <w:pPr>
        <w:pStyle w:val="Subsection"/>
      </w:pPr>
      <w:r>
        <w:tab/>
        <w:t>(1)</w:t>
      </w:r>
      <w:r>
        <w:tab/>
        <w:t>Under section 13(1), this regulation amends Schedule 4 to the Act.</w:t>
      </w:r>
    </w:p>
    <w:p>
      <w:pPr>
        <w:pStyle w:val="Subsection"/>
      </w:pPr>
      <w:r>
        <w:tab/>
        <w:t>(2)</w:t>
      </w:r>
      <w:r>
        <w:tab/>
        <w:t xml:space="preserve">In relation to </w:t>
      </w:r>
      <w:r>
        <w:rPr>
          <w:b/>
          <w:sz w:val="22"/>
        </w:rPr>
        <w:t>Reserve 48325</w:t>
      </w:r>
      <w:r>
        <w:rPr>
          <w:sz w:val="22"/>
        </w:rPr>
        <w:t xml:space="preserve"> </w:t>
      </w:r>
      <w:r>
        <w:t>delete “</w:t>
      </w:r>
      <w:r>
        <w:rPr>
          <w:sz w:val="22"/>
        </w:rPr>
        <w:t>Lot 351 on Deposited Plan 59844,</w:t>
      </w:r>
      <w:r>
        <w:t>” and insert:</w:t>
      </w:r>
    </w:p>
    <w:p>
      <w:pPr>
        <w:pStyle w:val="BlankOpen"/>
      </w:pPr>
    </w:p>
    <w:p>
      <w:pPr>
        <w:pStyle w:val="Subsection"/>
      </w:pPr>
      <w:r>
        <w:rPr>
          <w:sz w:val="22"/>
          <w:szCs w:val="22"/>
        </w:rPr>
        <w:tab/>
      </w:r>
      <w:r>
        <w:rPr>
          <w:sz w:val="22"/>
          <w:szCs w:val="22"/>
        </w:rPr>
        <w:tab/>
        <w:t>Lot 504 on Deposited Plan 408106,</w:t>
      </w:r>
    </w:p>
    <w:p>
      <w:pPr>
        <w:pStyle w:val="BlankClose"/>
      </w:pPr>
    </w:p>
    <w:p>
      <w:pPr>
        <w:pStyle w:val="Footnotesection"/>
      </w:pPr>
      <w:r>
        <w:tab/>
        <w:t>[Regulation 47 inserted: Gazette 4 Mar 2016 p. 626.]</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9" w:name="_Toc51670482"/>
      <w:bookmarkStart w:id="80" w:name="_Toc51671016"/>
      <w:bookmarkStart w:id="81" w:name="_Toc51681688"/>
      <w:r>
        <w:rPr>
          <w:rStyle w:val="CharSchNo"/>
        </w:rPr>
        <w:t>Schedule 1</w:t>
      </w:r>
      <w:r>
        <w:rPr>
          <w:rStyle w:val="CharSDivNo"/>
        </w:rPr>
        <w:t> </w:t>
      </w:r>
      <w:r>
        <w:t>—</w:t>
      </w:r>
      <w:r>
        <w:rPr>
          <w:rStyle w:val="CharSDivText"/>
        </w:rPr>
        <w:t> </w:t>
      </w:r>
      <w:r>
        <w:rPr>
          <w:rStyle w:val="CharSchText"/>
        </w:rPr>
        <w:t>Prescribed offences and modified penalties</w:t>
      </w:r>
      <w:bookmarkEnd w:id="79"/>
      <w:bookmarkEnd w:id="80"/>
      <w:bookmarkEnd w:id="81"/>
    </w:p>
    <w:p>
      <w:pPr>
        <w:pStyle w:val="yShoulderClause"/>
        <w:spacing w:after="60"/>
      </w:pPr>
      <w:r>
        <w:t>[r. 37, 38]</w:t>
      </w:r>
    </w:p>
    <w:tbl>
      <w:tblPr>
        <w:tblW w:w="0" w:type="auto"/>
        <w:tblInd w:w="57" w:type="dxa"/>
        <w:tblLayout w:type="fixed"/>
        <w:tblCellMar>
          <w:left w:w="57" w:type="dxa"/>
          <w:right w:w="57" w:type="dxa"/>
        </w:tblCellMar>
        <w:tblLook w:val="0000" w:firstRow="0" w:lastRow="0" w:firstColumn="0" w:lastColumn="0" w:noHBand="0" w:noVBand="0"/>
      </w:tblPr>
      <w:tblGrid>
        <w:gridCol w:w="1134"/>
        <w:gridCol w:w="4820"/>
        <w:gridCol w:w="1114"/>
      </w:tblGrid>
      <w:tr>
        <w:trPr>
          <w:cantSplit/>
          <w:trHeight w:val="28"/>
          <w:tblHeader/>
        </w:trPr>
        <w:tc>
          <w:tcPr>
            <w:tcW w:w="5954" w:type="dxa"/>
            <w:gridSpan w:val="2"/>
            <w:tcBorders>
              <w:top w:val="single" w:sz="4" w:space="0" w:color="auto"/>
              <w:bottom w:val="single" w:sz="4" w:space="0" w:color="auto"/>
            </w:tcBorders>
          </w:tcPr>
          <w:p>
            <w:pPr>
              <w:pStyle w:val="yTable"/>
              <w:spacing w:after="60"/>
              <w:rPr>
                <w:b/>
              </w:rPr>
            </w:pPr>
            <w:r>
              <w:rPr>
                <w:b/>
              </w:rPr>
              <w:t xml:space="preserve">Offences </w:t>
            </w:r>
          </w:p>
        </w:tc>
        <w:tc>
          <w:tcPr>
            <w:tcW w:w="1114" w:type="dxa"/>
            <w:tcBorders>
              <w:top w:val="single" w:sz="4" w:space="0" w:color="auto"/>
              <w:bottom w:val="single" w:sz="4" w:space="0" w:color="auto"/>
            </w:tcBorders>
          </w:tcPr>
          <w:p>
            <w:pPr>
              <w:pStyle w:val="yTable"/>
              <w:spacing w:after="60"/>
              <w:ind w:left="113"/>
              <w:rPr>
                <w:b/>
              </w:rPr>
            </w:pPr>
            <w:r>
              <w:rPr>
                <w:b/>
              </w:rPr>
              <w:t>Modified penalty</w:t>
            </w:r>
          </w:p>
        </w:tc>
      </w:tr>
      <w:tr>
        <w:trPr>
          <w:cantSplit/>
          <w:trHeight w:val="21"/>
        </w:trPr>
        <w:tc>
          <w:tcPr>
            <w:tcW w:w="1134" w:type="dxa"/>
          </w:tcPr>
          <w:p>
            <w:pPr>
              <w:pStyle w:val="yTable"/>
            </w:pPr>
            <w:r>
              <w:t>r. 9(1)</w:t>
            </w:r>
          </w:p>
        </w:tc>
        <w:tc>
          <w:tcPr>
            <w:tcW w:w="4820" w:type="dxa"/>
          </w:tcPr>
          <w:p>
            <w:pPr>
              <w:pStyle w:val="yTable"/>
            </w:pPr>
            <w:r>
              <w:t>Exhibiting sign without permit</w:t>
            </w:r>
          </w:p>
        </w:tc>
        <w:tc>
          <w:tcPr>
            <w:tcW w:w="1114" w:type="dxa"/>
          </w:tcPr>
          <w:p>
            <w:pPr>
              <w:pStyle w:val="yTable"/>
              <w:ind w:left="113" w:right="58"/>
            </w:pPr>
            <w:r>
              <w:t>$200</w:t>
            </w:r>
          </w:p>
        </w:tc>
      </w:tr>
      <w:tr>
        <w:trPr>
          <w:cantSplit/>
          <w:trHeight w:val="21"/>
        </w:trPr>
        <w:tc>
          <w:tcPr>
            <w:tcW w:w="1134" w:type="dxa"/>
          </w:tcPr>
          <w:p>
            <w:pPr>
              <w:pStyle w:val="yTable"/>
              <w:spacing w:before="0"/>
            </w:pPr>
            <w:r>
              <w:t>r. 10(2)</w:t>
            </w:r>
          </w:p>
        </w:tc>
        <w:tc>
          <w:tcPr>
            <w:tcW w:w="4820" w:type="dxa"/>
          </w:tcPr>
          <w:p>
            <w:pPr>
              <w:pStyle w:val="yTable"/>
              <w:spacing w:before="0"/>
            </w:pPr>
            <w:r>
              <w:t>Undertaking repairs or maintenance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11(2)</w:t>
            </w:r>
          </w:p>
        </w:tc>
        <w:tc>
          <w:tcPr>
            <w:tcW w:w="4820" w:type="dxa"/>
          </w:tcPr>
          <w:p>
            <w:pPr>
              <w:pStyle w:val="yTable"/>
              <w:spacing w:before="0"/>
            </w:pPr>
            <w:r>
              <w:t>Undertaking emergency work, act or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13(2)</w:t>
            </w:r>
          </w:p>
        </w:tc>
        <w:tc>
          <w:tcPr>
            <w:tcW w:w="4820" w:type="dxa"/>
          </w:tcPr>
          <w:p>
            <w:pPr>
              <w:pStyle w:val="yTable"/>
              <w:spacing w:before="0"/>
            </w:pPr>
            <w:r>
              <w:t>Placing or removing temporary structure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14A(2)</w:t>
            </w:r>
          </w:p>
        </w:tc>
        <w:tc>
          <w:tcPr>
            <w:tcW w:w="4820" w:type="dxa"/>
          </w:tcPr>
          <w:p>
            <w:pPr>
              <w:pStyle w:val="yTable"/>
              <w:spacing w:before="0"/>
            </w:pPr>
            <w:r>
              <w:t>Leaseholder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14(2)</w:t>
            </w:r>
          </w:p>
        </w:tc>
        <w:tc>
          <w:tcPr>
            <w:tcW w:w="4820" w:type="dxa"/>
          </w:tcPr>
          <w:p>
            <w:pPr>
              <w:pStyle w:val="yTable"/>
              <w:spacing w:before="0"/>
            </w:pPr>
            <w:r>
              <w:t>Schedule 5 authority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15(2)</w:t>
            </w:r>
          </w:p>
        </w:tc>
        <w:tc>
          <w:tcPr>
            <w:tcW w:w="4820" w:type="dxa"/>
          </w:tcPr>
          <w:p>
            <w:pPr>
              <w:pStyle w:val="yTable"/>
              <w:spacing w:before="0"/>
            </w:pPr>
            <w:r>
              <w:t>Undertaking fire hazard reduction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16A(2)</w:t>
            </w:r>
          </w:p>
        </w:tc>
        <w:tc>
          <w:tcPr>
            <w:tcW w:w="4820" w:type="dxa"/>
          </w:tcPr>
          <w:p>
            <w:pPr>
              <w:pStyle w:val="yTable"/>
              <w:spacing w:before="0"/>
            </w:pPr>
            <w:r>
              <w:t>Undertaking aircraft activity without licence or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16B</w:t>
            </w:r>
          </w:p>
        </w:tc>
        <w:tc>
          <w:tcPr>
            <w:tcW w:w="4820" w:type="dxa"/>
          </w:tcPr>
          <w:p>
            <w:pPr>
              <w:pStyle w:val="yTable"/>
              <w:spacing w:before="0"/>
            </w:pPr>
            <w:r>
              <w:t>Undertaking maintenance dredging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16C</w:t>
            </w:r>
          </w:p>
        </w:tc>
        <w:tc>
          <w:tcPr>
            <w:tcW w:w="4820" w:type="dxa"/>
          </w:tcPr>
          <w:p>
            <w:pPr>
              <w:pStyle w:val="yTable"/>
              <w:spacing w:before="0"/>
            </w:pPr>
            <w:r>
              <w:t>Undertaking scientific studies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17(1)</w:t>
            </w:r>
          </w:p>
        </w:tc>
        <w:tc>
          <w:tcPr>
            <w:tcW w:w="4820" w:type="dxa"/>
          </w:tcPr>
          <w:p>
            <w:pPr>
              <w:pStyle w:val="yTable"/>
              <w:spacing w:before="0"/>
            </w:pPr>
            <w:r>
              <w:t>Undertaking activity for commercial purpose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19(1)</w:t>
            </w:r>
          </w:p>
        </w:tc>
        <w:tc>
          <w:tcPr>
            <w:tcW w:w="4820" w:type="dxa"/>
          </w:tcPr>
          <w:p>
            <w:pPr>
              <w:pStyle w:val="yTable"/>
              <w:spacing w:before="0"/>
            </w:pPr>
            <w:r>
              <w:t>Digging in bed or subsoil</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20(1)</w:t>
            </w:r>
          </w:p>
        </w:tc>
        <w:tc>
          <w:tcPr>
            <w:tcW w:w="4820" w:type="dxa"/>
          </w:tcPr>
          <w:p>
            <w:pPr>
              <w:pStyle w:val="yTable"/>
              <w:spacing w:before="0"/>
            </w:pPr>
            <w:r>
              <w:t>Digging for or taking worms or invertebrates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21(1)</w:t>
            </w:r>
          </w:p>
        </w:tc>
        <w:tc>
          <w:tcPr>
            <w:tcW w:w="4820" w:type="dxa"/>
          </w:tcPr>
          <w:p>
            <w:pPr>
              <w:pStyle w:val="yTable"/>
              <w:spacing w:before="0"/>
            </w:pPr>
            <w:r>
              <w:t>Destroying or injuring tree, shrub or plant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22A(1)</w:t>
            </w:r>
          </w:p>
        </w:tc>
        <w:tc>
          <w:tcPr>
            <w:tcW w:w="4820" w:type="dxa"/>
          </w:tcPr>
          <w:p>
            <w:pPr>
              <w:pStyle w:val="yTable"/>
              <w:spacing w:before="0"/>
            </w:pPr>
            <w:r>
              <w:t>Leaving vessel unattended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22A(2)</w:t>
            </w:r>
          </w:p>
        </w:tc>
        <w:tc>
          <w:tcPr>
            <w:tcW w:w="4820" w:type="dxa"/>
          </w:tcPr>
          <w:p>
            <w:pPr>
              <w:pStyle w:val="yTable"/>
              <w:spacing w:before="0"/>
            </w:pPr>
            <w:r>
              <w:t>Placing object to secure vessel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22(2)</w:t>
            </w:r>
          </w:p>
        </w:tc>
        <w:tc>
          <w:tcPr>
            <w:tcW w:w="4820" w:type="dxa"/>
          </w:tcPr>
          <w:p>
            <w:pPr>
              <w:pStyle w:val="yTable"/>
              <w:spacing w:before="0"/>
            </w:pPr>
            <w:r>
              <w:t>Launching vessel from trailer except at permitted launching place</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23</w:t>
            </w:r>
          </w:p>
        </w:tc>
        <w:tc>
          <w:tcPr>
            <w:tcW w:w="4820" w:type="dxa"/>
          </w:tcPr>
          <w:p>
            <w:pPr>
              <w:pStyle w:val="yTable"/>
              <w:spacing w:before="0"/>
            </w:pPr>
            <w:r>
              <w:t>Using vessel as living accommodation</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24(2)</w:t>
            </w:r>
          </w:p>
        </w:tc>
        <w:tc>
          <w:tcPr>
            <w:tcW w:w="4820" w:type="dxa"/>
          </w:tcPr>
          <w:p>
            <w:pPr>
              <w:pStyle w:val="yTable"/>
              <w:spacing w:before="0"/>
            </w:pPr>
            <w:r>
              <w:t xml:space="preserve">Securing vessel to </w:t>
            </w:r>
            <w:r>
              <w:rPr>
                <w:szCs w:val="22"/>
              </w:rPr>
              <w:t>Department courtesy mooring</w:t>
            </w:r>
            <w:r>
              <w:t xml:space="preserve"> for period that is longer than authorised</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24(3)</w:t>
            </w:r>
          </w:p>
        </w:tc>
        <w:tc>
          <w:tcPr>
            <w:tcW w:w="4820" w:type="dxa"/>
          </w:tcPr>
          <w:p>
            <w:pPr>
              <w:pStyle w:val="yTable"/>
              <w:spacing w:before="0"/>
            </w:pPr>
            <w:r>
              <w:t xml:space="preserve">Securing long or commercial vessel to </w:t>
            </w:r>
            <w:r>
              <w:rPr>
                <w:szCs w:val="22"/>
              </w:rPr>
              <w:t>Department courtesy mooring</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25(2)</w:t>
            </w:r>
          </w:p>
        </w:tc>
        <w:tc>
          <w:tcPr>
            <w:tcW w:w="4820" w:type="dxa"/>
          </w:tcPr>
          <w:p>
            <w:pPr>
              <w:pStyle w:val="yTable"/>
              <w:spacing w:before="0"/>
            </w:pPr>
            <w:r>
              <w:t>Littering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25(3)</w:t>
            </w:r>
          </w:p>
        </w:tc>
        <w:tc>
          <w:tcPr>
            <w:tcW w:w="4820" w:type="dxa"/>
          </w:tcPr>
          <w:p>
            <w:pPr>
              <w:pStyle w:val="yTable"/>
              <w:spacing w:before="0"/>
            </w:pPr>
            <w:r>
              <w:t>Breaking glass, metal or earthenware in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26(2)</w:t>
            </w:r>
          </w:p>
        </w:tc>
        <w:tc>
          <w:tcPr>
            <w:tcW w:w="4820" w:type="dxa"/>
          </w:tcPr>
          <w:p>
            <w:pPr>
              <w:pStyle w:val="yTable"/>
              <w:spacing w:before="0"/>
            </w:pPr>
            <w:r>
              <w:t>Organising or holding spectator event in River reserve without permit</w:t>
            </w:r>
          </w:p>
        </w:tc>
        <w:tc>
          <w:tcPr>
            <w:tcW w:w="1114" w:type="dxa"/>
          </w:tcPr>
          <w:p>
            <w:pPr>
              <w:pStyle w:val="yTable"/>
              <w:spacing w:before="0"/>
              <w:ind w:left="113" w:right="58"/>
            </w:pPr>
            <w:r>
              <w:t>$200</w:t>
            </w:r>
          </w:p>
        </w:tc>
      </w:tr>
      <w:tr>
        <w:trPr>
          <w:cantSplit/>
          <w:trHeight w:val="21"/>
        </w:trPr>
        <w:tc>
          <w:tcPr>
            <w:tcW w:w="1134" w:type="dxa"/>
            <w:tcBorders>
              <w:bottom w:val="single" w:sz="4" w:space="0" w:color="auto"/>
            </w:tcBorders>
          </w:tcPr>
          <w:p>
            <w:pPr>
              <w:pStyle w:val="yTable"/>
              <w:spacing w:before="0"/>
            </w:pPr>
            <w:r>
              <w:t>r. 31(3)</w:t>
            </w:r>
          </w:p>
        </w:tc>
        <w:tc>
          <w:tcPr>
            <w:tcW w:w="4820" w:type="dxa"/>
            <w:tcBorders>
              <w:bottom w:val="single" w:sz="4" w:space="0" w:color="auto"/>
            </w:tcBorders>
          </w:tcPr>
          <w:p>
            <w:pPr>
              <w:pStyle w:val="yTable"/>
              <w:spacing w:before="0"/>
            </w:pPr>
            <w:r>
              <w:t>Contravening condition or restriction imposed on permit</w:t>
            </w:r>
          </w:p>
        </w:tc>
        <w:tc>
          <w:tcPr>
            <w:tcW w:w="1114" w:type="dxa"/>
            <w:tcBorders>
              <w:bottom w:val="single" w:sz="4" w:space="0" w:color="auto"/>
            </w:tcBorders>
          </w:tcPr>
          <w:p>
            <w:pPr>
              <w:pStyle w:val="yTable"/>
              <w:spacing w:before="0"/>
              <w:ind w:left="113" w:right="58"/>
            </w:pPr>
            <w:r>
              <w:t>$200</w:t>
            </w:r>
          </w:p>
        </w:tc>
      </w:tr>
    </w:tbl>
    <w:p>
      <w:pPr>
        <w:pStyle w:val="yFootnotesection"/>
      </w:pPr>
      <w:r>
        <w:tab/>
        <w:t>[Schedule 1 amended: Gazette 28 Aug 2012 p. 4139-40; 19 Jun 2015 p. 2099.]</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83" w:name="_Toc51670483"/>
      <w:bookmarkStart w:id="84" w:name="_Toc51671017"/>
      <w:bookmarkStart w:id="85" w:name="_Toc51681689"/>
      <w:r>
        <w:rPr>
          <w:rStyle w:val="CharSchNo"/>
        </w:rPr>
        <w:t>Schedule 2</w:t>
      </w:r>
      <w:r>
        <w:rPr>
          <w:rStyle w:val="CharSDivNo"/>
        </w:rPr>
        <w:t> </w:t>
      </w:r>
      <w:r>
        <w:t>—</w:t>
      </w:r>
      <w:r>
        <w:rPr>
          <w:rStyle w:val="CharSDivText"/>
        </w:rPr>
        <w:t> </w:t>
      </w:r>
      <w:r>
        <w:rPr>
          <w:rStyle w:val="CharSchText"/>
        </w:rPr>
        <w:t>Forms</w:t>
      </w:r>
      <w:bookmarkEnd w:id="83"/>
      <w:bookmarkEnd w:id="84"/>
      <w:bookmarkEnd w:id="85"/>
    </w:p>
    <w:p>
      <w:pPr>
        <w:pStyle w:val="yShoulderClause"/>
        <w:spacing w:before="60"/>
        <w:rPr>
          <w:snapToGrid w:val="0"/>
        </w:rPr>
      </w:pPr>
      <w:r>
        <w:rPr>
          <w:snapToGrid w:val="0"/>
        </w:rPr>
        <w:t>[r. 6, 7, 39, 40]</w:t>
      </w:r>
    </w:p>
    <w:p>
      <w:pPr>
        <w:pStyle w:val="yMiscellaneousHeading"/>
        <w:spacing w:before="140"/>
      </w:pPr>
      <w:r>
        <w:rPr>
          <w:rStyle w:val="CharSClsNo"/>
          <w:b/>
        </w:rPr>
        <w:t>Form 1</w:t>
      </w:r>
    </w:p>
    <w:p>
      <w:pPr>
        <w:pStyle w:val="yMiscellaneousHeading"/>
        <w:spacing w:before="140"/>
        <w:rPr>
          <w:i/>
          <w:iCs/>
        </w:rPr>
      </w:pPr>
      <w:r>
        <w:rPr>
          <w:i/>
          <w:iCs/>
        </w:rPr>
        <w:t>Swan and Canning Rivers Management Act 2006</w:t>
      </w:r>
    </w:p>
    <w:p>
      <w:pPr>
        <w:pStyle w:val="yMiscellaneousHeading"/>
        <w:spacing w:before="140"/>
      </w:pPr>
      <w:r>
        <w:t>Section 72</w:t>
      </w:r>
    </w:p>
    <w:p>
      <w:pPr>
        <w:pStyle w:val="yMiscellaneousHeading"/>
        <w:spacing w:before="140"/>
        <w:rPr>
          <w:b/>
          <w:bCs/>
        </w:rPr>
      </w:pPr>
      <w:r>
        <w:rPr>
          <w:b/>
          <w:bCs/>
        </w:rPr>
        <w:t>APPLICATION FOR APPROVAL OF DEVELOPMENT</w:t>
      </w:r>
    </w:p>
    <w:p>
      <w:pPr>
        <w:pStyle w:val="yMiscellaneousBody"/>
        <w:ind w:left="462" w:hanging="462"/>
        <w:rPr>
          <w:b/>
          <w:bCs/>
          <w:shd w:val="clear" w:color="auto" w:fill="CCCCCC"/>
        </w:rPr>
      </w:pPr>
      <w:r>
        <w:rPr>
          <w:b/>
          <w:bCs/>
          <w:shd w:val="clear" w:color="auto" w:fill="D9D9D9"/>
        </w:rPr>
        <w:t>1.</w:t>
      </w:r>
      <w:r>
        <w:rPr>
          <w:b/>
          <w:bCs/>
          <w:shd w:val="clear" w:color="auto" w:fill="D9D9D9"/>
        </w:rPr>
        <w:tab/>
        <w:t>Applicant — the applicant is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The applicant is the person with whom the </w:t>
      </w:r>
      <w:r>
        <w:rPr>
          <w:sz w:val="16"/>
          <w:szCs w:val="16"/>
        </w:rPr>
        <w:t>Chief Executive Officer</w:t>
      </w:r>
      <w:r>
        <w:rPr>
          <w:sz w:val="16"/>
        </w:rPr>
        <w:t xml:space="preserve"> will correspond, unless an authorised agent has been appointed to act on behalf of the applicant, in which case correspondence will be sent direct to the agent.</w:t>
      </w:r>
    </w:p>
    <w:p>
      <w:pPr>
        <w:pStyle w:val="yMiscellaneousBody"/>
        <w:spacing w:before="0"/>
        <w:rPr>
          <w:sz w:val="10"/>
          <w:szCs w:val="10"/>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850"/>
        <w:gridCol w:w="709"/>
        <w:gridCol w:w="992"/>
        <w:gridCol w:w="992"/>
        <w:gridCol w:w="831"/>
      </w:tblGrid>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Applicant</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Name of Company </w:t>
            </w:r>
            <w:r>
              <w:rPr>
                <w:sz w:val="20"/>
                <w:szCs w:val="14"/>
              </w:rPr>
              <w:t>(if applicable)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Contact person</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5083" w:type="dxa"/>
            <w:gridSpan w:val="6"/>
            <w:tcBorders>
              <w:left w:val="single" w:sz="4" w:space="0" w:color="auto"/>
            </w:tcBorders>
          </w:tcPr>
          <w:p>
            <w:pPr>
              <w:pStyle w:val="yTable"/>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1559" w:type="dxa"/>
            <w:gridSpan w:val="2"/>
            <w:tcBorders>
              <w:top w:val="single" w:sz="4" w:space="0" w:color="auto"/>
              <w:left w:val="nil"/>
              <w:bottom w:val="single" w:sz="4" w:space="0" w:color="auto"/>
            </w:tcBorders>
          </w:tcPr>
          <w:p>
            <w:pPr>
              <w:pStyle w:val="yTable"/>
              <w:keepNext/>
              <w:keepLines/>
              <w:rPr>
                <w:sz w:val="20"/>
              </w:rPr>
            </w:pPr>
          </w:p>
        </w:tc>
        <w:tc>
          <w:tcPr>
            <w:tcW w:w="709" w:type="dxa"/>
            <w:tcBorders>
              <w:top w:val="single" w:sz="4" w:space="0" w:color="auto"/>
              <w:left w:val="nil"/>
              <w:bottom w:val="single" w:sz="4" w:space="0" w:color="auto"/>
            </w:tcBorders>
          </w:tcPr>
          <w:p>
            <w:pPr>
              <w:pStyle w:val="yTable"/>
              <w:keepNext/>
              <w:keepLines/>
              <w:rPr>
                <w:sz w:val="20"/>
              </w:rPr>
            </w:pPr>
            <w:r>
              <w:rPr>
                <w:sz w:val="20"/>
              </w:rPr>
              <w:t>State</w:t>
            </w:r>
          </w:p>
        </w:tc>
        <w:tc>
          <w:tcPr>
            <w:tcW w:w="992" w:type="dxa"/>
            <w:tcBorders>
              <w:top w:val="single" w:sz="4" w:space="0" w:color="auto"/>
              <w:left w:val="nil"/>
              <w:bottom w:val="single" w:sz="4" w:space="0" w:color="auto"/>
            </w:tcBorders>
          </w:tcPr>
          <w:p>
            <w:pPr>
              <w:pStyle w:val="yTable"/>
              <w:keepNext/>
              <w:keepLines/>
              <w:rPr>
                <w:sz w:val="20"/>
              </w:rPr>
            </w:pPr>
          </w:p>
        </w:tc>
        <w:tc>
          <w:tcPr>
            <w:tcW w:w="992" w:type="dxa"/>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Telephone</w:t>
            </w:r>
          </w:p>
        </w:tc>
        <w:tc>
          <w:tcPr>
            <w:tcW w:w="709" w:type="dxa"/>
            <w:tcBorders>
              <w:top w:val="single" w:sz="4" w:space="0" w:color="auto"/>
              <w:left w:val="nil"/>
              <w:bottom w:val="single" w:sz="4" w:space="0" w:color="auto"/>
            </w:tcBorders>
          </w:tcPr>
          <w:p>
            <w:pPr>
              <w:pStyle w:val="yTable"/>
              <w:rPr>
                <w:sz w:val="20"/>
              </w:rPr>
            </w:pPr>
            <w:r>
              <w:rPr>
                <w:sz w:val="20"/>
              </w:rPr>
              <w:t>Work</w:t>
            </w:r>
          </w:p>
        </w:tc>
        <w:tc>
          <w:tcPr>
            <w:tcW w:w="850" w:type="dxa"/>
            <w:tcBorders>
              <w:top w:val="single" w:sz="4" w:space="0" w:color="auto"/>
              <w:left w:val="nil"/>
              <w:bottom w:val="single" w:sz="4" w:space="0" w:color="auto"/>
            </w:tcBorders>
          </w:tcPr>
          <w:p>
            <w:pPr>
              <w:pStyle w:val="yTable"/>
              <w:rPr>
                <w:sz w:val="20"/>
              </w:rPr>
            </w:pPr>
          </w:p>
        </w:tc>
        <w:tc>
          <w:tcPr>
            <w:tcW w:w="709" w:type="dxa"/>
            <w:tcBorders>
              <w:top w:val="single" w:sz="4" w:space="0" w:color="auto"/>
              <w:left w:val="nil"/>
              <w:bottom w:val="single" w:sz="4" w:space="0" w:color="auto"/>
            </w:tcBorders>
          </w:tcPr>
          <w:p>
            <w:pPr>
              <w:pStyle w:val="yTable"/>
              <w:rPr>
                <w:sz w:val="20"/>
              </w:rPr>
            </w:pPr>
            <w:r>
              <w:rPr>
                <w:sz w:val="20"/>
              </w:rPr>
              <w:t>Home</w:t>
            </w:r>
          </w:p>
        </w:tc>
        <w:tc>
          <w:tcPr>
            <w:tcW w:w="992"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Mobile</w:t>
            </w:r>
          </w:p>
        </w:tc>
        <w:tc>
          <w:tcPr>
            <w:tcW w:w="831" w:type="dxa"/>
            <w:tcBorders>
              <w:top w:val="single" w:sz="4" w:space="0" w:color="auto"/>
              <w:left w:val="nil"/>
              <w:bottom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Facsimile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Email</w:t>
            </w:r>
          </w:p>
        </w:tc>
        <w:tc>
          <w:tcPr>
            <w:tcW w:w="5083" w:type="dxa"/>
            <w:gridSpan w:val="6"/>
            <w:tcBorders>
              <w:left w:val="single" w:sz="4" w:space="0" w:color="auto"/>
            </w:tcBorders>
          </w:tcPr>
          <w:p>
            <w:pPr>
              <w:pStyle w:val="yTable"/>
              <w:rPr>
                <w:sz w:val="20"/>
              </w:rPr>
            </w:pPr>
          </w:p>
        </w:tc>
      </w:tr>
    </w:tbl>
    <w:p>
      <w:pPr>
        <w:pStyle w:val="yMiscellaneousBody"/>
        <w:ind w:left="462" w:hanging="462"/>
        <w:rPr>
          <w:b/>
          <w:bCs/>
          <w:shd w:val="clear" w:color="auto" w:fill="D9D9D9"/>
        </w:rPr>
      </w:pPr>
      <w:r>
        <w:rPr>
          <w:b/>
          <w:bCs/>
          <w:shd w:val="clear" w:color="auto" w:fill="D9D9D9"/>
        </w:rPr>
        <w:t>2.</w:t>
      </w:r>
      <w:r>
        <w:rPr>
          <w:b/>
          <w:bCs/>
          <w:shd w:val="clear" w:color="auto" w:fill="D9D9D9"/>
        </w:rPr>
        <w:tab/>
        <w:t>Landowner(s) — landowners are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All owner(s) of the land </w:t>
      </w:r>
      <w:r>
        <w:rPr>
          <w:b/>
          <w:bCs/>
          <w:sz w:val="16"/>
        </w:rPr>
        <w:t>must sign this application</w:t>
      </w:r>
      <w:r>
        <w:rPr>
          <w:sz w:val="16"/>
        </w:rPr>
        <w:t>.  Where land is owned by the Crown, or has a management order granted to a local government or other agency, this application must be signed by the relevant landowner as required under section 72(5)(a) of the Act.  If there are more than 2 landowners, please provide the additional information on a separate page.</w:t>
      </w:r>
    </w:p>
    <w:p>
      <w:pPr>
        <w:pStyle w:val="yMiscellaneousBody"/>
        <w:spacing w:before="0"/>
        <w:rPr>
          <w:sz w:val="10"/>
          <w:szCs w:val="10"/>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jc w:val="center"/>
              <w:rPr>
                <w:b/>
                <w:bCs/>
                <w:sz w:val="20"/>
              </w:rPr>
            </w:pPr>
            <w:r>
              <w:rPr>
                <w:b/>
                <w:bCs/>
                <w:sz w:val="20"/>
              </w:rPr>
              <w:t>Details of 1</w:t>
            </w:r>
            <w:r>
              <w:rPr>
                <w:b/>
                <w:bCs/>
                <w:sz w:val="20"/>
                <w:vertAlign w:val="superscript"/>
              </w:rPr>
              <w:t>st</w:t>
            </w:r>
            <w:r>
              <w:rPr>
                <w:b/>
                <w:bCs/>
                <w:sz w:val="20"/>
              </w:rPr>
              <w:t xml:space="preserve"> landowner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rPr>
                <w:sz w:val="20"/>
              </w:rPr>
            </w:pPr>
            <w:r>
              <w:rPr>
                <w:sz w:val="20"/>
              </w:rPr>
              <w:t>Full name</w:t>
            </w:r>
          </w:p>
        </w:tc>
        <w:tc>
          <w:tcPr>
            <w:tcW w:w="4941" w:type="dxa"/>
            <w:gridSpan w:val="6"/>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992" w:type="dxa"/>
            <w:tcBorders>
              <w:top w:val="single" w:sz="4" w:space="0" w:color="auto"/>
              <w:left w:val="nil"/>
              <w:bottom w:val="single" w:sz="4" w:space="0" w:color="auto"/>
            </w:tcBorders>
          </w:tcPr>
          <w:p>
            <w:pPr>
              <w:pStyle w:val="yTable"/>
              <w:rPr>
                <w:sz w:val="20"/>
              </w:rPr>
            </w:pPr>
          </w:p>
        </w:tc>
        <w:tc>
          <w:tcPr>
            <w:tcW w:w="1276" w:type="dxa"/>
            <w:tcBorders>
              <w:top w:val="single" w:sz="4" w:space="0" w:color="auto"/>
              <w:left w:val="nil"/>
              <w:bottom w:val="single" w:sz="4" w:space="0" w:color="auto"/>
            </w:tcBorders>
          </w:tcPr>
          <w:p>
            <w:pPr>
              <w:pStyle w:val="yTable"/>
              <w:rPr>
                <w:sz w:val="20"/>
              </w:rPr>
            </w:pPr>
            <w:r>
              <w:rPr>
                <w:sz w:val="20"/>
              </w:rPr>
              <w:t>State</w:t>
            </w:r>
          </w:p>
        </w:tc>
        <w:tc>
          <w:tcPr>
            <w:tcW w:w="850" w:type="dxa"/>
            <w:tcBorders>
              <w:top w:val="single" w:sz="4" w:space="0" w:color="auto"/>
              <w:left w:val="nil"/>
              <w:bottom w:val="single" w:sz="4" w:space="0" w:color="auto"/>
            </w:tcBorders>
          </w:tcPr>
          <w:p>
            <w:pPr>
              <w:pStyle w:val="yTable"/>
              <w:rPr>
                <w:sz w:val="20"/>
              </w:rPr>
            </w:pPr>
          </w:p>
        </w:tc>
        <w:tc>
          <w:tcPr>
            <w:tcW w:w="992" w:type="dxa"/>
            <w:gridSpan w:val="2"/>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spacing w:before="0"/>
        <w:rPr>
          <w:sz w:val="16"/>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keepNext/>
              <w:keepLines/>
              <w:jc w:val="center"/>
              <w:rPr>
                <w:b/>
                <w:bCs/>
                <w:sz w:val="20"/>
              </w:rPr>
            </w:pPr>
            <w:r>
              <w:rPr>
                <w:b/>
                <w:bCs/>
                <w:sz w:val="20"/>
              </w:rPr>
              <w:t>Details of 2</w:t>
            </w:r>
            <w:r>
              <w:rPr>
                <w:b/>
                <w:bCs/>
                <w:sz w:val="20"/>
                <w:vertAlign w:val="superscript"/>
              </w:rPr>
              <w:t>nd</w:t>
            </w:r>
            <w:r>
              <w:rPr>
                <w:b/>
                <w:bCs/>
                <w:sz w:val="20"/>
              </w:rPr>
              <w:t xml:space="preserve"> landowner (if applicable)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keepNext/>
              <w:keepLines/>
              <w:rPr>
                <w:sz w:val="20"/>
              </w:rPr>
            </w:pPr>
            <w:r>
              <w:rPr>
                <w:sz w:val="20"/>
              </w:rPr>
              <w:t>Full name</w:t>
            </w:r>
          </w:p>
        </w:tc>
        <w:tc>
          <w:tcPr>
            <w:tcW w:w="4941" w:type="dxa"/>
            <w:gridSpan w:val="6"/>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keepNext/>
              <w:keepLines/>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keepNext/>
              <w:keepLines/>
              <w:rPr>
                <w:sz w:val="20"/>
              </w:rPr>
            </w:pPr>
            <w:r>
              <w:rPr>
                <w:sz w:val="20"/>
              </w:rPr>
              <w:t xml:space="preserve">Town/Suburb </w:t>
            </w:r>
          </w:p>
        </w:tc>
        <w:tc>
          <w:tcPr>
            <w:tcW w:w="992" w:type="dxa"/>
            <w:tcBorders>
              <w:top w:val="single" w:sz="4" w:space="0" w:color="auto"/>
              <w:left w:val="nil"/>
              <w:bottom w:val="single" w:sz="4" w:space="0" w:color="auto"/>
            </w:tcBorders>
          </w:tcPr>
          <w:p>
            <w:pPr>
              <w:pStyle w:val="yTable"/>
              <w:keepNext/>
              <w:keepLines/>
              <w:rPr>
                <w:sz w:val="20"/>
              </w:rPr>
            </w:pPr>
          </w:p>
        </w:tc>
        <w:tc>
          <w:tcPr>
            <w:tcW w:w="1276" w:type="dxa"/>
            <w:tcBorders>
              <w:top w:val="single" w:sz="4" w:space="0" w:color="auto"/>
              <w:left w:val="nil"/>
              <w:bottom w:val="single" w:sz="4" w:space="0" w:color="auto"/>
            </w:tcBorders>
          </w:tcPr>
          <w:p>
            <w:pPr>
              <w:pStyle w:val="yTable"/>
              <w:keepNext/>
              <w:keepLines/>
              <w:rPr>
                <w:sz w:val="20"/>
              </w:rPr>
            </w:pPr>
            <w:r>
              <w:rPr>
                <w:sz w:val="20"/>
              </w:rPr>
              <w:t>State</w:t>
            </w:r>
          </w:p>
        </w:tc>
        <w:tc>
          <w:tcPr>
            <w:tcW w:w="850" w:type="dxa"/>
            <w:tcBorders>
              <w:top w:val="single" w:sz="4" w:space="0" w:color="auto"/>
              <w:left w:val="nil"/>
              <w:bottom w:val="single" w:sz="4" w:space="0" w:color="auto"/>
            </w:tcBorders>
          </w:tcPr>
          <w:p>
            <w:pPr>
              <w:pStyle w:val="yTable"/>
              <w:keepNext/>
              <w:keepLines/>
              <w:rPr>
                <w:sz w:val="20"/>
              </w:rPr>
            </w:pPr>
          </w:p>
        </w:tc>
        <w:tc>
          <w:tcPr>
            <w:tcW w:w="992" w:type="dxa"/>
            <w:gridSpan w:val="2"/>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bl>
    <w:p>
      <w:pPr>
        <w:pStyle w:val="yMiscellaneousBody"/>
        <w:ind w:left="462" w:hanging="462"/>
        <w:rPr>
          <w:b/>
          <w:bCs/>
          <w:shd w:val="clear" w:color="auto" w:fill="D9D9D9"/>
        </w:rPr>
      </w:pPr>
      <w:r>
        <w:rPr>
          <w:b/>
          <w:bCs/>
          <w:shd w:val="clear" w:color="auto" w:fill="D9D9D9"/>
        </w:rPr>
        <w:t>3.</w:t>
      </w:r>
      <w:r>
        <w:rPr>
          <w:b/>
          <w:bCs/>
          <w:shd w:val="clear" w:color="auto" w:fill="D9D9D9"/>
        </w:rPr>
        <w:tab/>
        <w:t>Appointment of an authorised agent — authorised agent is required to sign the form at item 8</w:t>
      </w:r>
    </w:p>
    <w:p>
      <w:pPr>
        <w:pStyle w:val="yMiscellaneousBody"/>
        <w:shd w:val="clear" w:color="auto" w:fill="E6E6E6"/>
        <w:spacing w:before="0"/>
        <w:ind w:left="425"/>
        <w:rPr>
          <w:sz w:val="16"/>
        </w:rPr>
      </w:pPr>
    </w:p>
    <w:p>
      <w:pPr>
        <w:pStyle w:val="yMiscellaneousBody"/>
        <w:shd w:val="clear" w:color="auto" w:fill="E6E6E6"/>
        <w:spacing w:before="0"/>
        <w:ind w:left="425"/>
        <w:rPr>
          <w:sz w:val="16"/>
        </w:rPr>
      </w:pPr>
      <w:r>
        <w:rPr>
          <w:sz w:val="16"/>
        </w:rPr>
        <w:t xml:space="preserve">Where the applicant has appointed an authorised agent to act on their behalf, the authorised agent must attach </w:t>
      </w:r>
      <w:r>
        <w:rPr>
          <w:b/>
          <w:bCs/>
          <w:sz w:val="16"/>
        </w:rPr>
        <w:t>the written authority</w:t>
      </w:r>
      <w:r>
        <w:rPr>
          <w:sz w:val="16"/>
        </w:rPr>
        <w:t xml:space="preserve"> to this application.</w:t>
      </w:r>
    </w:p>
    <w:p>
      <w:pPr>
        <w:pStyle w:val="yMiscellaneousBody"/>
        <w:tabs>
          <w:tab w:val="left" w:pos="5670"/>
          <w:tab w:val="left" w:pos="6237"/>
        </w:tabs>
        <w:spacing w:before="120"/>
        <w:ind w:left="425"/>
        <w:rPr>
          <w:sz w:val="20"/>
          <w:szCs w:val="40"/>
        </w:rPr>
      </w:pPr>
      <w:r>
        <w:rPr>
          <w:sz w:val="20"/>
        </w:rPr>
        <w:t>Have you appointed an authorised agent to act on your behalf?</w:t>
      </w:r>
      <w:r>
        <w:rPr>
          <w:sz w:val="20"/>
        </w:rPr>
        <w:tab/>
      </w:r>
      <w:r>
        <w:rPr>
          <w:b/>
          <w:bCs/>
          <w:sz w:val="20"/>
          <w:szCs w:val="16"/>
        </w:rPr>
        <w:t>YES</w:t>
      </w:r>
      <w:r>
        <w:rPr>
          <w:b/>
          <w:bCs/>
          <w:sz w:val="20"/>
          <w:szCs w:val="16"/>
        </w:rPr>
        <w:tab/>
      </w:r>
      <w:r>
        <w:rPr>
          <w:sz w:val="20"/>
          <w:szCs w:val="40"/>
        </w:rPr>
        <w:sym w:font="Symbol" w:char="F07F"/>
      </w:r>
    </w:p>
    <w:p>
      <w:pPr>
        <w:pStyle w:val="yMiscellaneousBody"/>
        <w:tabs>
          <w:tab w:val="left" w:pos="5670"/>
          <w:tab w:val="left" w:pos="6237"/>
        </w:tabs>
        <w:spacing w:before="0"/>
        <w:ind w:left="425"/>
        <w:rPr>
          <w:b/>
          <w:bCs/>
          <w:sz w:val="16"/>
          <w:szCs w:val="40"/>
        </w:rPr>
      </w:pPr>
      <w:r>
        <w:rPr>
          <w:sz w:val="20"/>
          <w:szCs w:val="40"/>
        </w:rPr>
        <w:tab/>
      </w:r>
      <w:r>
        <w:rPr>
          <w:b/>
          <w:bCs/>
          <w:sz w:val="20"/>
          <w:szCs w:val="40"/>
        </w:rPr>
        <w:t>NO</w:t>
      </w:r>
      <w:r>
        <w:rPr>
          <w:b/>
          <w:bCs/>
          <w:sz w:val="20"/>
          <w:szCs w:val="40"/>
        </w:rPr>
        <w:tab/>
      </w:r>
      <w:r>
        <w:rPr>
          <w:sz w:val="20"/>
          <w:szCs w:val="40"/>
        </w:rPr>
        <w:sym w:font="Symbol" w:char="F07F"/>
      </w:r>
    </w:p>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833"/>
        <w:gridCol w:w="1271"/>
        <w:gridCol w:w="672"/>
        <w:gridCol w:w="1043"/>
        <w:gridCol w:w="992"/>
        <w:gridCol w:w="831"/>
      </w:tblGrid>
      <w:tr>
        <w:trPr>
          <w:trHeight w:val="222"/>
        </w:trPr>
        <w:tc>
          <w:tcPr>
            <w:tcW w:w="6642" w:type="dxa"/>
            <w:gridSpan w:val="6"/>
            <w:shd w:val="clear" w:color="auto" w:fill="E6E6E6"/>
          </w:tcPr>
          <w:p>
            <w:pPr>
              <w:pStyle w:val="yTable"/>
              <w:jc w:val="center"/>
              <w:rPr>
                <w:b/>
                <w:bCs/>
                <w:sz w:val="20"/>
              </w:rPr>
            </w:pPr>
            <w:r>
              <w:rPr>
                <w:b/>
                <w:bCs/>
                <w:sz w:val="20"/>
              </w:rPr>
              <w:t>Details of authorised agent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Pr>
          <w:p>
            <w:pPr>
              <w:pStyle w:val="yTable"/>
              <w:rPr>
                <w:sz w:val="20"/>
              </w:rPr>
            </w:pPr>
            <w:r>
              <w:rPr>
                <w:sz w:val="20"/>
              </w:rPr>
              <w:t>Full name</w:t>
            </w:r>
          </w:p>
        </w:tc>
        <w:tc>
          <w:tcPr>
            <w:tcW w:w="4809" w:type="dxa"/>
            <w:gridSpan w:val="5"/>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Position in company/agency </w:t>
            </w:r>
            <w:r>
              <w:rPr>
                <w:sz w:val="20"/>
              </w:rPr>
              <w:br/>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ACN/ABN </w:t>
            </w:r>
            <w:r>
              <w:rPr>
                <w:sz w:val="20"/>
                <w:szCs w:val="14"/>
              </w:rPr>
              <w:t>(if applicable) /</w:t>
            </w:r>
            <w:r>
              <w:rPr>
                <w:sz w:val="20"/>
              </w:rPr>
              <w:t>Telephone</w:t>
            </w:r>
          </w:p>
        </w:tc>
        <w:tc>
          <w:tcPr>
            <w:tcW w:w="1271" w:type="dxa"/>
            <w:tcBorders>
              <w:top w:val="single" w:sz="4" w:space="0" w:color="auto"/>
              <w:left w:val="single" w:sz="4" w:space="0" w:color="auto"/>
              <w:bottom w:val="single" w:sz="4" w:space="0" w:color="auto"/>
            </w:tcBorders>
          </w:tcPr>
          <w:p>
            <w:pPr>
              <w:pStyle w:val="yTable"/>
              <w:rPr>
                <w:sz w:val="20"/>
              </w:rPr>
            </w:pPr>
            <w:r>
              <w:rPr>
                <w:sz w:val="20"/>
              </w:rPr>
              <w:t>ACN/ABN:</w:t>
            </w:r>
          </w:p>
        </w:tc>
        <w:tc>
          <w:tcPr>
            <w:tcW w:w="672" w:type="dxa"/>
            <w:tcBorders>
              <w:top w:val="single" w:sz="4" w:space="0" w:color="auto"/>
              <w:left w:val="single" w:sz="4" w:space="0" w:color="auto"/>
              <w:bottom w:val="single" w:sz="4" w:space="0" w:color="auto"/>
            </w:tcBorders>
          </w:tcPr>
          <w:p>
            <w:pPr>
              <w:pStyle w:val="yTable"/>
              <w:rPr>
                <w:sz w:val="20"/>
              </w:rPr>
            </w:pPr>
            <w:r>
              <w:rPr>
                <w:sz w:val="20"/>
              </w:rPr>
              <w:t>Work</w:t>
            </w:r>
          </w:p>
        </w:tc>
        <w:tc>
          <w:tcPr>
            <w:tcW w:w="1043" w:type="dxa"/>
            <w:tcBorders>
              <w:top w:val="single" w:sz="4" w:space="0" w:color="auto"/>
              <w:left w:val="single" w:sz="4" w:space="0" w:color="auto"/>
              <w:bottom w:val="single" w:sz="4" w:space="0" w:color="auto"/>
            </w:tcBorders>
          </w:tcPr>
          <w:p>
            <w:pPr>
              <w:pStyle w:val="yTable"/>
              <w:rPr>
                <w:sz w:val="20"/>
              </w:rPr>
            </w:pPr>
          </w:p>
        </w:tc>
        <w:tc>
          <w:tcPr>
            <w:tcW w:w="992" w:type="dxa"/>
            <w:tcBorders>
              <w:top w:val="single" w:sz="4" w:space="0" w:color="auto"/>
              <w:left w:val="single" w:sz="4" w:space="0" w:color="auto"/>
              <w:bottom w:val="single" w:sz="4" w:space="0" w:color="auto"/>
            </w:tcBorders>
          </w:tcPr>
          <w:p>
            <w:pPr>
              <w:pStyle w:val="yTable"/>
              <w:rPr>
                <w:sz w:val="20"/>
              </w:rPr>
            </w:pPr>
            <w:r>
              <w:rPr>
                <w:sz w:val="20"/>
              </w:rPr>
              <w:t>Mobile</w:t>
            </w:r>
          </w:p>
        </w:tc>
        <w:tc>
          <w:tcPr>
            <w:tcW w:w="831" w:type="dxa"/>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809" w:type="dxa"/>
            <w:gridSpan w:val="5"/>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833" w:type="dxa"/>
            <w:tcBorders>
              <w:top w:val="single" w:sz="4" w:space="0" w:color="auto"/>
              <w:left w:val="single" w:sz="4" w:space="0" w:color="auto"/>
              <w:bottom w:val="single" w:sz="4" w:space="0" w:color="auto"/>
            </w:tcBorders>
          </w:tcPr>
          <w:p>
            <w:pPr>
              <w:pStyle w:val="yTable"/>
              <w:rPr>
                <w:sz w:val="20"/>
              </w:rPr>
            </w:pPr>
            <w:r>
              <w:rPr>
                <w:sz w:val="20"/>
              </w:rPr>
              <w:t>Town/Suburb</w:t>
            </w:r>
          </w:p>
        </w:tc>
        <w:tc>
          <w:tcPr>
            <w:tcW w:w="1271" w:type="dxa"/>
            <w:tcBorders>
              <w:top w:val="single" w:sz="4" w:space="0" w:color="auto"/>
              <w:left w:val="nil"/>
              <w:bottom w:val="single" w:sz="4" w:space="0" w:color="auto"/>
            </w:tcBorders>
          </w:tcPr>
          <w:p>
            <w:pPr>
              <w:pStyle w:val="yTable"/>
              <w:rPr>
                <w:sz w:val="20"/>
              </w:rPr>
            </w:pPr>
          </w:p>
        </w:tc>
        <w:tc>
          <w:tcPr>
            <w:tcW w:w="672" w:type="dxa"/>
            <w:tcBorders>
              <w:top w:val="single" w:sz="4" w:space="0" w:color="auto"/>
              <w:left w:val="nil"/>
              <w:bottom w:val="single" w:sz="4" w:space="0" w:color="auto"/>
            </w:tcBorders>
          </w:tcPr>
          <w:p>
            <w:pPr>
              <w:pStyle w:val="yTable"/>
              <w:rPr>
                <w:sz w:val="20"/>
              </w:rPr>
            </w:pPr>
            <w:r>
              <w:rPr>
                <w:sz w:val="20"/>
              </w:rPr>
              <w:t>State</w:t>
            </w:r>
          </w:p>
        </w:tc>
        <w:tc>
          <w:tcPr>
            <w:tcW w:w="1043"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ind w:left="462" w:hanging="462"/>
        <w:rPr>
          <w:b/>
          <w:bCs/>
          <w:shd w:val="clear" w:color="auto" w:fill="D9D9D9"/>
        </w:rPr>
      </w:pPr>
      <w:r>
        <w:rPr>
          <w:b/>
          <w:bCs/>
          <w:shd w:val="clear" w:color="auto" w:fill="D9D9D9"/>
        </w:rPr>
        <w:t>4.</w:t>
      </w:r>
      <w:r>
        <w:rPr>
          <w:b/>
          <w:bCs/>
          <w:shd w:val="clear" w:color="auto" w:fill="D9D9D9"/>
        </w:rPr>
        <w:tab/>
        <w:t>Certificate(s) of title information</w:t>
      </w:r>
    </w:p>
    <w:p>
      <w:pPr>
        <w:pStyle w:val="yMiscellaneousBody"/>
        <w:keepNext/>
        <w:keepLines/>
        <w:spacing w:before="0"/>
        <w:rPr>
          <w:sz w:val="12"/>
          <w:szCs w:val="12"/>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861"/>
        <w:gridCol w:w="1377"/>
        <w:gridCol w:w="992"/>
        <w:gridCol w:w="1823"/>
      </w:tblGrid>
      <w:tr>
        <w:trPr>
          <w:cantSplit/>
        </w:trPr>
        <w:tc>
          <w:tcPr>
            <w:tcW w:w="1589" w:type="dxa"/>
            <w:vMerge w:val="restart"/>
            <w:vAlign w:val="center"/>
          </w:tcPr>
          <w:p>
            <w:pPr>
              <w:pStyle w:val="yTable"/>
              <w:keepNext/>
              <w:keepLines/>
              <w:rPr>
                <w:sz w:val="20"/>
              </w:rPr>
            </w:pPr>
            <w:r>
              <w:rPr>
                <w:sz w:val="20"/>
              </w:rPr>
              <w:t>Certificate of Title</w:t>
            </w:r>
          </w:p>
        </w:tc>
        <w:tc>
          <w:tcPr>
            <w:tcW w:w="861" w:type="dxa"/>
          </w:tcPr>
          <w:p>
            <w:pPr>
              <w:pStyle w:val="yTable"/>
              <w:keepNext/>
              <w:keepLines/>
              <w:rPr>
                <w:sz w:val="20"/>
              </w:rPr>
            </w:pPr>
            <w:r>
              <w:rPr>
                <w:sz w:val="20"/>
              </w:rPr>
              <w:t>Volume</w:t>
            </w:r>
          </w:p>
        </w:tc>
        <w:tc>
          <w:tcPr>
            <w:tcW w:w="1377" w:type="dxa"/>
          </w:tcPr>
          <w:p>
            <w:pPr>
              <w:pStyle w:val="yTable"/>
              <w:keepNext/>
              <w:keepLines/>
              <w:rPr>
                <w:sz w:val="20"/>
              </w:rPr>
            </w:pPr>
          </w:p>
        </w:tc>
        <w:tc>
          <w:tcPr>
            <w:tcW w:w="992" w:type="dxa"/>
          </w:tcPr>
          <w:p>
            <w:pPr>
              <w:pStyle w:val="yTable"/>
              <w:keepNext/>
              <w:keepLines/>
              <w:rPr>
                <w:sz w:val="20"/>
              </w:rPr>
            </w:pPr>
            <w:r>
              <w:rPr>
                <w:sz w:val="20"/>
              </w:rPr>
              <w:t>Folio</w:t>
            </w:r>
          </w:p>
        </w:tc>
        <w:tc>
          <w:tcPr>
            <w:tcW w:w="1823" w:type="dxa"/>
          </w:tcPr>
          <w:p>
            <w:pPr>
              <w:pStyle w:val="yTable"/>
              <w:keepNext/>
              <w:keepLines/>
              <w:rPr>
                <w:sz w:val="20"/>
              </w:rPr>
            </w:pPr>
          </w:p>
        </w:tc>
      </w:tr>
      <w:tr>
        <w:trPr>
          <w:cantSplit/>
        </w:trPr>
        <w:tc>
          <w:tcPr>
            <w:tcW w:w="1589" w:type="dxa"/>
            <w:vMerge/>
            <w:tcBorders>
              <w:bottom w:val="single" w:sz="4" w:space="0" w:color="auto"/>
            </w:tcBorders>
          </w:tcPr>
          <w:p>
            <w:pPr>
              <w:pStyle w:val="yTable"/>
              <w:keepNext/>
              <w:keepLines/>
              <w:rPr>
                <w:sz w:val="20"/>
              </w:rPr>
            </w:pPr>
          </w:p>
        </w:tc>
        <w:tc>
          <w:tcPr>
            <w:tcW w:w="2238" w:type="dxa"/>
            <w:gridSpan w:val="2"/>
            <w:tcBorders>
              <w:bottom w:val="single" w:sz="4" w:space="0" w:color="auto"/>
            </w:tcBorders>
          </w:tcPr>
          <w:p>
            <w:pPr>
              <w:pStyle w:val="yTable"/>
              <w:keepNext/>
              <w:keepLines/>
              <w:rPr>
                <w:sz w:val="20"/>
              </w:rPr>
            </w:pPr>
            <w:r>
              <w:rPr>
                <w:sz w:val="20"/>
              </w:rPr>
              <w:t>Diagram/Plan/</w:t>
            </w:r>
            <w:r>
              <w:rPr>
                <w:sz w:val="20"/>
              </w:rPr>
              <w:br/>
              <w:t>Deposit Plan No.</w:t>
            </w:r>
          </w:p>
        </w:tc>
        <w:tc>
          <w:tcPr>
            <w:tcW w:w="2815" w:type="dxa"/>
            <w:gridSpan w:val="2"/>
            <w:tcBorders>
              <w:bottom w:val="single" w:sz="4" w:space="0" w:color="auto"/>
            </w:tcBorders>
          </w:tcPr>
          <w:p>
            <w:pPr>
              <w:pStyle w:val="yTable"/>
              <w:keepNext/>
              <w:keepLines/>
              <w:rPr>
                <w:sz w:val="20"/>
              </w:rPr>
            </w:pPr>
          </w:p>
        </w:tc>
      </w:tr>
      <w:tr>
        <w:trPr>
          <w:cantSplit/>
          <w:trHeight w:val="267"/>
        </w:trPr>
        <w:tc>
          <w:tcPr>
            <w:tcW w:w="1589" w:type="dxa"/>
            <w:vMerge w:val="restart"/>
            <w:tcBorders>
              <w:top w:val="single" w:sz="4" w:space="0" w:color="auto"/>
              <w:bottom w:val="single" w:sz="4" w:space="0" w:color="auto"/>
            </w:tcBorders>
          </w:tcPr>
          <w:p>
            <w:pPr>
              <w:pStyle w:val="yTable"/>
              <w:keepNext/>
              <w:keepLines/>
              <w:rPr>
                <w:sz w:val="20"/>
              </w:rPr>
            </w:pPr>
            <w:r>
              <w:rPr>
                <w:sz w:val="20"/>
              </w:rPr>
              <w:t>Lot No. and location of subject lot</w:t>
            </w:r>
          </w:p>
        </w:tc>
        <w:tc>
          <w:tcPr>
            <w:tcW w:w="2238" w:type="dxa"/>
            <w:gridSpan w:val="2"/>
            <w:tcBorders>
              <w:bottom w:val="single" w:sz="4" w:space="0" w:color="auto"/>
            </w:tcBorders>
          </w:tcPr>
          <w:p>
            <w:pPr>
              <w:pStyle w:val="yTable"/>
              <w:keepNext/>
              <w:keepLines/>
              <w:rPr>
                <w:sz w:val="20"/>
              </w:rPr>
            </w:pPr>
            <w:r>
              <w:rPr>
                <w:sz w:val="20"/>
              </w:rPr>
              <w:t>Lot No. (whole/part)</w:t>
            </w:r>
          </w:p>
        </w:tc>
        <w:tc>
          <w:tcPr>
            <w:tcW w:w="2815" w:type="dxa"/>
            <w:gridSpan w:val="2"/>
            <w:tcBorders>
              <w:bottom w:val="single" w:sz="4" w:space="0" w:color="auto"/>
            </w:tcBorders>
          </w:tcPr>
          <w:p>
            <w:pPr>
              <w:pStyle w:val="yTable"/>
              <w:keepNext/>
              <w:keepLines/>
              <w:rPr>
                <w:sz w:val="20"/>
              </w:rPr>
            </w:pPr>
          </w:p>
        </w:tc>
      </w:tr>
      <w:tr>
        <w:trPr>
          <w:cantSplit/>
          <w:trHeight w:val="266"/>
        </w:trPr>
        <w:tc>
          <w:tcPr>
            <w:tcW w:w="1589" w:type="dxa"/>
            <w:vMerge/>
            <w:tcBorders>
              <w:top w:val="single" w:sz="4" w:space="0" w:color="auto"/>
            </w:tcBorders>
          </w:tcPr>
          <w:p>
            <w:pPr>
              <w:pStyle w:val="yTable"/>
              <w:keepNext/>
              <w:keepLines/>
              <w:rPr>
                <w:sz w:val="20"/>
              </w:rPr>
            </w:pPr>
          </w:p>
        </w:tc>
        <w:tc>
          <w:tcPr>
            <w:tcW w:w="2238" w:type="dxa"/>
            <w:gridSpan w:val="2"/>
            <w:tcBorders>
              <w:top w:val="single" w:sz="4" w:space="0" w:color="auto"/>
            </w:tcBorders>
          </w:tcPr>
          <w:p>
            <w:pPr>
              <w:pStyle w:val="yTable"/>
              <w:keepNext/>
              <w:keepLines/>
              <w:rPr>
                <w:sz w:val="20"/>
              </w:rPr>
            </w:pPr>
            <w:r>
              <w:rPr>
                <w:sz w:val="20"/>
              </w:rPr>
              <w:t>Location</w:t>
            </w:r>
          </w:p>
        </w:tc>
        <w:tc>
          <w:tcPr>
            <w:tcW w:w="2815" w:type="dxa"/>
            <w:gridSpan w:val="2"/>
            <w:tcBorders>
              <w:top w:val="single" w:sz="4" w:space="0" w:color="auto"/>
            </w:tcBorders>
          </w:tcPr>
          <w:p>
            <w:pPr>
              <w:pStyle w:val="yTable"/>
              <w:keepNext/>
              <w:keepLines/>
              <w:rPr>
                <w:sz w:val="20"/>
              </w:rPr>
            </w:pPr>
          </w:p>
        </w:tc>
      </w:tr>
      <w:tr>
        <w:tc>
          <w:tcPr>
            <w:tcW w:w="1589" w:type="dxa"/>
          </w:tcPr>
          <w:p>
            <w:pPr>
              <w:pStyle w:val="yTable"/>
              <w:keepNext/>
              <w:keepLines/>
              <w:rPr>
                <w:sz w:val="20"/>
              </w:rPr>
            </w:pPr>
            <w:r>
              <w:rPr>
                <w:sz w:val="20"/>
              </w:rPr>
              <w:t>Reserve No.</w:t>
            </w:r>
            <w:r>
              <w:rPr>
                <w:sz w:val="20"/>
              </w:rPr>
              <w:br/>
              <w:t>(if applicable)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Street No. and name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Town/Suburb</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Nearest road intersection</w:t>
            </w:r>
          </w:p>
        </w:tc>
        <w:tc>
          <w:tcPr>
            <w:tcW w:w="5053" w:type="dxa"/>
            <w:gridSpan w:val="4"/>
          </w:tcPr>
          <w:p>
            <w:pPr>
              <w:pStyle w:val="yTable"/>
              <w:keepNext/>
              <w:keepLines/>
              <w:rPr>
                <w:sz w:val="20"/>
              </w:rPr>
            </w:pPr>
          </w:p>
        </w:tc>
      </w:tr>
    </w:tbl>
    <w:p>
      <w:pPr>
        <w:pStyle w:val="yMiscellaneousBody"/>
        <w:ind w:left="462" w:hanging="462"/>
        <w:rPr>
          <w:b/>
          <w:bCs/>
          <w:shd w:val="clear" w:color="auto" w:fill="D9D9D9"/>
        </w:rPr>
      </w:pPr>
      <w:r>
        <w:rPr>
          <w:b/>
          <w:bCs/>
          <w:shd w:val="clear" w:color="auto" w:fill="D9D9D9"/>
        </w:rPr>
        <w:t>5.</w:t>
      </w:r>
      <w:r>
        <w:rPr>
          <w:b/>
          <w:bCs/>
          <w:shd w:val="clear" w:color="auto" w:fill="D9D9D9"/>
        </w:rPr>
        <w:tab/>
        <w:t>River reserve lease (</w:t>
      </w:r>
      <w:r>
        <w:rPr>
          <w:b/>
          <w:bCs/>
          <w:i/>
          <w:shd w:val="clear" w:color="auto" w:fill="D9D9D9"/>
        </w:rPr>
        <w:t>Swan and Canning Rivers Management Act 2006</w:t>
      </w:r>
      <w:r>
        <w:rPr>
          <w:b/>
          <w:bCs/>
          <w:shd w:val="clear" w:color="auto" w:fill="D9D9D9"/>
        </w:rPr>
        <w:t xml:space="preserve"> section 29)</w:t>
      </w:r>
    </w:p>
    <w:p>
      <w:pPr>
        <w:pStyle w:val="yMiscellaneousBody"/>
        <w:spacing w:before="0"/>
        <w:rPr>
          <w:sz w:val="12"/>
          <w:szCs w:val="12"/>
        </w:rPr>
      </w:pPr>
    </w:p>
    <w:p>
      <w:pPr>
        <w:pStyle w:val="yMiscellaneousBody"/>
        <w:shd w:val="clear" w:color="auto" w:fill="E6E6E6"/>
        <w:spacing w:before="0"/>
        <w:ind w:left="425"/>
        <w:rPr>
          <w:sz w:val="16"/>
        </w:rPr>
      </w:pPr>
      <w:r>
        <w:rPr>
          <w:sz w:val="16"/>
        </w:rPr>
        <w:t>If you intend to apply for a lease in relation to this proposed development, you will need to complete a separate form – Application for a River reserve lease – and lodge it concurrently with this application.  Note: River reserve leases will not be granted for developments requiring approval under section 70 of the Act – to which the proposed lease relates – unless that approval has been granted.</w:t>
      </w:r>
    </w:p>
    <w:p>
      <w:pPr>
        <w:pStyle w:val="yMiscellaneousBody"/>
        <w:tabs>
          <w:tab w:val="left" w:pos="5670"/>
          <w:tab w:val="left" w:pos="6237"/>
        </w:tabs>
        <w:spacing w:before="120"/>
        <w:ind w:left="425"/>
        <w:rPr>
          <w:sz w:val="20"/>
        </w:rPr>
      </w:pPr>
      <w:r>
        <w:rPr>
          <w:sz w:val="20"/>
        </w:rPr>
        <w:t>Does the development require a River reserve lease?</w:t>
      </w:r>
      <w:r>
        <w:rPr>
          <w:sz w:val="20"/>
        </w:rPr>
        <w:tab/>
      </w:r>
      <w:r>
        <w:rPr>
          <w:b/>
          <w:bCs/>
          <w:sz w:val="20"/>
        </w:rPr>
        <w:t>YES</w:t>
      </w:r>
      <w:r>
        <w:rPr>
          <w:sz w:val="20"/>
        </w:rPr>
        <w:tab/>
      </w:r>
      <w:r>
        <w:rPr>
          <w:b/>
          <w:bCs/>
          <w:sz w:val="20"/>
        </w:rPr>
        <w:sym w:font="Symbol" w:char="F07F"/>
      </w:r>
    </w:p>
    <w:p>
      <w:pPr>
        <w:pStyle w:val="yMiscellaneousBody"/>
        <w:tabs>
          <w:tab w:val="left" w:pos="5670"/>
          <w:tab w:val="left" w:pos="6237"/>
        </w:tabs>
        <w:spacing w:before="0"/>
        <w:ind w:left="425"/>
        <w:rPr>
          <w:sz w:val="20"/>
        </w:rPr>
      </w:pPr>
      <w:r>
        <w:rPr>
          <w:sz w:val="20"/>
        </w:rPr>
        <w:tab/>
      </w:r>
      <w:r>
        <w:rPr>
          <w:b/>
          <w:bCs/>
          <w:sz w:val="20"/>
        </w:rPr>
        <w:t>NO</w:t>
      </w:r>
      <w:r>
        <w:rPr>
          <w:sz w:val="20"/>
        </w:rPr>
        <w:tab/>
      </w:r>
      <w:r>
        <w:rPr>
          <w:b/>
          <w:bCs/>
          <w:sz w:val="20"/>
        </w:rPr>
        <w:sym w:font="Symbol" w:char="F07F"/>
      </w:r>
    </w:p>
    <w:p>
      <w:pPr>
        <w:pStyle w:val="yMiscellaneousBody"/>
        <w:spacing w:before="120"/>
        <w:ind w:left="425"/>
        <w:rPr>
          <w:b/>
          <w:bCs/>
          <w:sz w:val="20"/>
        </w:rPr>
      </w:pPr>
      <w:r>
        <w:rPr>
          <w:b/>
          <w:bCs/>
          <w:sz w:val="20"/>
        </w:rPr>
        <w:t>If the development requires a River reserve lease,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c>
          <w:tcPr>
            <w:tcW w:w="5811" w:type="dxa"/>
          </w:tcPr>
          <w:p>
            <w:pPr>
              <w:pStyle w:val="yTable"/>
              <w:rPr>
                <w:sz w:val="20"/>
              </w:rPr>
            </w:pPr>
            <w:r>
              <w:rPr>
                <w:sz w:val="20"/>
              </w:rPr>
              <w:t>New lease</w:t>
            </w:r>
          </w:p>
        </w:tc>
        <w:tc>
          <w:tcPr>
            <w:tcW w:w="831" w:type="dxa"/>
          </w:tcPr>
          <w:p>
            <w:pPr>
              <w:pStyle w:val="yTable"/>
              <w:rPr>
                <w:sz w:val="20"/>
              </w:rPr>
            </w:pPr>
          </w:p>
        </w:tc>
      </w:tr>
      <w:tr>
        <w:tc>
          <w:tcPr>
            <w:tcW w:w="5811" w:type="dxa"/>
          </w:tcPr>
          <w:p>
            <w:pPr>
              <w:pStyle w:val="yTable"/>
              <w:rPr>
                <w:sz w:val="20"/>
              </w:rPr>
            </w:pPr>
            <w:r>
              <w:rPr>
                <w:sz w:val="20"/>
              </w:rPr>
              <w:t>Renewal of a lease</w:t>
            </w:r>
          </w:p>
        </w:tc>
        <w:tc>
          <w:tcPr>
            <w:tcW w:w="831" w:type="dxa"/>
          </w:tcPr>
          <w:p>
            <w:pPr>
              <w:pStyle w:val="yTable"/>
              <w:rPr>
                <w:sz w:val="20"/>
              </w:rPr>
            </w:pPr>
          </w:p>
        </w:tc>
      </w:tr>
      <w:tr>
        <w:tc>
          <w:tcPr>
            <w:tcW w:w="5811" w:type="dxa"/>
          </w:tcPr>
          <w:p>
            <w:pPr>
              <w:pStyle w:val="yTable"/>
              <w:rPr>
                <w:sz w:val="20"/>
              </w:rPr>
            </w:pPr>
            <w:r>
              <w:rPr>
                <w:sz w:val="20"/>
              </w:rPr>
              <w:t>Modification of an existing lease (i.e. change in area or purpose etc.)</w:t>
            </w:r>
          </w:p>
        </w:tc>
        <w:tc>
          <w:tcPr>
            <w:tcW w:w="831" w:type="dxa"/>
          </w:tcPr>
          <w:p>
            <w:pPr>
              <w:pStyle w:val="yTable"/>
              <w:rPr>
                <w:sz w:val="20"/>
              </w:rPr>
            </w:pPr>
          </w:p>
        </w:tc>
      </w:tr>
    </w:tbl>
    <w:p>
      <w:pPr>
        <w:pStyle w:val="yMiscellaneousBody"/>
        <w:ind w:left="462" w:hanging="462"/>
        <w:rPr>
          <w:b/>
          <w:bCs/>
          <w:shd w:val="clear" w:color="auto" w:fill="D9D9D9"/>
        </w:rPr>
      </w:pPr>
      <w:r>
        <w:rPr>
          <w:b/>
          <w:bCs/>
          <w:shd w:val="clear" w:color="auto" w:fill="D9D9D9"/>
        </w:rPr>
        <w:t>6.</w:t>
      </w:r>
      <w:r>
        <w:rPr>
          <w:b/>
          <w:bCs/>
          <w:shd w:val="clear" w:color="auto" w:fill="D9D9D9"/>
        </w:rPr>
        <w:tab/>
        <w:t>River reserve licence (</w:t>
      </w:r>
      <w:r>
        <w:rPr>
          <w:b/>
          <w:bCs/>
          <w:i/>
          <w:shd w:val="clear" w:color="auto" w:fill="D9D9D9"/>
        </w:rPr>
        <w:t>Swan and Canning Rivers Management Act 2006</w:t>
      </w:r>
      <w:r>
        <w:rPr>
          <w:b/>
          <w:bCs/>
          <w:shd w:val="clear" w:color="auto" w:fill="D9D9D9"/>
        </w:rPr>
        <w:t xml:space="preserve"> section 32)</w:t>
      </w:r>
    </w:p>
    <w:p>
      <w:pPr>
        <w:pStyle w:val="yMiscellaneousBody"/>
        <w:ind w:left="462" w:hanging="462"/>
        <w:rPr>
          <w:b/>
          <w:bCs/>
          <w:shd w:val="clear" w:color="auto" w:fill="D9D9D9"/>
        </w:rPr>
      </w:pPr>
    </w:p>
    <w:p>
      <w:pPr>
        <w:pStyle w:val="yMiscellaneousBody"/>
        <w:shd w:val="clear" w:color="auto" w:fill="E6E6E6"/>
        <w:spacing w:before="0"/>
        <w:ind w:left="425"/>
        <w:rPr>
          <w:sz w:val="16"/>
        </w:rPr>
      </w:pPr>
      <w:r>
        <w:rPr>
          <w:sz w:val="16"/>
        </w:rPr>
        <w:t>If you intend to apply for a licence in relation to this proposed development, you will need to complete a separate form – Application for a River reserve licence – and lodge it concurrently with this application, e.g. charter vessel operation, kayak, canoe tours, etc.  Refer to the Licence Application Guidelines on how to apply for a River reserve licence.</w:t>
      </w:r>
    </w:p>
    <w:p>
      <w:pPr>
        <w:pStyle w:val="yMiscellaneousBody"/>
        <w:tabs>
          <w:tab w:val="left" w:pos="5670"/>
          <w:tab w:val="left" w:pos="6237"/>
        </w:tabs>
        <w:spacing w:before="0"/>
        <w:ind w:left="425"/>
        <w:rPr>
          <w:sz w:val="12"/>
          <w:szCs w:val="12"/>
        </w:rPr>
      </w:pPr>
    </w:p>
    <w:tbl>
      <w:tblPr>
        <w:tblW w:w="6642" w:type="dxa"/>
        <w:tblInd w:w="534" w:type="dxa"/>
        <w:tblLayout w:type="fixed"/>
        <w:tblLook w:val="0000" w:firstRow="0" w:lastRow="0" w:firstColumn="0" w:lastColumn="0" w:noHBand="0" w:noVBand="0"/>
      </w:tblPr>
      <w:tblGrid>
        <w:gridCol w:w="5388"/>
        <w:gridCol w:w="1254"/>
      </w:tblGrid>
      <w:tr>
        <w:trPr>
          <w:cantSplit/>
        </w:trPr>
        <w:tc>
          <w:tcPr>
            <w:tcW w:w="5388" w:type="dxa"/>
            <w:vMerge w:val="restart"/>
          </w:tcPr>
          <w:p>
            <w:pPr>
              <w:pStyle w:val="yTable"/>
              <w:rPr>
                <w:rFonts w:ascii="Arial" w:hAnsi="Arial" w:cs="Arial"/>
                <w:sz w:val="20"/>
              </w:rPr>
            </w:pPr>
            <w:r>
              <w:rPr>
                <w:sz w:val="20"/>
              </w:rPr>
              <w:t xml:space="preserve">Does the proposed development involve an activity in </w:t>
            </w:r>
            <w:r>
              <w:rPr>
                <w:sz w:val="20"/>
              </w:rPr>
              <w:br/>
              <w:t>the River reserve that will require a River reserve licence?</w:t>
            </w:r>
          </w:p>
        </w:tc>
        <w:tc>
          <w:tcPr>
            <w:tcW w:w="1254" w:type="dxa"/>
          </w:tcPr>
          <w:p>
            <w:pPr>
              <w:pStyle w:val="yTable"/>
              <w:tabs>
                <w:tab w:val="left" w:pos="600"/>
              </w:tabs>
              <w:rPr>
                <w:rFonts w:ascii="Arial" w:hAnsi="Arial" w:cs="Arial"/>
                <w:sz w:val="20"/>
              </w:rPr>
            </w:pPr>
            <w:r>
              <w:rPr>
                <w:b/>
                <w:bCs/>
                <w:sz w:val="20"/>
              </w:rPr>
              <w:t>YES</w:t>
            </w:r>
            <w:r>
              <w:rPr>
                <w:sz w:val="20"/>
              </w:rPr>
              <w:tab/>
            </w:r>
            <w:r>
              <w:rPr>
                <w:b/>
                <w:bCs/>
                <w:sz w:val="20"/>
              </w:rPr>
              <w:sym w:font="Symbol" w:char="F07F"/>
            </w:r>
          </w:p>
        </w:tc>
      </w:tr>
      <w:tr>
        <w:trPr>
          <w:cantSplit/>
        </w:trPr>
        <w:tc>
          <w:tcPr>
            <w:tcW w:w="5388" w:type="dxa"/>
            <w:vMerge/>
          </w:tcPr>
          <w:p>
            <w:pPr>
              <w:pStyle w:val="yTable"/>
              <w:keepNext/>
              <w:keepLines/>
              <w:rPr>
                <w:sz w:val="20"/>
              </w:rPr>
            </w:pPr>
          </w:p>
        </w:tc>
        <w:tc>
          <w:tcPr>
            <w:tcW w:w="1254" w:type="dxa"/>
          </w:tcPr>
          <w:p>
            <w:pPr>
              <w:pStyle w:val="yTable"/>
              <w:tabs>
                <w:tab w:val="left" w:pos="600"/>
              </w:tabs>
              <w:spacing w:before="0"/>
              <w:rPr>
                <w:b/>
                <w:bCs/>
                <w:sz w:val="20"/>
              </w:rPr>
            </w:pPr>
            <w:r>
              <w:rPr>
                <w:b/>
                <w:bCs/>
                <w:sz w:val="20"/>
              </w:rPr>
              <w:t>NO</w:t>
            </w:r>
            <w:r>
              <w:rPr>
                <w:b/>
                <w:bCs/>
                <w:sz w:val="20"/>
              </w:rPr>
              <w:tab/>
            </w:r>
            <w:r>
              <w:rPr>
                <w:b/>
                <w:bCs/>
                <w:sz w:val="20"/>
              </w:rPr>
              <w:sym w:font="Symbol" w:char="F07F"/>
            </w:r>
          </w:p>
        </w:tc>
      </w:tr>
    </w:tbl>
    <w:p>
      <w:pPr>
        <w:pStyle w:val="yMiscellaneousBody"/>
        <w:spacing w:before="0"/>
        <w:ind w:left="425"/>
        <w:rPr>
          <w:b/>
          <w:bCs/>
          <w:sz w:val="20"/>
        </w:rPr>
      </w:pPr>
    </w:p>
    <w:p>
      <w:pPr>
        <w:pStyle w:val="yMiscellaneousBody"/>
        <w:keepNext/>
        <w:spacing w:after="60"/>
        <w:ind w:left="425"/>
        <w:rPr>
          <w:b/>
          <w:bCs/>
          <w:sz w:val="20"/>
        </w:rPr>
      </w:pPr>
      <w:r>
        <w:rPr>
          <w:b/>
          <w:bCs/>
          <w:sz w:val="20"/>
        </w:rPr>
        <w:t>If the development requires a River reserve licence,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rPr>
          <w:trHeight w:val="172"/>
        </w:trPr>
        <w:tc>
          <w:tcPr>
            <w:tcW w:w="5811" w:type="dxa"/>
          </w:tcPr>
          <w:p>
            <w:pPr>
              <w:pStyle w:val="yTable"/>
              <w:rPr>
                <w:sz w:val="20"/>
              </w:rPr>
            </w:pPr>
            <w:r>
              <w:rPr>
                <w:sz w:val="20"/>
              </w:rPr>
              <w:t>New licence</w:t>
            </w:r>
          </w:p>
        </w:tc>
        <w:tc>
          <w:tcPr>
            <w:tcW w:w="831" w:type="dxa"/>
          </w:tcPr>
          <w:p>
            <w:pPr>
              <w:pStyle w:val="yTable"/>
              <w:rPr>
                <w:sz w:val="20"/>
              </w:rPr>
            </w:pPr>
          </w:p>
        </w:tc>
      </w:tr>
      <w:tr>
        <w:tc>
          <w:tcPr>
            <w:tcW w:w="5811" w:type="dxa"/>
          </w:tcPr>
          <w:p>
            <w:pPr>
              <w:pStyle w:val="yTable"/>
              <w:rPr>
                <w:sz w:val="20"/>
              </w:rPr>
            </w:pPr>
            <w:r>
              <w:rPr>
                <w:sz w:val="20"/>
              </w:rPr>
              <w:t>Renewal of a licence</w:t>
            </w:r>
          </w:p>
        </w:tc>
        <w:tc>
          <w:tcPr>
            <w:tcW w:w="831" w:type="dxa"/>
          </w:tcPr>
          <w:p>
            <w:pPr>
              <w:pStyle w:val="yTable"/>
              <w:rPr>
                <w:sz w:val="20"/>
              </w:rPr>
            </w:pPr>
          </w:p>
        </w:tc>
      </w:tr>
      <w:tr>
        <w:tc>
          <w:tcPr>
            <w:tcW w:w="5811" w:type="dxa"/>
          </w:tcPr>
          <w:p>
            <w:pPr>
              <w:pStyle w:val="yTable"/>
              <w:rPr>
                <w:sz w:val="20"/>
              </w:rPr>
            </w:pPr>
            <w:r>
              <w:rPr>
                <w:sz w:val="20"/>
              </w:rPr>
              <w:t>Modification of an existing licence (i.e. change in area, purpose, etc.)</w:t>
            </w:r>
          </w:p>
        </w:tc>
        <w:tc>
          <w:tcPr>
            <w:tcW w:w="831" w:type="dxa"/>
          </w:tcPr>
          <w:p>
            <w:pPr>
              <w:pStyle w:val="yTable"/>
              <w:rPr>
                <w:sz w:val="20"/>
              </w:rPr>
            </w:pPr>
          </w:p>
        </w:tc>
      </w:tr>
    </w:tbl>
    <w:p>
      <w:pPr>
        <w:pStyle w:val="yMiscellaneousBody"/>
        <w:ind w:left="462" w:hanging="462"/>
        <w:rPr>
          <w:b/>
          <w:bCs/>
          <w:shd w:val="clear" w:color="auto" w:fill="D9D9D9"/>
        </w:rPr>
      </w:pPr>
      <w:r>
        <w:rPr>
          <w:b/>
          <w:bCs/>
          <w:shd w:val="clear" w:color="auto" w:fill="D9D9D9"/>
        </w:rPr>
        <w:t>7.</w:t>
      </w:r>
      <w:r>
        <w:rPr>
          <w:b/>
          <w:bCs/>
          <w:shd w:val="clear" w:color="auto" w:fill="D9D9D9"/>
        </w:rPr>
        <w:tab/>
        <w:t>Details of proposed development</w:t>
      </w:r>
    </w:p>
    <w:p>
      <w:pPr>
        <w:pStyle w:val="yMiscellaneousBody"/>
        <w:spacing w:before="0"/>
        <w:rPr>
          <w:sz w:val="16"/>
        </w:rPr>
      </w:pPr>
    </w:p>
    <w:p>
      <w:pPr>
        <w:pStyle w:val="yMiscellaneousBody"/>
        <w:shd w:val="clear" w:color="auto" w:fill="E6E6E6"/>
        <w:spacing w:before="0"/>
        <w:ind w:left="425"/>
        <w:rPr>
          <w:sz w:val="16"/>
        </w:rPr>
      </w:pPr>
      <w:r>
        <w:rPr>
          <w:sz w:val="16"/>
        </w:rPr>
        <w:t>Please provide a written description of the proposed development (refer to the Development Application Guidelines for further details on what information to include in this section).</w:t>
      </w:r>
    </w:p>
    <w:p>
      <w:pPr>
        <w:pStyle w:val="yMiscellaneousBody"/>
        <w:spacing w:before="0"/>
        <w:rPr>
          <w:sz w:val="16"/>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6"/>
        <w:gridCol w:w="4926"/>
      </w:tblGrid>
      <w:tr>
        <w:tc>
          <w:tcPr>
            <w:tcW w:w="1716" w:type="dxa"/>
          </w:tcPr>
          <w:p>
            <w:pPr>
              <w:pStyle w:val="yTable"/>
              <w:rPr>
                <w:sz w:val="20"/>
              </w:rPr>
            </w:pPr>
            <w:r>
              <w:rPr>
                <w:sz w:val="20"/>
              </w:rPr>
              <w:t>Estimated cost of development</w:t>
            </w:r>
          </w:p>
        </w:tc>
        <w:tc>
          <w:tcPr>
            <w:tcW w:w="4926" w:type="dxa"/>
          </w:tcPr>
          <w:p>
            <w:pPr>
              <w:pStyle w:val="yTable"/>
              <w:rPr>
                <w:sz w:val="20"/>
              </w:rPr>
            </w:pPr>
            <w:r>
              <w:rPr>
                <w:sz w:val="20"/>
              </w:rPr>
              <w:t>$</w:t>
            </w:r>
          </w:p>
        </w:tc>
      </w:tr>
      <w:tr>
        <w:tc>
          <w:tcPr>
            <w:tcW w:w="1716" w:type="dxa"/>
          </w:tcPr>
          <w:p>
            <w:pPr>
              <w:pStyle w:val="yTable"/>
              <w:rPr>
                <w:sz w:val="20"/>
              </w:rPr>
            </w:pPr>
            <w:r>
              <w:rPr>
                <w:sz w:val="20"/>
              </w:rPr>
              <w:t>Current use of land</w:t>
            </w:r>
          </w:p>
        </w:tc>
        <w:tc>
          <w:tcPr>
            <w:tcW w:w="4926" w:type="dxa"/>
          </w:tcPr>
          <w:p>
            <w:pPr>
              <w:pStyle w:val="yTable"/>
              <w:rPr>
                <w:sz w:val="20"/>
              </w:rPr>
            </w:pPr>
            <w:r>
              <w:rPr>
                <w:sz w:val="20"/>
              </w:rPr>
              <w:t>Please describe below what the land is currently used for.</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r>
        <w:tc>
          <w:tcPr>
            <w:tcW w:w="1716" w:type="dxa"/>
          </w:tcPr>
          <w:p>
            <w:pPr>
              <w:pStyle w:val="yTable"/>
              <w:rPr>
                <w:sz w:val="20"/>
              </w:rPr>
            </w:pPr>
            <w:r>
              <w:rPr>
                <w:sz w:val="20"/>
              </w:rPr>
              <w:t>Proposed development</w:t>
            </w:r>
          </w:p>
        </w:tc>
        <w:tc>
          <w:tcPr>
            <w:tcW w:w="4926" w:type="dxa"/>
          </w:tcPr>
          <w:p>
            <w:pPr>
              <w:pStyle w:val="yTable"/>
              <w:rPr>
                <w:sz w:val="20"/>
              </w:rPr>
            </w:pPr>
            <w:r>
              <w:rPr>
                <w:sz w:val="20"/>
              </w:rPr>
              <w:t xml:space="preserve">Please provide a detailed written description below of the proposed use and development.  If there is </w:t>
            </w:r>
            <w:r>
              <w:rPr>
                <w:b/>
                <w:sz w:val="20"/>
              </w:rPr>
              <w:t>insufficient space</w:t>
            </w:r>
            <w:r>
              <w:rPr>
                <w:sz w:val="20"/>
              </w:rPr>
              <w:t>, please</w:t>
            </w:r>
            <w:r>
              <w:rPr>
                <w:b/>
                <w:sz w:val="20"/>
              </w:rPr>
              <w:t xml:space="preserve"> provide the required information as an attachment</w:t>
            </w:r>
            <w:r>
              <w:rPr>
                <w:sz w:val="20"/>
              </w:rPr>
              <w:t xml:space="preserve"> to this application form.</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bl>
    <w:p>
      <w:pPr>
        <w:pStyle w:val="yMiscellaneousBody"/>
        <w:ind w:left="462" w:hanging="462"/>
        <w:rPr>
          <w:b/>
          <w:bCs/>
          <w:shd w:val="clear" w:color="auto" w:fill="D9D9D9"/>
        </w:rPr>
      </w:pPr>
      <w:r>
        <w:rPr>
          <w:b/>
          <w:bCs/>
          <w:shd w:val="clear" w:color="auto" w:fill="D9D9D9"/>
        </w:rPr>
        <w:t>8.</w:t>
      </w:r>
      <w:r>
        <w:rPr>
          <w:b/>
          <w:bCs/>
          <w:shd w:val="clear" w:color="auto" w:fill="D9D9D9"/>
        </w:rPr>
        <w:tab/>
        <w:t>Signatures</w:t>
      </w:r>
    </w:p>
    <w:p>
      <w:pPr>
        <w:pStyle w:val="yMiscellaneousBody"/>
        <w:keepNext/>
        <w:keepLines/>
        <w:spacing w:before="0"/>
        <w:rPr>
          <w:sz w:val="16"/>
        </w:rPr>
      </w:pPr>
    </w:p>
    <w:tbl>
      <w:tblPr>
        <w:tblW w:w="6642" w:type="dxa"/>
        <w:tblInd w:w="534" w:type="dxa"/>
        <w:shd w:val="clear" w:color="auto" w:fill="A0A0A0"/>
        <w:tblLook w:val="0000" w:firstRow="0" w:lastRow="0" w:firstColumn="0" w:lastColumn="0" w:noHBand="0" w:noVBand="0"/>
      </w:tblPr>
      <w:tblGrid>
        <w:gridCol w:w="1979"/>
        <w:gridCol w:w="872"/>
        <w:gridCol w:w="3791"/>
      </w:tblGrid>
      <w:tr>
        <w:trPr>
          <w:trHeight w:val="222"/>
        </w:trPr>
        <w:tc>
          <w:tcPr>
            <w:tcW w:w="6642" w:type="dxa"/>
            <w:gridSpan w:val="3"/>
            <w:shd w:val="clear" w:color="auto" w:fill="E6E6E6"/>
          </w:tcPr>
          <w:p>
            <w:pPr>
              <w:pStyle w:val="yTable"/>
              <w:keepNext/>
              <w:keepLines/>
              <w:jc w:val="center"/>
              <w:rPr>
                <w:sz w:val="20"/>
              </w:rPr>
            </w:pPr>
            <w:r>
              <w:rPr>
                <w:b/>
                <w:bCs/>
                <w:sz w:val="20"/>
              </w:rPr>
              <w:t>Signed by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Borders>
              <w:top w:val="single" w:sz="4" w:space="0" w:color="auto"/>
            </w:tcBorders>
          </w:tcPr>
          <w:p>
            <w:pPr>
              <w:pStyle w:val="yTable"/>
              <w:keepNext/>
              <w:keepLines/>
              <w:rPr>
                <w:sz w:val="20"/>
                <w:szCs w:val="16"/>
              </w:rPr>
            </w:pPr>
            <w:r>
              <w:rPr>
                <w:sz w:val="20"/>
                <w:szCs w:val="16"/>
              </w:rPr>
              <w:t>Applicant signature</w:t>
            </w:r>
          </w:p>
        </w:tc>
        <w:tc>
          <w:tcPr>
            <w:tcW w:w="4663" w:type="dxa"/>
            <w:gridSpan w:val="2"/>
            <w:tcBorders>
              <w:top w:val="single" w:sz="4" w:space="0" w:color="auto"/>
            </w:tcBorders>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Pr>
          <w:p>
            <w:pPr>
              <w:pStyle w:val="yTable"/>
              <w:keepNext/>
              <w:keepLines/>
              <w:rPr>
                <w:sz w:val="20"/>
                <w:szCs w:val="16"/>
              </w:rPr>
            </w:pPr>
            <w:r>
              <w:rPr>
                <w:sz w:val="20"/>
                <w:szCs w:val="16"/>
              </w:rPr>
              <w:t>Date</w:t>
            </w:r>
          </w:p>
        </w:tc>
        <w:tc>
          <w:tcPr>
            <w:tcW w:w="4663" w:type="dxa"/>
            <w:gridSpan w:val="2"/>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79" w:type="dxa"/>
            <w:vMerge w:val="restart"/>
          </w:tcPr>
          <w:p>
            <w:pPr>
              <w:pStyle w:val="yTable"/>
              <w:keepNext/>
              <w:keepLines/>
              <w:rPr>
                <w:sz w:val="20"/>
                <w:szCs w:val="16"/>
              </w:rPr>
            </w:pPr>
            <w:r>
              <w:rPr>
                <w:sz w:val="20"/>
                <w:szCs w:val="16"/>
              </w:rPr>
              <w:t>Print name and position (if signing on behalf of a company or agency)</w:t>
            </w:r>
          </w:p>
        </w:tc>
        <w:tc>
          <w:tcPr>
            <w:tcW w:w="872" w:type="dxa"/>
          </w:tcPr>
          <w:p>
            <w:pPr>
              <w:pStyle w:val="yTable"/>
              <w:keepNext/>
              <w:keepLines/>
              <w:rPr>
                <w:sz w:val="20"/>
                <w:szCs w:val="16"/>
              </w:rPr>
            </w:pPr>
            <w:r>
              <w:rPr>
                <w:sz w:val="20"/>
                <w:szCs w:val="16"/>
              </w:rPr>
              <w:t>Name</w:t>
            </w:r>
          </w:p>
        </w:tc>
        <w:tc>
          <w:tcPr>
            <w:tcW w:w="3791" w:type="dxa"/>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57"/>
        </w:trPr>
        <w:tc>
          <w:tcPr>
            <w:tcW w:w="1979" w:type="dxa"/>
            <w:vMerge/>
          </w:tcPr>
          <w:p>
            <w:pPr>
              <w:pStyle w:val="yTable"/>
              <w:rPr>
                <w:sz w:val="20"/>
                <w:szCs w:val="16"/>
              </w:rPr>
            </w:pPr>
          </w:p>
        </w:tc>
        <w:tc>
          <w:tcPr>
            <w:tcW w:w="872" w:type="dxa"/>
          </w:tcPr>
          <w:p>
            <w:pPr>
              <w:pStyle w:val="yTable"/>
              <w:rPr>
                <w:sz w:val="20"/>
                <w:szCs w:val="16"/>
              </w:rPr>
            </w:pPr>
            <w:r>
              <w:rPr>
                <w:sz w:val="20"/>
                <w:szCs w:val="16"/>
              </w:rPr>
              <w:t>Position</w:t>
            </w:r>
          </w:p>
        </w:tc>
        <w:tc>
          <w:tcPr>
            <w:tcW w:w="3791"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landowner/s (if the landowner is not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consent to this application being made.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Date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Pr>
          <w:p>
            <w:pPr>
              <w:pStyle w:val="yTable"/>
              <w:rPr>
                <w:sz w:val="20"/>
                <w:szCs w:val="16"/>
              </w:rPr>
            </w:pPr>
          </w:p>
        </w:tc>
        <w:tc>
          <w:tcPr>
            <w:tcW w:w="872" w:type="dxa"/>
          </w:tcPr>
          <w:p>
            <w:pPr>
              <w:pStyle w:val="yTable"/>
              <w:rPr>
                <w:sz w:val="20"/>
                <w:szCs w:val="16"/>
              </w:rPr>
            </w:pPr>
            <w:r>
              <w:rPr>
                <w:sz w:val="20"/>
                <w:szCs w:val="16"/>
              </w:rPr>
              <w:t>Position</w:t>
            </w:r>
          </w:p>
        </w:tc>
        <w:tc>
          <w:tcPr>
            <w:tcW w:w="3790"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authorised agent (if you are acting for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have attached a copy of the written authorisation for me to act on behalf of the applicant to this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Authorised agent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Borders>
              <w:bottom w:val="single" w:sz="4" w:space="0" w:color="auto"/>
            </w:tcBorders>
          </w:tcPr>
          <w:p>
            <w:pPr>
              <w:pStyle w:val="yTable"/>
              <w:rPr>
                <w:sz w:val="20"/>
                <w:szCs w:val="16"/>
              </w:rPr>
            </w:pPr>
            <w:r>
              <w:rPr>
                <w:sz w:val="20"/>
                <w:szCs w:val="16"/>
              </w:rPr>
              <w:t>Date</w:t>
            </w:r>
          </w:p>
        </w:tc>
        <w:tc>
          <w:tcPr>
            <w:tcW w:w="4662" w:type="dxa"/>
            <w:gridSpan w:val="2"/>
            <w:tcBorders>
              <w:bottom w:val="single" w:sz="4" w:space="0" w:color="auto"/>
            </w:tcBorders>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Borders>
              <w:bottom w:val="single" w:sz="4" w:space="0" w:color="auto"/>
            </w:tcBorders>
          </w:tcPr>
          <w:p>
            <w:pPr>
              <w:pStyle w:val="yTable"/>
              <w:rPr>
                <w:sz w:val="20"/>
                <w:szCs w:val="16"/>
              </w:rPr>
            </w:pPr>
          </w:p>
        </w:tc>
        <w:tc>
          <w:tcPr>
            <w:tcW w:w="872" w:type="dxa"/>
            <w:tcBorders>
              <w:bottom w:val="single" w:sz="4" w:space="0" w:color="auto"/>
            </w:tcBorders>
          </w:tcPr>
          <w:p>
            <w:pPr>
              <w:pStyle w:val="yTable"/>
              <w:rPr>
                <w:sz w:val="20"/>
                <w:szCs w:val="16"/>
              </w:rPr>
            </w:pPr>
            <w:r>
              <w:rPr>
                <w:sz w:val="20"/>
                <w:szCs w:val="16"/>
              </w:rPr>
              <w:t>Position</w:t>
            </w:r>
          </w:p>
        </w:tc>
        <w:tc>
          <w:tcPr>
            <w:tcW w:w="3790" w:type="dxa"/>
            <w:tcBorders>
              <w:bottom w:val="single" w:sz="4" w:space="0" w:color="auto"/>
            </w:tcBorders>
          </w:tcPr>
          <w:p>
            <w:pPr>
              <w:pStyle w:val="yTable"/>
              <w:rPr>
                <w:sz w:val="20"/>
                <w:szCs w:val="16"/>
              </w:rPr>
            </w:pPr>
          </w:p>
        </w:tc>
      </w:tr>
    </w:tbl>
    <w:p>
      <w:pPr>
        <w:pStyle w:val="yFootnotesection"/>
      </w:pPr>
      <w:r>
        <w:tab/>
        <w:t>[Form 1 amended: Gazette 19 Jun 2015 p. 2099.]</w:t>
      </w:r>
    </w:p>
    <w:p>
      <w:pPr>
        <w:pStyle w:val="yMiscellaneousHeading"/>
        <w:pageBreakBefore/>
      </w:pPr>
      <w:r>
        <w:rPr>
          <w:rStyle w:val="CharSClsNo"/>
          <w:b/>
        </w:rPr>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tc>
          <w:tcPr>
            <w:tcW w:w="1547" w:type="dxa"/>
          </w:tcPr>
          <w:p>
            <w:pPr>
              <w:pStyle w:val="yTable"/>
              <w:rPr>
                <w:sz w:val="20"/>
              </w:rPr>
            </w:pPr>
            <w:r>
              <w:rPr>
                <w:sz w:val="20"/>
              </w:rPr>
              <w:t>Name</w:t>
            </w:r>
          </w:p>
        </w:tc>
        <w:tc>
          <w:tcPr>
            <w:tcW w:w="5521" w:type="dxa"/>
            <w:gridSpan w:val="5"/>
          </w:tcPr>
          <w:p>
            <w:pPr>
              <w:pStyle w:val="yTable"/>
              <w:rPr>
                <w:sz w:val="20"/>
              </w:rPr>
            </w:pPr>
          </w:p>
        </w:tc>
      </w:tr>
      <w:tr>
        <w:tc>
          <w:tcPr>
            <w:tcW w:w="1547" w:type="dxa"/>
            <w:tcBorders>
              <w:bottom w:val="single" w:sz="4" w:space="0" w:color="auto"/>
            </w:tcBorders>
          </w:tcPr>
          <w:p>
            <w:pPr>
              <w:pStyle w:val="yTable"/>
              <w:rPr>
                <w:sz w:val="20"/>
              </w:rPr>
            </w:pPr>
            <w:r>
              <w:rPr>
                <w:sz w:val="20"/>
              </w:rPr>
              <w:t>Street Address</w:t>
            </w:r>
          </w:p>
        </w:tc>
        <w:tc>
          <w:tcPr>
            <w:tcW w:w="5521" w:type="dxa"/>
            <w:gridSpan w:val="5"/>
            <w:tcBorders>
              <w:bottom w:val="single" w:sz="4" w:space="0" w:color="auto"/>
            </w:tcBorders>
          </w:tcPr>
          <w:p>
            <w:pPr>
              <w:pStyle w:val="yTable"/>
              <w:rPr>
                <w:sz w:val="20"/>
              </w:rPr>
            </w:pPr>
          </w:p>
        </w:tc>
      </w:tr>
      <w:tr>
        <w:trPr>
          <w:cantSplit/>
        </w:trPr>
        <w:tc>
          <w:tcPr>
            <w:tcW w:w="1547" w:type="dxa"/>
            <w:tcBorders>
              <w:top w:val="single" w:sz="4" w:space="0" w:color="auto"/>
              <w:left w:val="single" w:sz="4" w:space="0" w:color="auto"/>
              <w:bottom w:val="single" w:sz="4" w:space="0" w:color="auto"/>
            </w:tcBorders>
          </w:tcPr>
          <w:p>
            <w:pPr>
              <w:pStyle w:val="yTable"/>
              <w:rPr>
                <w:sz w:val="20"/>
              </w:rPr>
            </w:pPr>
            <w:r>
              <w:rPr>
                <w:sz w:val="20"/>
              </w:rPr>
              <w:t>City</w:t>
            </w:r>
          </w:p>
        </w:tc>
        <w:tc>
          <w:tcPr>
            <w:tcW w:w="3280" w:type="dxa"/>
            <w:gridSpan w:val="3"/>
            <w:tcBorders>
              <w:top w:val="single" w:sz="4" w:space="0" w:color="auto"/>
              <w:left w:val="nil"/>
              <w:bottom w:val="single" w:sz="4" w:space="0" w:color="auto"/>
            </w:tcBorders>
          </w:tcPr>
          <w:p>
            <w:pPr>
              <w:pStyle w:val="yTable"/>
              <w:rPr>
                <w:sz w:val="20"/>
              </w:rPr>
            </w:pPr>
          </w:p>
        </w:tc>
        <w:tc>
          <w:tcPr>
            <w:tcW w:w="1038" w:type="dxa"/>
            <w:tcBorders>
              <w:top w:val="single" w:sz="4" w:space="0" w:color="auto"/>
              <w:left w:val="nil"/>
              <w:bottom w:val="single" w:sz="4" w:space="0" w:color="auto"/>
            </w:tcBorders>
          </w:tcPr>
          <w:p>
            <w:pPr>
              <w:pStyle w:val="yTable"/>
              <w:rPr>
                <w:sz w:val="20"/>
              </w:rPr>
            </w:pPr>
            <w:r>
              <w:rPr>
                <w:sz w:val="20"/>
              </w:rPr>
              <w:t>Postcode</w:t>
            </w:r>
          </w:p>
        </w:tc>
        <w:tc>
          <w:tcPr>
            <w:tcW w:w="1203" w:type="dxa"/>
            <w:tcBorders>
              <w:top w:val="single" w:sz="4" w:space="0" w:color="auto"/>
              <w:left w:val="nil"/>
              <w:bottom w:val="single" w:sz="4" w:space="0" w:color="auto"/>
            </w:tcBorders>
          </w:tcPr>
          <w:p>
            <w:pPr>
              <w:pStyle w:val="yTable"/>
              <w:rPr>
                <w:sz w:val="20"/>
              </w:rPr>
            </w:pPr>
          </w:p>
        </w:tc>
      </w:tr>
      <w:tr>
        <w:tc>
          <w:tcPr>
            <w:tcW w:w="154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pPr>
              <w:pStyle w:val="yTable"/>
              <w:rPr>
                <w:sz w:val="20"/>
              </w:rPr>
            </w:pPr>
          </w:p>
        </w:tc>
        <w:tc>
          <w:tcPr>
            <w:tcW w:w="705" w:type="dxa"/>
            <w:tcBorders>
              <w:top w:val="single" w:sz="4" w:space="0" w:color="auto"/>
              <w:left w:val="single" w:sz="4" w:space="0" w:color="auto"/>
              <w:bottom w:val="single" w:sz="4" w:space="0" w:color="auto"/>
            </w:tcBorders>
          </w:tcPr>
          <w:p>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tc>
          <w:tcPr>
            <w:tcW w:w="1560" w:type="dxa"/>
          </w:tcPr>
          <w:p>
            <w:pPr>
              <w:pStyle w:val="yTable"/>
              <w:rPr>
                <w:sz w:val="20"/>
              </w:rPr>
            </w:pPr>
            <w:r>
              <w:rPr>
                <w:sz w:val="20"/>
              </w:rPr>
              <w:t>House No.</w:t>
            </w:r>
          </w:p>
        </w:tc>
        <w:tc>
          <w:tcPr>
            <w:tcW w:w="5508"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508"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508"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tc>
          <w:tcPr>
            <w:tcW w:w="6270" w:type="dxa"/>
          </w:tcPr>
          <w:p>
            <w:pPr>
              <w:pStyle w:val="yTable"/>
              <w:rPr>
                <w:sz w:val="20"/>
              </w:rPr>
            </w:pPr>
            <w:r>
              <w:rPr>
                <w:sz w:val="20"/>
              </w:rPr>
              <w:t>Refused</w:t>
            </w:r>
          </w:p>
        </w:tc>
        <w:tc>
          <w:tcPr>
            <w:tcW w:w="798" w:type="dxa"/>
          </w:tcPr>
          <w:p>
            <w:pPr>
              <w:pStyle w:val="yTable"/>
              <w:rPr>
                <w:sz w:val="20"/>
              </w:rPr>
            </w:pPr>
          </w:p>
        </w:tc>
      </w:tr>
      <w:tr>
        <w:tc>
          <w:tcPr>
            <w:tcW w:w="6270" w:type="dxa"/>
            <w:tcBorders>
              <w:bottom w:val="single" w:sz="4" w:space="0" w:color="auto"/>
            </w:tcBorders>
          </w:tcPr>
          <w:p>
            <w:pPr>
              <w:pStyle w:val="yTable"/>
              <w:rPr>
                <w:sz w:val="20"/>
              </w:rPr>
            </w:pPr>
            <w:r>
              <w:rPr>
                <w:sz w:val="20"/>
              </w:rPr>
              <w:t>Approved, but in a modified form</w:t>
            </w:r>
          </w:p>
        </w:tc>
        <w:tc>
          <w:tcPr>
            <w:tcW w:w="798" w:type="dxa"/>
            <w:tcBorders>
              <w:bottom w:val="single" w:sz="4" w:space="0" w:color="auto"/>
            </w:tcBorders>
          </w:tcPr>
          <w:p>
            <w:pPr>
              <w:pStyle w:val="yTable"/>
              <w:rPr>
                <w:sz w:val="20"/>
              </w:rPr>
            </w:pPr>
          </w:p>
        </w:tc>
      </w:tr>
      <w:tr>
        <w:trPr>
          <w:cantSplit/>
        </w:trPr>
        <w:tc>
          <w:tcPr>
            <w:tcW w:w="6270"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keepNext/>
            </w:pPr>
            <w:r>
              <w:t>$</w:t>
            </w:r>
          </w:p>
        </w:tc>
        <w:tc>
          <w:tcPr>
            <w:tcW w:w="1942" w:type="dxa"/>
          </w:tcPr>
          <w:p>
            <w:pPr>
              <w:pStyle w:val="yTable"/>
              <w:keepNext/>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tc>
          <w:tcPr>
            <w:tcW w:w="7068" w:type="dxa"/>
          </w:tcPr>
          <w:p>
            <w:pPr>
              <w:pStyle w:val="yTable"/>
              <w:spacing w:after="60"/>
              <w:rPr>
                <w:sz w:val="20"/>
              </w:rPr>
            </w:pPr>
          </w:p>
        </w:tc>
      </w:tr>
      <w:tr>
        <w:tc>
          <w:tcPr>
            <w:tcW w:w="7068" w:type="dxa"/>
            <w:tcBorders>
              <w:bottom w:val="single" w:sz="4" w:space="0" w:color="auto"/>
            </w:tcBorders>
          </w:tcPr>
          <w:p>
            <w:pPr>
              <w:pStyle w:val="yTable"/>
              <w:spacing w:after="60"/>
              <w:rPr>
                <w:sz w:val="20"/>
              </w:rPr>
            </w:pPr>
          </w:p>
        </w:tc>
      </w:tr>
      <w:tr>
        <w:trPr>
          <w:cantSplit/>
        </w:trPr>
        <w:tc>
          <w:tcPr>
            <w:tcW w:w="7068"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Footnotesection"/>
      </w:pPr>
      <w:r>
        <w:tab/>
        <w:t>[Form 2 amended: Gazette 19 Jun 2015 p. 2100.]</w:t>
      </w:r>
    </w:p>
    <w:p>
      <w:pPr>
        <w:pStyle w:val="yMiscellaneousHeading"/>
        <w:keepNext w:val="0"/>
        <w:pageBreakBefore/>
        <w:spacing w:after="60"/>
      </w:pPr>
      <w:r>
        <w:rPr>
          <w:rStyle w:val="CharSClsNo"/>
          <w:b/>
        </w:rPr>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2106"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20" w:after="10"/>
              <w:rPr>
                <w:b/>
                <w:sz w:val="20"/>
              </w:rPr>
            </w:pPr>
            <w:r>
              <w:rPr>
                <w:b/>
                <w:sz w:val="20"/>
              </w:rPr>
              <w:t>Alleged offender</w:t>
            </w:r>
          </w:p>
        </w:tc>
        <w:tc>
          <w:tcPr>
            <w:tcW w:w="5650"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s>
              <w:spacing w:before="20" w:after="10"/>
              <w:rPr>
                <w:sz w:val="20"/>
              </w:rPr>
            </w:pPr>
            <w:r>
              <w:rPr>
                <w:sz w:val="20"/>
              </w:rPr>
              <w:tab/>
              <w:t>Given names</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418" w:type="dxa"/>
            <w:vMerge w:val="restart"/>
          </w:tcPr>
          <w:p>
            <w:pPr>
              <w:pStyle w:val="yTable"/>
              <w:spacing w:before="20" w:after="10"/>
              <w:rPr>
                <w:b/>
                <w:sz w:val="20"/>
              </w:rPr>
            </w:pPr>
            <w:r>
              <w:rPr>
                <w:b/>
                <w:sz w:val="20"/>
              </w:rPr>
              <w:t>Alleged offence</w:t>
            </w:r>
          </w:p>
        </w:tc>
        <w:tc>
          <w:tcPr>
            <w:tcW w:w="5650" w:type="dxa"/>
            <w:gridSpan w:val="2"/>
          </w:tcPr>
          <w:p>
            <w:pPr>
              <w:pStyle w:val="yTable"/>
              <w:tabs>
                <w:tab w:val="left" w:pos="563"/>
              </w:tabs>
              <w:spacing w:before="20" w:after="10"/>
              <w:rPr>
                <w:sz w:val="20"/>
              </w:rPr>
            </w:pPr>
            <w:r>
              <w:rPr>
                <w:sz w:val="20"/>
              </w:rPr>
              <w:t xml:space="preserve">Description of offence: </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20" w:after="10"/>
              <w:rPr>
                <w:b/>
                <w:sz w:val="20"/>
              </w:rPr>
            </w:pPr>
          </w:p>
        </w:tc>
        <w:tc>
          <w:tcPr>
            <w:tcW w:w="5650" w:type="dxa"/>
            <w:gridSpan w:val="2"/>
          </w:tcPr>
          <w:p>
            <w:pPr>
              <w:pStyle w:val="yTable"/>
              <w:spacing w:before="20" w:after="10"/>
              <w:rPr>
                <w:bCs/>
                <w:sz w:val="20"/>
              </w:rPr>
            </w:pPr>
            <w:r>
              <w:rPr>
                <w:bCs/>
                <w:sz w:val="20"/>
              </w:rPr>
              <w:t>Modified penalty:  $</w:t>
            </w:r>
          </w:p>
        </w:tc>
      </w:tr>
      <w:tr>
        <w:trPr>
          <w:cantSplit/>
        </w:trPr>
        <w:tc>
          <w:tcPr>
            <w:tcW w:w="1418" w:type="dxa"/>
            <w:vMerge w:val="restart"/>
          </w:tcPr>
          <w:p>
            <w:pPr>
              <w:pStyle w:val="yTable"/>
              <w:spacing w:before="20" w:after="10"/>
              <w:rPr>
                <w:b/>
                <w:sz w:val="20"/>
              </w:rPr>
            </w:pPr>
            <w:r>
              <w:rPr>
                <w:b/>
                <w:sz w:val="20"/>
              </w:rPr>
              <w:t>Officer issuing notice</w:t>
            </w:r>
          </w:p>
        </w:tc>
        <w:tc>
          <w:tcPr>
            <w:tcW w:w="5650" w:type="dxa"/>
            <w:gridSpan w:val="2"/>
          </w:tcPr>
          <w:p>
            <w:pPr>
              <w:pStyle w:val="yTable"/>
              <w:keepNext/>
              <w:tabs>
                <w:tab w:val="left" w:pos="563"/>
              </w:tabs>
              <w:spacing w:before="20" w:after="10"/>
              <w:rPr>
                <w:sz w:val="20"/>
              </w:rPr>
            </w:pPr>
            <w:r>
              <w:rPr>
                <w:sz w:val="20"/>
              </w:rPr>
              <w:t>Name: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Signature: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Office:</w:t>
            </w:r>
          </w:p>
        </w:tc>
      </w:tr>
      <w:tr>
        <w:tc>
          <w:tcPr>
            <w:tcW w:w="1418" w:type="dxa"/>
            <w:tcBorders>
              <w:bottom w:val="single" w:sz="4" w:space="0" w:color="auto"/>
            </w:tcBorders>
          </w:tcPr>
          <w:p>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418"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“Chief Executive Officer, Department of Parks and Wildlife”)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284"/>
        </w:trPr>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Chief Executive Officer, Department of Parks and Wildlife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Chief Executive Officer, Department of Parks and Wildlife at the above postal address within 28 days after the date of this notice.</w:t>
            </w:r>
          </w:p>
        </w:tc>
      </w:tr>
    </w:tbl>
    <w:p>
      <w:pPr>
        <w:pStyle w:val="yFootnotesection"/>
      </w:pPr>
      <w:r>
        <w:tab/>
        <w:t>[Form 3 amended: Gazette 20 Aug 2013 p. 3858; 19 Jun 2015 p. 2100; SL 2020/166 r. 10.]</w:t>
      </w:r>
    </w:p>
    <w:p>
      <w:pPr>
        <w:pStyle w:val="yMiscellaneousHeading"/>
        <w:pageBreakBefore/>
        <w:spacing w:after="60"/>
      </w:pPr>
      <w:r>
        <w:rPr>
          <w:rStyle w:val="CharSClsNo"/>
          <w:b/>
        </w:rPr>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2106" w:type="dxa"/>
            <w:tcBorders>
              <w:bottom w:val="single" w:sz="4" w:space="0" w:color="auto"/>
            </w:tcBorders>
          </w:tcPr>
          <w:p>
            <w:pPr>
              <w:pStyle w:val="yTable"/>
              <w:spacing w:before="40"/>
              <w:rPr>
                <w:sz w:val="20"/>
              </w:rPr>
            </w:pPr>
            <w:r>
              <w:rPr>
                <w:sz w:val="20"/>
              </w:rPr>
              <w:t>Withdrawal No.</w:t>
            </w:r>
          </w:p>
        </w:tc>
      </w:tr>
      <w:tr>
        <w:trPr>
          <w:cantSplit/>
          <w:trHeight w:val="150"/>
        </w:trPr>
        <w:tc>
          <w:tcPr>
            <w:tcW w:w="1418" w:type="dxa"/>
            <w:vMerge w:val="restart"/>
          </w:tcPr>
          <w:p>
            <w:pPr>
              <w:pStyle w:val="yTable"/>
              <w:spacing w:before="40"/>
              <w:rPr>
                <w:b/>
                <w:sz w:val="20"/>
              </w:rPr>
            </w:pPr>
            <w:r>
              <w:rPr>
                <w:b/>
                <w:sz w:val="20"/>
              </w:rPr>
              <w:t>Alleged offender</w:t>
            </w:r>
          </w:p>
        </w:tc>
        <w:tc>
          <w:tcPr>
            <w:tcW w:w="5650"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s>
              <w:spacing w:before="40"/>
              <w:rPr>
                <w:sz w:val="20"/>
              </w:rPr>
            </w:pPr>
            <w:r>
              <w:rPr>
                <w:sz w:val="20"/>
              </w:rPr>
              <w:tab/>
              <w:t>Given names</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418" w:type="dxa"/>
            <w:vMerge w:val="restart"/>
            <w:tcMar>
              <w:right w:w="57" w:type="dxa"/>
            </w:tcMar>
          </w:tcPr>
          <w:p>
            <w:pPr>
              <w:pStyle w:val="yTable"/>
              <w:spacing w:before="40"/>
              <w:rPr>
                <w:b/>
                <w:sz w:val="20"/>
              </w:rPr>
            </w:pPr>
            <w:r>
              <w:rPr>
                <w:b/>
                <w:sz w:val="20"/>
              </w:rPr>
              <w:t>Infringement notice</w:t>
            </w:r>
          </w:p>
        </w:tc>
        <w:tc>
          <w:tcPr>
            <w:tcW w:w="5650" w:type="dxa"/>
            <w:gridSpan w:val="2"/>
          </w:tcPr>
          <w:p>
            <w:pPr>
              <w:pStyle w:val="yTable"/>
              <w:spacing w:before="40"/>
              <w:rPr>
                <w:sz w:val="20"/>
              </w:rPr>
            </w:pPr>
            <w:r>
              <w:rPr>
                <w:sz w:val="20"/>
              </w:rPr>
              <w:t>Infringement Notice No.:</w:t>
            </w:r>
          </w:p>
        </w:tc>
      </w:tr>
      <w:tr>
        <w:trPr>
          <w:cantSplit/>
        </w:trPr>
        <w:tc>
          <w:tcPr>
            <w:tcW w:w="1418" w:type="dxa"/>
            <w:vMerge/>
          </w:tcPr>
          <w:p>
            <w:pPr>
              <w:pStyle w:val="yTable"/>
              <w:spacing w:before="40"/>
              <w:rPr>
                <w:sz w:val="20"/>
              </w:rPr>
            </w:pPr>
          </w:p>
        </w:tc>
        <w:tc>
          <w:tcPr>
            <w:tcW w:w="5650"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40"/>
              <w:rPr>
                <w:b/>
                <w:sz w:val="20"/>
              </w:rPr>
            </w:pPr>
            <w:r>
              <w:rPr>
                <w:b/>
                <w:sz w:val="20"/>
              </w:rPr>
              <w:t>Alleged offence</w:t>
            </w:r>
          </w:p>
        </w:tc>
        <w:tc>
          <w:tcPr>
            <w:tcW w:w="5650" w:type="dxa"/>
            <w:gridSpan w:val="2"/>
          </w:tcPr>
          <w:p>
            <w:pPr>
              <w:pStyle w:val="yTable"/>
              <w:tabs>
                <w:tab w:val="left" w:pos="563"/>
              </w:tabs>
              <w:spacing w:before="40"/>
              <w:rPr>
                <w:sz w:val="20"/>
              </w:rPr>
            </w:pPr>
            <w:r>
              <w:rPr>
                <w:sz w:val="20"/>
              </w:rPr>
              <w:t xml:space="preserve">Description of offence: </w:t>
            </w:r>
          </w:p>
        </w:tc>
      </w:tr>
      <w:tr>
        <w:trPr>
          <w:cantSplit/>
        </w:trPr>
        <w:tc>
          <w:tcPr>
            <w:tcW w:w="1418" w:type="dxa"/>
            <w:vMerge/>
          </w:tcPr>
          <w:p>
            <w:pPr>
              <w:pStyle w:val="yTable"/>
              <w:spacing w:before="40"/>
              <w:rPr>
                <w:b/>
                <w:sz w:val="20"/>
              </w:rPr>
            </w:pPr>
          </w:p>
        </w:tc>
        <w:tc>
          <w:tcPr>
            <w:tcW w:w="5650"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418" w:type="dxa"/>
            <w:vMerge/>
          </w:tcPr>
          <w:p>
            <w:pPr>
              <w:pStyle w:val="yTable"/>
              <w:spacing w:before="40"/>
              <w:rPr>
                <w:sz w:val="20"/>
              </w:rPr>
            </w:pPr>
          </w:p>
        </w:tc>
        <w:tc>
          <w:tcPr>
            <w:tcW w:w="5650"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650"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Signature: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Office:</w:t>
            </w:r>
          </w:p>
        </w:tc>
      </w:tr>
      <w:tr>
        <w:tc>
          <w:tcPr>
            <w:tcW w:w="1418" w:type="dxa"/>
          </w:tcPr>
          <w:p>
            <w:pPr>
              <w:pStyle w:val="yTable"/>
              <w:spacing w:before="40"/>
              <w:ind w:right="-108"/>
              <w:rPr>
                <w:b/>
                <w:sz w:val="20"/>
              </w:rPr>
            </w:pPr>
            <w:r>
              <w:rPr>
                <w:b/>
                <w:sz w:val="20"/>
              </w:rPr>
              <w:t>Date</w:t>
            </w:r>
          </w:p>
        </w:tc>
        <w:tc>
          <w:tcPr>
            <w:tcW w:w="5650"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4 amended: Gazette 19 Jun 2015 p. 2100.]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86" w:name="_Toc51671018"/>
      <w:bookmarkStart w:id="87" w:name="_Toc51681690"/>
      <w:bookmarkStart w:id="88" w:name="_Toc51670486"/>
      <w:r>
        <w:t>Notes</w:t>
      </w:r>
      <w:bookmarkEnd w:id="86"/>
      <w:bookmarkEnd w:id="87"/>
    </w:p>
    <w:p>
      <w:pPr>
        <w:pStyle w:val="nStatement"/>
      </w:pPr>
      <w:r>
        <w:t xml:space="preserve">This is a compilation of the </w:t>
      </w:r>
      <w:r>
        <w:rPr>
          <w:i/>
          <w:noProof/>
        </w:rPr>
        <w:t>Swan and Canning Rivers Management Regulations 2007</w:t>
      </w:r>
      <w:r>
        <w:t xml:space="preserve"> and includes amendments made by other written laws. For provisions that have come into operation, and for information about any reprints, see the compilation table.</w:t>
      </w:r>
    </w:p>
    <w:p>
      <w:pPr>
        <w:pStyle w:val="nHeading3"/>
      </w:pPr>
      <w:bookmarkStart w:id="89" w:name="_Toc51681691"/>
      <w:r>
        <w:t>Compilation table</w:t>
      </w:r>
      <w:bookmarkEnd w:id="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Swan and Canning Rivers Management Regulations 2007</w:t>
            </w:r>
          </w:p>
        </w:tc>
        <w:tc>
          <w:tcPr>
            <w:tcW w:w="1276" w:type="dxa"/>
            <w:tcBorders>
              <w:top w:val="single" w:sz="8" w:space="0" w:color="auto"/>
              <w:bottom w:val="nil"/>
            </w:tcBorders>
          </w:tcPr>
          <w:p>
            <w:pPr>
              <w:pStyle w:val="nTable"/>
              <w:spacing w:after="40"/>
            </w:pPr>
            <w:r>
              <w:t>25 Sep 2007 p. 4787</w:t>
            </w:r>
            <w:r>
              <w:noBreakHyphen/>
              <w:t>831</w:t>
            </w:r>
          </w:p>
        </w:tc>
        <w:tc>
          <w:tcPr>
            <w:tcW w:w="2693" w:type="dxa"/>
            <w:tcBorders>
              <w:top w:val="single" w:sz="8" w:space="0" w:color="auto"/>
              <w:bottom w:val="nil"/>
            </w:tcBorders>
          </w:tcPr>
          <w:p>
            <w:pPr>
              <w:pStyle w:val="nTable"/>
              <w:spacing w:after="40"/>
            </w:pPr>
            <w:r>
              <w:t>25 Sep 2007 (see note under r. 1 and </w:t>
            </w:r>
            <w:r>
              <w:rPr>
                <w:i/>
              </w:rPr>
              <w:t>Gazette</w:t>
            </w:r>
            <w:r>
              <w:t xml:space="preserve"> 25 Sep 2007 p. 4835)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2012</w:t>
            </w:r>
          </w:p>
        </w:tc>
        <w:tc>
          <w:tcPr>
            <w:tcW w:w="1276" w:type="dxa"/>
            <w:tcBorders>
              <w:top w:val="nil"/>
              <w:bottom w:val="nil"/>
            </w:tcBorders>
            <w:shd w:val="clear" w:color="auto" w:fill="auto"/>
          </w:tcPr>
          <w:p>
            <w:pPr>
              <w:pStyle w:val="nTable"/>
              <w:spacing w:after="40"/>
            </w:pPr>
            <w:r>
              <w:t>28 Aug 2012 p. 4132-40</w:t>
            </w:r>
          </w:p>
        </w:tc>
        <w:tc>
          <w:tcPr>
            <w:tcW w:w="2693" w:type="dxa"/>
            <w:tcBorders>
              <w:top w:val="nil"/>
              <w:bottom w:val="nil"/>
            </w:tcBorders>
            <w:shd w:val="clear" w:color="auto" w:fill="auto"/>
          </w:tcPr>
          <w:p>
            <w:pPr>
              <w:pStyle w:val="nTable"/>
              <w:spacing w:after="40"/>
            </w:pPr>
            <w:r>
              <w:t>r. 1 and 2: 28 Aug 2012 (see r. 2(a));</w:t>
            </w:r>
            <w:r>
              <w:br/>
              <w:t>Regulations other than r. 1 and 2: 29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Swan and Canning Rivers Management Regulations 2007</w:t>
            </w:r>
            <w:r>
              <w:rPr>
                <w:b/>
              </w:rPr>
              <w:t xml:space="preserve"> as at 23 Nov 2012</w:t>
            </w:r>
            <w: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2013</w:t>
            </w:r>
          </w:p>
        </w:tc>
        <w:tc>
          <w:tcPr>
            <w:tcW w:w="1276" w:type="dxa"/>
            <w:tcBorders>
              <w:top w:val="nil"/>
              <w:bottom w:val="nil"/>
            </w:tcBorders>
            <w:shd w:val="clear" w:color="auto" w:fill="auto"/>
          </w:tcPr>
          <w:p>
            <w:pPr>
              <w:pStyle w:val="nTable"/>
              <w:spacing w:after="40"/>
            </w:pPr>
            <w:r>
              <w:t>20 Aug 2013 p. 3857-8</w:t>
            </w:r>
          </w:p>
        </w:tc>
        <w:tc>
          <w:tcPr>
            <w:tcW w:w="2693" w:type="dxa"/>
            <w:tcBorders>
              <w:top w:val="nil"/>
              <w:bottom w:val="nil"/>
            </w:tcBorders>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2014</w:t>
            </w:r>
          </w:p>
        </w:tc>
        <w:tc>
          <w:tcPr>
            <w:tcW w:w="1276" w:type="dxa"/>
            <w:tcBorders>
              <w:top w:val="nil"/>
              <w:bottom w:val="nil"/>
            </w:tcBorders>
            <w:shd w:val="clear" w:color="auto" w:fill="auto"/>
          </w:tcPr>
          <w:p>
            <w:pPr>
              <w:pStyle w:val="nTable"/>
              <w:spacing w:after="40"/>
            </w:pPr>
            <w:r>
              <w:t>27 Jun 2014 p. 2327-8</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Jun 2014 (see r. 2(a));</w:t>
            </w:r>
            <w:r>
              <w:rPr>
                <w:snapToGrid w:val="0"/>
                <w:spacing w:val="-2"/>
              </w:rPr>
              <w:br/>
              <w:t>Regulations other than r. 1 and 2: 28 Jun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2015</w:t>
            </w:r>
          </w:p>
        </w:tc>
        <w:tc>
          <w:tcPr>
            <w:tcW w:w="1276" w:type="dxa"/>
            <w:tcBorders>
              <w:top w:val="nil"/>
              <w:bottom w:val="nil"/>
            </w:tcBorders>
            <w:shd w:val="clear" w:color="auto" w:fill="auto"/>
          </w:tcPr>
          <w:p>
            <w:pPr>
              <w:pStyle w:val="nTable"/>
              <w:spacing w:after="40"/>
            </w:pPr>
            <w:r>
              <w:t>19 Jun 2015 p. 2097</w:t>
            </w:r>
            <w:r>
              <w:noBreakHyphen/>
              <w:t>101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19 Jun 2015 (see r. 2(a));</w:t>
            </w:r>
            <w:r>
              <w:rPr>
                <w:snapToGrid w:val="0"/>
                <w:spacing w:val="-2"/>
              </w:rPr>
              <w:br/>
              <w:t>Regulations other than r. 1 and 2: 1 Jul 2015 (see r. 2(b))</w:t>
            </w:r>
          </w:p>
        </w:tc>
      </w:tr>
      <w:tr>
        <w:tc>
          <w:tcPr>
            <w:tcW w:w="3118" w:type="dxa"/>
            <w:tcBorders>
              <w:top w:val="nil"/>
              <w:bottom w:val="nil"/>
            </w:tcBorders>
            <w:shd w:val="clear" w:color="auto" w:fill="auto"/>
          </w:tcPr>
          <w:p>
            <w:pPr>
              <w:pStyle w:val="nTable"/>
              <w:spacing w:after="40"/>
              <w:rPr>
                <w:i/>
                <w:noProof/>
                <w:snapToGrid w:val="0"/>
              </w:rPr>
            </w:pPr>
            <w:r>
              <w:rPr>
                <w:i/>
              </w:rPr>
              <w:t>Swan and Canning Rivers Management Amendment Regulations 2016</w:t>
            </w:r>
          </w:p>
        </w:tc>
        <w:tc>
          <w:tcPr>
            <w:tcW w:w="1276" w:type="dxa"/>
            <w:tcBorders>
              <w:top w:val="nil"/>
              <w:bottom w:val="nil"/>
            </w:tcBorders>
            <w:shd w:val="clear" w:color="auto" w:fill="auto"/>
          </w:tcPr>
          <w:p>
            <w:pPr>
              <w:pStyle w:val="nTable"/>
              <w:spacing w:after="40"/>
            </w:pPr>
            <w:r>
              <w:t>4 Mar 2016 p. 625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tc>
          <w:tcPr>
            <w:tcW w:w="3118" w:type="dxa"/>
            <w:tcBorders>
              <w:top w:val="nil"/>
              <w:bottom w:val="single" w:sz="4" w:space="0" w:color="auto"/>
            </w:tcBorders>
            <w:shd w:val="clear" w:color="auto" w:fill="auto"/>
          </w:tcPr>
          <w:p>
            <w:pPr>
              <w:pStyle w:val="nTable"/>
              <w:spacing w:after="40"/>
              <w:rPr>
                <w:i/>
              </w:rPr>
            </w:pPr>
            <w:r>
              <w:rPr>
                <w:i/>
              </w:rPr>
              <w:t xml:space="preserve">Environment Regulations Amendment (Infringement Notices) Regulations 2020 </w:t>
            </w:r>
            <w:r>
              <w:t>Pt. 5</w:t>
            </w:r>
          </w:p>
        </w:tc>
        <w:tc>
          <w:tcPr>
            <w:tcW w:w="1276" w:type="dxa"/>
            <w:tcBorders>
              <w:top w:val="nil"/>
              <w:bottom w:val="single" w:sz="4" w:space="0" w:color="auto"/>
            </w:tcBorders>
            <w:shd w:val="clear" w:color="auto" w:fill="auto"/>
          </w:tcPr>
          <w:p>
            <w:pPr>
              <w:pStyle w:val="nTable"/>
              <w:spacing w:after="40"/>
            </w:pPr>
            <w:r>
              <w:t>SL 2020/166 25 Sep 2020</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29 Sep 2020 (see r. 2(b) and SL 2020/159 cl. 2(a))</w:t>
            </w:r>
          </w:p>
        </w:tc>
      </w:tr>
    </w:tbl>
    <w:p>
      <w:pPr>
        <w:pStyle w:val="nHeading3"/>
      </w:pPr>
      <w:bookmarkStart w:id="90" w:name="_Toc51681692"/>
      <w:r>
        <w:t>Other notes</w:t>
      </w:r>
      <w:bookmarkEnd w:id="90"/>
    </w:p>
    <w:p>
      <w:pPr>
        <w:pStyle w:val="nNote"/>
      </w:pPr>
      <w:r>
        <w:rPr>
          <w:vertAlign w:val="superscript"/>
        </w:rPr>
        <w:t>1</w:t>
      </w:r>
      <w:r>
        <w:tab/>
        <w:t xml:space="preserve">Repealed by the </w:t>
      </w:r>
      <w:r>
        <w:rPr>
          <w:i/>
          <w:snapToGrid w:val="0"/>
        </w:rPr>
        <w:t>Swan and Canning Rivers (Consequential and Transitional Provisions) Act 2006</w:t>
      </w:r>
      <w:r>
        <w:rPr>
          <w:snapToGrid w:val="0"/>
        </w:rPr>
        <w:t>.</w:t>
      </w:r>
    </w:p>
    <w:p>
      <w:pPr>
        <w:pStyle w:val="nNote"/>
      </w:pPr>
      <w:r>
        <w:rPr>
          <w:vertAlign w:val="superscript"/>
        </w:rPr>
        <w:t>2</w:t>
      </w:r>
      <w:r>
        <w:tab/>
        <w:t xml:space="preserve">The regulation in these regulations repealing the </w:t>
      </w:r>
      <w:r>
        <w:rPr>
          <w:i/>
        </w:rPr>
        <w:t>Swan River Trust Regulations 1989</w:t>
      </w:r>
      <w:r>
        <w:t xml:space="preserve"> was omitted under the </w:t>
      </w:r>
      <w:r>
        <w:rPr>
          <w:i/>
        </w:rPr>
        <w:t>Reprints Act 1984</w:t>
      </w:r>
      <w:r>
        <w:t xml:space="preserve"> s. 7(4)(f).</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92" w:name="_Toc51671021"/>
      <w:bookmarkStart w:id="93" w:name="_Toc51681693"/>
      <w:r>
        <w:rPr>
          <w:sz w:val="28"/>
        </w:rPr>
        <w:t>Defined terms</w:t>
      </w:r>
      <w:bookmarkEnd w:id="88"/>
      <w:bookmarkEnd w:id="92"/>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aircraft</w:t>
      </w:r>
      <w:r>
        <w:tab/>
        <w:t>16A(1)</w:t>
      </w:r>
    </w:p>
    <w:p>
      <w:pPr>
        <w:pStyle w:val="DefinedTerms"/>
      </w:pPr>
      <w:r>
        <w:t>aircraft activity</w:t>
      </w:r>
      <w:r>
        <w:tab/>
        <w:t>16A(1)</w:t>
      </w:r>
    </w:p>
    <w:p>
      <w:pPr>
        <w:pStyle w:val="DefinedTerms"/>
      </w:pPr>
      <w:r>
        <w:t>commercial purpose</w:t>
      </w:r>
      <w:r>
        <w:tab/>
        <w:t>2</w:t>
      </w:r>
    </w:p>
    <w:p>
      <w:pPr>
        <w:pStyle w:val="DefinedTerms"/>
      </w:pPr>
      <w:r>
        <w:t>commercial use</w:t>
      </w:r>
      <w:r>
        <w:tab/>
        <w:t>2</w:t>
      </w:r>
    </w:p>
    <w:p>
      <w:pPr>
        <w:pStyle w:val="DefinedTerms"/>
      </w:pPr>
      <w:r>
        <w:t>commercial vessel</w:t>
      </w:r>
      <w:r>
        <w:tab/>
        <w:t>24(1)</w:t>
      </w:r>
    </w:p>
    <w:p>
      <w:pPr>
        <w:pStyle w:val="DefinedTerms"/>
      </w:pPr>
      <w:r>
        <w:t>emergency works, acts or activities</w:t>
      </w:r>
      <w:r>
        <w:tab/>
        <w:t>11(1)</w:t>
      </w:r>
    </w:p>
    <w:p>
      <w:pPr>
        <w:pStyle w:val="DefinedTerms"/>
      </w:pPr>
      <w:r>
        <w:t>exhibit</w:t>
      </w:r>
      <w:r>
        <w:tab/>
        <w:t>2</w:t>
      </w:r>
    </w:p>
    <w:p>
      <w:pPr>
        <w:pStyle w:val="DefinedTerms"/>
      </w:pPr>
      <w:r>
        <w:t>fire hazard reduction</w:t>
      </w:r>
      <w:r>
        <w:tab/>
        <w:t>15(1)</w:t>
      </w:r>
    </w:p>
    <w:p>
      <w:pPr>
        <w:pStyle w:val="DefinedTerms"/>
      </w:pPr>
      <w:r>
        <w:t>in writing</w:t>
      </w:r>
      <w:r>
        <w:tab/>
        <w:t>27(1)</w:t>
      </w:r>
    </w:p>
    <w:p>
      <w:pPr>
        <w:pStyle w:val="DefinedTerms"/>
      </w:pPr>
      <w:r>
        <w:t>leaseholder</w:t>
      </w:r>
      <w:r>
        <w:tab/>
        <w:t>2</w:t>
      </w:r>
    </w:p>
    <w:p>
      <w:pPr>
        <w:pStyle w:val="DefinedTerms"/>
      </w:pPr>
      <w:r>
        <w:t>length</w:t>
      </w:r>
      <w:r>
        <w:tab/>
        <w:t>24(1)</w:t>
      </w:r>
    </w:p>
    <w:p>
      <w:pPr>
        <w:pStyle w:val="DefinedTerms"/>
      </w:pPr>
      <w:r>
        <w:t>litter</w:t>
      </w:r>
      <w:r>
        <w:tab/>
        <w:t>25(1)</w:t>
      </w:r>
    </w:p>
    <w:p>
      <w:pPr>
        <w:pStyle w:val="DefinedTerms"/>
      </w:pPr>
      <w:r>
        <w:t>maintenance dredging</w:t>
      </w:r>
      <w:r>
        <w:tab/>
        <w:t>2</w:t>
      </w:r>
    </w:p>
    <w:p>
      <w:pPr>
        <w:pStyle w:val="DefinedTerms"/>
      </w:pPr>
      <w:r>
        <w:t>orally</w:t>
      </w:r>
      <w:r>
        <w:tab/>
        <w:t>27(1)</w:t>
      </w:r>
    </w:p>
    <w:p>
      <w:pPr>
        <w:pStyle w:val="DefinedTerms"/>
      </w:pPr>
      <w:r>
        <w:t>park</w:t>
      </w:r>
      <w:r>
        <w:tab/>
        <w:t>10(1)</w:t>
      </w:r>
    </w:p>
    <w:p>
      <w:pPr>
        <w:pStyle w:val="DefinedTerms"/>
      </w:pPr>
      <w:r>
        <w:t>permit</w:t>
      </w:r>
      <w:r>
        <w:tab/>
        <w:t>2</w:t>
      </w:r>
    </w:p>
    <w:p>
      <w:pPr>
        <w:pStyle w:val="DefinedTerms"/>
      </w:pPr>
      <w:r>
        <w:t>permitted launching place</w:t>
      </w:r>
      <w:r>
        <w:tab/>
        <w:t>22(1)</w:t>
      </w:r>
    </w:p>
    <w:p>
      <w:pPr>
        <w:pStyle w:val="DefinedTerms"/>
      </w:pPr>
      <w:r>
        <w:t>private property</w:t>
      </w:r>
      <w:r>
        <w:tab/>
        <w:t>2</w:t>
      </w:r>
    </w:p>
    <w:p>
      <w:pPr>
        <w:pStyle w:val="DefinedTerms"/>
      </w:pPr>
      <w:r>
        <w:t>public place</w:t>
      </w:r>
      <w:r>
        <w:tab/>
        <w:t>2</w:t>
      </w:r>
    </w:p>
    <w:p>
      <w:pPr>
        <w:pStyle w:val="DefinedTerms"/>
      </w:pPr>
      <w:r>
        <w:t>repairs to or maintenance of</w:t>
      </w:r>
      <w:r>
        <w:tab/>
        <w:t>10(1)</w:t>
      </w:r>
    </w:p>
    <w:p>
      <w:pPr>
        <w:pStyle w:val="DefinedTerms"/>
      </w:pPr>
      <w:r>
        <w:t>section</w:t>
      </w:r>
      <w:r>
        <w:tab/>
        <w:t>2</w:t>
      </w:r>
    </w:p>
    <w:p>
      <w:pPr>
        <w:pStyle w:val="DefinedTerms"/>
      </w:pPr>
      <w:r>
        <w:t>sign</w:t>
      </w:r>
      <w:r>
        <w:tab/>
        <w:t>2</w:t>
      </w:r>
    </w:p>
    <w:p>
      <w:pPr>
        <w:pStyle w:val="DefinedTerms"/>
      </w:pPr>
      <w:r>
        <w:t>spectator event</w:t>
      </w:r>
      <w:r>
        <w:tab/>
        <w:t>2</w:t>
      </w:r>
    </w:p>
    <w:p>
      <w:pPr>
        <w:pStyle w:val="DefinedTerms"/>
      </w:pPr>
      <w:r>
        <w:t>structure</w:t>
      </w:r>
      <w:r>
        <w:tab/>
        <w:t>2</w:t>
      </w:r>
    </w:p>
    <w:p>
      <w:pPr>
        <w:pStyle w:val="DefinedTerms"/>
      </w:pPr>
      <w:r>
        <w:t>temporary structure</w:t>
      </w:r>
      <w:r>
        <w:tab/>
        <w:t>13(1)</w:t>
      </w:r>
    </w:p>
    <w:p>
      <w:pPr>
        <w:pStyle w:val="DefinedTerms"/>
      </w:pPr>
      <w:r>
        <w:t>trailer</w:t>
      </w:r>
      <w:r>
        <w:tab/>
        <w:t>22(1)</w:t>
      </w:r>
    </w:p>
    <w:p>
      <w:pPr>
        <w:pStyle w:val="DefinedTerms"/>
      </w:pPr>
      <w:r>
        <w:t>Trust courtesy mooring</w:t>
      </w:r>
      <w:r>
        <w:tab/>
        <w:t>24(1)</w:t>
      </w:r>
    </w:p>
    <w:p>
      <w:pPr>
        <w:pStyle w:val="DefinedTerms"/>
      </w:pPr>
      <w:r>
        <w:t>undertake</w:t>
      </w:r>
      <w:r>
        <w:tab/>
        <w:t>2</w:t>
      </w:r>
    </w:p>
    <w:p>
      <w:pPr>
        <w:pStyle w:val="DefinedTerms"/>
      </w:pPr>
      <w:r>
        <w:t>vehicle</w:t>
      </w:r>
      <w:r>
        <w:tab/>
        <w:t>2</w:t>
      </w:r>
    </w:p>
    <w:p>
      <w:pPr>
        <w:pStyle w:val="DefinedTerms"/>
      </w:pPr>
      <w:r>
        <w:t>vessel</w:t>
      </w:r>
      <w:r>
        <w:tab/>
        <w:t>2</w:t>
      </w:r>
    </w:p>
    <w:p>
      <w:pPr>
        <w:pStyle w:val="DefinedTerms"/>
      </w:pPr>
      <w:r>
        <w:t>works</w:t>
      </w:r>
      <w:r>
        <w:tab/>
        <w:t>12(1), 14A(1), 14(1)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2" w:name="Schedule"/>
    <w:bookmarkEnd w:id="8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 w:name="DefinedTerms"/>
    <w:bookmarkEnd w:id="9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 w:name="Coversheet"/>
    <w:bookmarkEnd w:id="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2113204"/>
    <w:docVar w:name="WAFER_20140114100341" w:val="RemoveTocBookmarks,RemoveUnusedBookmarks,RemoveLanguageTags,UsedStyles,ResetPageSize,UpdateArrangement"/>
    <w:docVar w:name="WAFER_20140114100341_GUID" w:val="13dd5e5e-c35a-4f33-8810-e718055271ae"/>
    <w:docVar w:name="WAFER_20140114100348" w:val="RemoveTocBookmarks,RunningHeaders"/>
    <w:docVar w:name="WAFER_20140114100348_GUID" w:val="6488d27f-aed1-4313-bf78-18bf4b868dd3"/>
    <w:docVar w:name="WAFER_20140626164127" w:val="RemoveTocBookmarks,RunningHeaders"/>
    <w:docVar w:name="WAFER_20140626164127_GUID" w:val="280d3e3c-342f-46a3-a605-b772fe6b1815"/>
    <w:docVar w:name="WAFER_20150630154045" w:val="ResetPageSize,UpdateArrangement,UpdateNTable"/>
    <w:docVar w:name="WAFER_20150630154045_GUID" w:val="8bf827df-c340-4117-a9ed-55506adfd262"/>
    <w:docVar w:name="WAFER_20151113125434" w:val="UpdateStyles"/>
    <w:docVar w:name="WAFER_20151113125434_GUID" w:val="221f04c8-de2f-49ca-9cac-6892a84d8a86"/>
    <w:docVar w:name="WAFER_20151113152105" w:val="UsedStyles"/>
    <w:docVar w:name="WAFER_20151113152105_GUID" w:val="dba7aca2-ef5b-40a7-9f2e-9c147f3bba1b"/>
    <w:docVar w:name="WAFER_202009221132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204_GUID" w:val="93510195-a262-45df-9e60-d7f0461562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34D462-9CDC-432D-9C19-DAA3093D2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9256</Words>
  <Characters>45818</Characters>
  <Application>Microsoft Office Word</Application>
  <DocSecurity>0</DocSecurity>
  <Lines>1696</Lines>
  <Paragraphs>1123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2007 - 01-f0-00</dc:title>
  <dc:subject/>
  <dc:creator/>
  <cp:keywords/>
  <dc:description/>
  <cp:lastModifiedBy>svcMRProcess</cp:lastModifiedBy>
  <cp:revision>4</cp:revision>
  <cp:lastPrinted>2012-12-04T03:04:00Z</cp:lastPrinted>
  <dcterms:created xsi:type="dcterms:W3CDTF">2020-09-25T06:35:00Z</dcterms:created>
  <dcterms:modified xsi:type="dcterms:W3CDTF">2020-09-25T06:35:00Z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OwlsUID">
    <vt:i4>39211</vt:i4>
  </property>
  <property fmtid="{D5CDD505-2E9C-101B-9397-08002B2CF9AE}" pid="4" name="ReprintNo">
    <vt:lpwstr>1</vt:lpwstr>
  </property>
  <property fmtid="{D5CDD505-2E9C-101B-9397-08002B2CF9AE}" pid="5" name="ReprintedAsAt">
    <vt:filetime>2012-11-22T16:00:00Z</vt:filetime>
  </property>
  <property fmtid="{D5CDD505-2E9C-101B-9397-08002B2CF9AE}" pid="6" name="DocumentType">
    <vt:lpwstr>Reg</vt:lpwstr>
  </property>
  <property fmtid="{D5CDD505-2E9C-101B-9397-08002B2CF9AE}" pid="7" name="AsAtDate">
    <vt:lpwstr>29 Sep 2020</vt:lpwstr>
  </property>
  <property fmtid="{D5CDD505-2E9C-101B-9397-08002B2CF9AE}" pid="8" name="Suffix">
    <vt:lpwstr>01-f0-00</vt:lpwstr>
  </property>
  <property fmtid="{D5CDD505-2E9C-101B-9397-08002B2CF9AE}" pid="9" name="CommencementDate">
    <vt:lpwstr>20200929</vt:lpwstr>
  </property>
</Properties>
</file>