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Parks (Long-stay Tenants)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_Toc89242227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_Toc89242228 \h </w:instrText>
      </w:r>
      <w:r>
        <w:fldChar w:fldCharType="separate"/>
      </w:r>
      <w:r>
        <w:t>2</w:t>
      </w:r>
      <w:r>
        <w:fldChar w:fldCharType="end"/>
      </w:r>
    </w:p>
    <w:p>
      <w:pPr>
        <w:pStyle w:val="TOC8"/>
        <w:rPr>
          <w:rFonts w:asciiTheme="minorHAnsi" w:eastAsiaTheme="minorEastAsia" w:hAnsiTheme="minorHAnsi" w:cstheme="minorBidi"/>
          <w:szCs w:val="22"/>
        </w:rPr>
      </w:pPr>
      <w:r>
        <w:t>3.</w:t>
      </w:r>
      <w:r>
        <w:tab/>
        <w:t>Glossary of terms used</w:t>
      </w:r>
      <w:r>
        <w:tab/>
      </w:r>
      <w:r>
        <w:fldChar w:fldCharType="begin"/>
      </w:r>
      <w:r>
        <w:instrText xml:space="preserve"> PAGEREF _Toc89242229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_Toc89242230 \h </w:instrText>
      </w:r>
      <w:r>
        <w:fldChar w:fldCharType="separate"/>
      </w:r>
      <w:r>
        <w:t>2</w:t>
      </w:r>
      <w:r>
        <w:fldChar w:fldCharType="end"/>
      </w:r>
    </w:p>
    <w:p>
      <w:pPr>
        <w:pStyle w:val="TOC8"/>
        <w:rPr>
          <w:rFonts w:asciiTheme="minorHAnsi" w:eastAsiaTheme="minorEastAsia" w:hAnsiTheme="minorHAnsi" w:cstheme="minorBidi"/>
          <w:szCs w:val="22"/>
        </w:rPr>
      </w:pPr>
      <w:r>
        <w:t>5.</w:t>
      </w:r>
      <w:r>
        <w:tab/>
        <w:t>Term used: long</w:t>
      </w:r>
      <w:r>
        <w:noBreakHyphen/>
        <w:t>stay agreement</w:t>
      </w:r>
      <w:r>
        <w:tab/>
      </w:r>
      <w:r>
        <w:fldChar w:fldCharType="begin"/>
      </w:r>
      <w:r>
        <w:instrText xml:space="preserve"> PAGEREF _Toc89242231 \h </w:instrText>
      </w:r>
      <w:r>
        <w:fldChar w:fldCharType="separate"/>
      </w:r>
      <w:r>
        <w:t>2</w:t>
      </w:r>
      <w:r>
        <w:fldChar w:fldCharType="end"/>
      </w:r>
    </w:p>
    <w:p>
      <w:pPr>
        <w:pStyle w:val="TOC8"/>
        <w:rPr>
          <w:rFonts w:asciiTheme="minorHAnsi" w:eastAsiaTheme="minorEastAsia" w:hAnsiTheme="minorHAnsi" w:cstheme="minorBidi"/>
          <w:szCs w:val="22"/>
        </w:rPr>
      </w:pPr>
      <w:r>
        <w:t>5B.</w:t>
      </w:r>
      <w:r>
        <w:tab/>
        <w:t>Residential parks</w:t>
      </w:r>
      <w:r>
        <w:tab/>
      </w:r>
      <w:r>
        <w:fldChar w:fldCharType="begin"/>
      </w:r>
      <w:r>
        <w:instrText xml:space="preserve"> PAGEREF _Toc89242232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Act to long</w:t>
      </w:r>
      <w:r>
        <w:noBreakHyphen/>
        <w:t>stay agreements</w:t>
      </w:r>
      <w:r>
        <w:tab/>
      </w:r>
      <w:r>
        <w:fldChar w:fldCharType="begin"/>
      </w:r>
      <w:r>
        <w:instrText xml:space="preserve"> PAGEREF _Toc89242233 \h </w:instrText>
      </w:r>
      <w:r>
        <w:fldChar w:fldCharType="separate"/>
      </w:r>
      <w:r>
        <w:t>3</w:t>
      </w:r>
      <w:r>
        <w:fldChar w:fldCharType="end"/>
      </w:r>
    </w:p>
    <w:p>
      <w:pPr>
        <w:pStyle w:val="TOC8"/>
        <w:rPr>
          <w:rFonts w:asciiTheme="minorHAnsi" w:eastAsiaTheme="minorEastAsia" w:hAnsiTheme="minorHAnsi" w:cstheme="minorBidi"/>
          <w:szCs w:val="22"/>
        </w:rPr>
      </w:pPr>
      <w:r>
        <w:t>7.</w:t>
      </w:r>
      <w:r>
        <w:tab/>
        <w:t>Application of Act to periodic long</w:t>
      </w:r>
      <w:r>
        <w:noBreakHyphen/>
        <w:t>stay agreements</w:t>
      </w:r>
      <w:r>
        <w:tab/>
      </w:r>
      <w:r>
        <w:fldChar w:fldCharType="begin"/>
      </w:r>
      <w:r>
        <w:instrText xml:space="preserve"> PAGEREF _Toc89242234 \h </w:instrText>
      </w:r>
      <w:r>
        <w:fldChar w:fldCharType="separate"/>
      </w:r>
      <w:r>
        <w:t>4</w:t>
      </w:r>
      <w:r>
        <w:fldChar w:fldCharType="end"/>
      </w:r>
    </w:p>
    <w:p>
      <w:pPr>
        <w:pStyle w:val="TOC8"/>
        <w:rPr>
          <w:rFonts w:asciiTheme="minorHAnsi" w:eastAsiaTheme="minorEastAsia" w:hAnsiTheme="minorHAnsi" w:cstheme="minorBidi"/>
          <w:szCs w:val="22"/>
        </w:rPr>
      </w:pPr>
      <w:r>
        <w:t>8.</w:t>
      </w:r>
      <w:r>
        <w:tab/>
        <w:t>Operation of this Act in relation to other written laws</w:t>
      </w:r>
      <w:r>
        <w:tab/>
      </w:r>
      <w:r>
        <w:fldChar w:fldCharType="begin"/>
      </w:r>
      <w:r>
        <w:instrText xml:space="preserve"> PAGEREF _Toc89242235 \h </w:instrText>
      </w:r>
      <w:r>
        <w:fldChar w:fldCharType="separate"/>
      </w:r>
      <w:r>
        <w:t>5</w:t>
      </w:r>
      <w:r>
        <w:fldChar w:fldCharType="end"/>
      </w:r>
    </w:p>
    <w:p>
      <w:pPr>
        <w:pStyle w:val="TOC8"/>
        <w:rPr>
          <w:rFonts w:asciiTheme="minorHAnsi" w:eastAsiaTheme="minorEastAsia" w:hAnsiTheme="minorHAnsi" w:cstheme="minorBidi"/>
          <w:szCs w:val="22"/>
        </w:rPr>
      </w:pPr>
      <w:r>
        <w:t>9.</w:t>
      </w:r>
      <w:r>
        <w:tab/>
        <w:t>Contracting out</w:t>
      </w:r>
      <w:r>
        <w:tab/>
      </w:r>
      <w:r>
        <w:fldChar w:fldCharType="begin"/>
      </w:r>
      <w:r>
        <w:instrText xml:space="preserve"> PAGEREF _Toc89242236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Long</w:t>
      </w:r>
      <w:r>
        <w:noBreakHyphen/>
        <w:t>stay agreement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10.</w:t>
      </w:r>
      <w:r>
        <w:tab/>
        <w:t>Form of long</w:t>
      </w:r>
      <w:r>
        <w:noBreakHyphen/>
        <w:t>stay agreements</w:t>
      </w:r>
      <w:r>
        <w:tab/>
      </w:r>
      <w:r>
        <w:fldChar w:fldCharType="begin"/>
      </w:r>
      <w:r>
        <w:instrText xml:space="preserve"> PAGEREF _Toc89242239 \h </w:instrText>
      </w:r>
      <w:r>
        <w:fldChar w:fldCharType="separate"/>
      </w:r>
      <w:r>
        <w:t>7</w:t>
      </w:r>
      <w:r>
        <w:fldChar w:fldCharType="end"/>
      </w:r>
    </w:p>
    <w:p>
      <w:pPr>
        <w:pStyle w:val="TOC8"/>
        <w:rPr>
          <w:rFonts w:asciiTheme="minorHAnsi" w:eastAsiaTheme="minorEastAsia" w:hAnsiTheme="minorHAnsi" w:cstheme="minorBidi"/>
          <w:szCs w:val="22"/>
        </w:rPr>
      </w:pPr>
      <w:r>
        <w:t>11.</w:t>
      </w:r>
      <w:r>
        <w:tab/>
        <w:t>Information for prospective long</w:t>
      </w:r>
      <w:r>
        <w:noBreakHyphen/>
        <w:t>stay tenants</w:t>
      </w:r>
      <w:r>
        <w:tab/>
      </w:r>
      <w:r>
        <w:fldChar w:fldCharType="begin"/>
      </w:r>
      <w:r>
        <w:instrText xml:space="preserve"> PAGEREF _Toc89242240 \h </w:instrText>
      </w:r>
      <w:r>
        <w:fldChar w:fldCharType="separate"/>
      </w:r>
      <w:r>
        <w:t>7</w:t>
      </w:r>
      <w:r>
        <w:fldChar w:fldCharType="end"/>
      </w:r>
    </w:p>
    <w:p>
      <w:pPr>
        <w:pStyle w:val="TOC8"/>
        <w:rPr>
          <w:rFonts w:asciiTheme="minorHAnsi" w:eastAsiaTheme="minorEastAsia" w:hAnsiTheme="minorHAnsi" w:cstheme="minorBidi"/>
          <w:szCs w:val="22"/>
        </w:rPr>
      </w:pPr>
      <w:r>
        <w:t>12.</w:t>
      </w:r>
      <w:r>
        <w:tab/>
        <w:t>Restrictions on charges payable by long</w:t>
      </w:r>
      <w:r>
        <w:noBreakHyphen/>
        <w:t>stay tenants</w:t>
      </w:r>
      <w:r>
        <w:tab/>
      </w:r>
      <w:r>
        <w:fldChar w:fldCharType="begin"/>
      </w:r>
      <w:r>
        <w:instrText xml:space="preserve"> PAGEREF _Toc89242241 \h </w:instrText>
      </w:r>
      <w:r>
        <w:fldChar w:fldCharType="separate"/>
      </w:r>
      <w:r>
        <w:t>8</w:t>
      </w:r>
      <w:r>
        <w:fldChar w:fldCharType="end"/>
      </w:r>
    </w:p>
    <w:p>
      <w:pPr>
        <w:pStyle w:val="TOC8"/>
        <w:rPr>
          <w:rFonts w:asciiTheme="minorHAnsi" w:eastAsiaTheme="minorEastAsia" w:hAnsiTheme="minorHAnsi" w:cstheme="minorBidi"/>
          <w:szCs w:val="22"/>
        </w:rPr>
      </w:pPr>
      <w:r>
        <w:t>13.</w:t>
      </w:r>
      <w:r>
        <w:tab/>
        <w:t>Restriction on letting fees payable to real estate agent</w:t>
      </w:r>
      <w:r>
        <w:tab/>
      </w:r>
      <w:r>
        <w:fldChar w:fldCharType="begin"/>
      </w:r>
      <w:r>
        <w:instrText xml:space="preserve"> PAGEREF _Toc89242242 \h </w:instrText>
      </w:r>
      <w:r>
        <w:fldChar w:fldCharType="separate"/>
      </w:r>
      <w:r>
        <w:t>9</w:t>
      </w:r>
      <w:r>
        <w:fldChar w:fldCharType="end"/>
      </w:r>
    </w:p>
    <w:p>
      <w:pPr>
        <w:pStyle w:val="TOC8"/>
        <w:rPr>
          <w:rFonts w:asciiTheme="minorHAnsi" w:eastAsiaTheme="minorEastAsia" w:hAnsiTheme="minorHAnsi" w:cstheme="minorBidi"/>
          <w:szCs w:val="22"/>
        </w:rPr>
      </w:pPr>
      <w:r>
        <w:t>14.</w:t>
      </w:r>
      <w:r>
        <w:tab/>
        <w:t>Cost of preparing long</w:t>
      </w:r>
      <w:r>
        <w:noBreakHyphen/>
        <w:t>stay agreement</w:t>
      </w:r>
      <w:r>
        <w:tab/>
      </w:r>
      <w:r>
        <w:fldChar w:fldCharType="begin"/>
      </w:r>
      <w:r>
        <w:instrText xml:space="preserve"> PAGEREF _Toc89242243 \h </w:instrText>
      </w:r>
      <w:r>
        <w:fldChar w:fldCharType="separate"/>
      </w:r>
      <w:r>
        <w:t>10</w:t>
      </w:r>
      <w:r>
        <w:fldChar w:fldCharType="end"/>
      </w:r>
    </w:p>
    <w:p>
      <w:pPr>
        <w:pStyle w:val="TOC8"/>
        <w:rPr>
          <w:rFonts w:asciiTheme="minorHAnsi" w:eastAsiaTheme="minorEastAsia" w:hAnsiTheme="minorHAnsi" w:cstheme="minorBidi"/>
          <w:szCs w:val="22"/>
        </w:rPr>
      </w:pPr>
      <w:r>
        <w:t>15.</w:t>
      </w:r>
      <w:r>
        <w:tab/>
        <w:t>Disclosure of park operator’s particulars to tenant</w:t>
      </w:r>
      <w:r>
        <w:tab/>
      </w:r>
      <w:r>
        <w:fldChar w:fldCharType="begin"/>
      </w:r>
      <w:r>
        <w:instrText xml:space="preserve"> PAGEREF _Toc89242244 \h </w:instrText>
      </w:r>
      <w:r>
        <w:fldChar w:fldCharType="separate"/>
      </w:r>
      <w:r>
        <w:t>10</w:t>
      </w:r>
      <w:r>
        <w:fldChar w:fldCharType="end"/>
      </w:r>
    </w:p>
    <w:p>
      <w:pPr>
        <w:pStyle w:val="TOC8"/>
        <w:rPr>
          <w:rFonts w:asciiTheme="minorHAnsi" w:eastAsiaTheme="minorEastAsia" w:hAnsiTheme="minorHAnsi" w:cstheme="minorBidi"/>
          <w:szCs w:val="22"/>
        </w:rPr>
      </w:pPr>
      <w:r>
        <w:t>16.</w:t>
      </w:r>
      <w:r>
        <w:tab/>
        <w:t>Disclosure of tenant’s particulars to park operator</w:t>
      </w:r>
      <w:r>
        <w:tab/>
      </w:r>
      <w:r>
        <w:fldChar w:fldCharType="begin"/>
      </w:r>
      <w:r>
        <w:instrText xml:space="preserve"> PAGEREF _Toc89242245 \h </w:instrText>
      </w:r>
      <w:r>
        <w:fldChar w:fldCharType="separate"/>
      </w:r>
      <w:r>
        <w:t>11</w:t>
      </w:r>
      <w:r>
        <w:fldChar w:fldCharType="end"/>
      </w:r>
    </w:p>
    <w:p>
      <w:pPr>
        <w:pStyle w:val="TOC8"/>
        <w:rPr>
          <w:rFonts w:asciiTheme="minorHAnsi" w:eastAsiaTheme="minorEastAsia" w:hAnsiTheme="minorHAnsi" w:cstheme="minorBidi"/>
          <w:szCs w:val="22"/>
        </w:rPr>
      </w:pPr>
      <w:r>
        <w:t>17.</w:t>
      </w:r>
      <w:r>
        <w:tab/>
        <w:t>Tenant’s copy of long</w:t>
      </w:r>
      <w:r>
        <w:noBreakHyphen/>
        <w:t>stay agreement</w:t>
      </w:r>
      <w:r>
        <w:tab/>
      </w:r>
      <w:r>
        <w:fldChar w:fldCharType="begin"/>
      </w:r>
      <w:r>
        <w:instrText xml:space="preserve"> PAGEREF _Toc89242246 \h </w:instrText>
      </w:r>
      <w:r>
        <w:fldChar w:fldCharType="separate"/>
      </w:r>
      <w:r>
        <w:t>11</w:t>
      </w:r>
      <w:r>
        <w:fldChar w:fldCharType="end"/>
      </w:r>
    </w:p>
    <w:p>
      <w:pPr>
        <w:pStyle w:val="TOC8"/>
        <w:rPr>
          <w:rFonts w:asciiTheme="minorHAnsi" w:eastAsiaTheme="minorEastAsia" w:hAnsiTheme="minorHAnsi" w:cstheme="minorBidi"/>
          <w:szCs w:val="22"/>
        </w:rPr>
      </w:pPr>
      <w:r>
        <w:t>18.</w:t>
      </w:r>
      <w:r>
        <w:tab/>
        <w:t>Cooling off period</w:t>
      </w:r>
      <w:r>
        <w:tab/>
      </w:r>
      <w:r>
        <w:fldChar w:fldCharType="begin"/>
      </w:r>
      <w:r>
        <w:instrText xml:space="preserve"> PAGEREF _Toc89242247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19.</w:t>
      </w:r>
      <w:r>
        <w:tab/>
        <w:t>Recovery of amounts paid under a mistake of law or fact</w:t>
      </w:r>
      <w:r>
        <w:tab/>
      </w:r>
      <w:r>
        <w:fldChar w:fldCharType="begin"/>
      </w:r>
      <w:r>
        <w:instrText xml:space="preserve"> PAGEREF _Toc89242248 \h </w:instrText>
      </w:r>
      <w:r>
        <w:fldChar w:fldCharType="separate"/>
      </w:r>
      <w:r>
        <w:t>12</w:t>
      </w:r>
      <w:r>
        <w:fldChar w:fldCharType="end"/>
      </w:r>
    </w:p>
    <w:p>
      <w:pPr>
        <w:pStyle w:val="TOC8"/>
        <w:rPr>
          <w:rFonts w:asciiTheme="minorHAnsi" w:eastAsiaTheme="minorEastAsia" w:hAnsiTheme="minorHAnsi" w:cstheme="minorBidi"/>
          <w:szCs w:val="22"/>
        </w:rPr>
      </w:pPr>
      <w:r>
        <w:t>20.</w:t>
      </w:r>
      <w:r>
        <w:tab/>
        <w:t>Children living on agreed premises</w:t>
      </w:r>
      <w:r>
        <w:tab/>
      </w:r>
      <w:r>
        <w:fldChar w:fldCharType="begin"/>
      </w:r>
      <w:r>
        <w:instrText xml:space="preserve"> PAGEREF _Toc89242249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21.</w:t>
      </w:r>
      <w:r>
        <w:tab/>
        <w:t>Security bonds</w:t>
      </w:r>
      <w:r>
        <w:tab/>
      </w:r>
      <w:r>
        <w:fldChar w:fldCharType="begin"/>
      </w:r>
      <w:r>
        <w:instrText xml:space="preserve"> PAGEREF _Toc89242251 \h </w:instrText>
      </w:r>
      <w:r>
        <w:fldChar w:fldCharType="separate"/>
      </w:r>
      <w:r>
        <w:t>13</w:t>
      </w:r>
      <w:r>
        <w:fldChar w:fldCharType="end"/>
      </w:r>
    </w:p>
    <w:p>
      <w:pPr>
        <w:pStyle w:val="TOC8"/>
        <w:rPr>
          <w:rFonts w:asciiTheme="minorHAnsi" w:eastAsiaTheme="minorEastAsia" w:hAnsiTheme="minorHAnsi" w:cstheme="minorBidi"/>
          <w:szCs w:val="22"/>
        </w:rPr>
      </w:pPr>
      <w:r>
        <w:t>22.</w:t>
      </w:r>
      <w:r>
        <w:tab/>
        <w:t>Payment of bond to bond administrator or trust account</w:t>
      </w:r>
      <w:r>
        <w:tab/>
      </w:r>
      <w:r>
        <w:fldChar w:fldCharType="begin"/>
      </w:r>
      <w:r>
        <w:instrText xml:space="preserve"> PAGEREF _Toc89242252 \h </w:instrText>
      </w:r>
      <w:r>
        <w:fldChar w:fldCharType="separate"/>
      </w:r>
      <w:r>
        <w:t>14</w:t>
      </w:r>
      <w:r>
        <w:fldChar w:fldCharType="end"/>
      </w:r>
    </w:p>
    <w:p>
      <w:pPr>
        <w:pStyle w:val="TOC8"/>
        <w:rPr>
          <w:rFonts w:asciiTheme="minorHAnsi" w:eastAsiaTheme="minorEastAsia" w:hAnsiTheme="minorHAnsi" w:cstheme="minorBidi"/>
          <w:szCs w:val="22"/>
        </w:rPr>
      </w:pPr>
      <w:r>
        <w:t>23.</w:t>
      </w:r>
      <w:r>
        <w:tab/>
        <w:t>Keeping security bond records</w:t>
      </w:r>
      <w:r>
        <w:tab/>
      </w:r>
      <w:r>
        <w:fldChar w:fldCharType="begin"/>
      </w:r>
      <w:r>
        <w:instrText xml:space="preserve"> PAGEREF _Toc89242253 \h </w:instrText>
      </w:r>
      <w:r>
        <w:fldChar w:fldCharType="separate"/>
      </w:r>
      <w:r>
        <w:t>15</w:t>
      </w:r>
      <w:r>
        <w:fldChar w:fldCharType="end"/>
      </w:r>
    </w:p>
    <w:p>
      <w:pPr>
        <w:pStyle w:val="TOC8"/>
        <w:rPr>
          <w:rFonts w:asciiTheme="minorHAnsi" w:eastAsiaTheme="minorEastAsia" w:hAnsiTheme="minorHAnsi" w:cstheme="minorBidi"/>
          <w:szCs w:val="22"/>
        </w:rPr>
      </w:pPr>
      <w:r>
        <w:t>24.</w:t>
      </w:r>
      <w:r>
        <w:tab/>
        <w:t>Increase in security bond</w:t>
      </w:r>
      <w:r>
        <w:tab/>
      </w:r>
      <w:r>
        <w:fldChar w:fldCharType="begin"/>
      </w:r>
      <w:r>
        <w:instrText xml:space="preserve"> PAGEREF _Toc89242254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Rent</w:t>
      </w:r>
    </w:p>
    <w:p>
      <w:pPr>
        <w:pStyle w:val="TOC8"/>
        <w:rPr>
          <w:rFonts w:asciiTheme="minorHAnsi" w:eastAsiaTheme="minorEastAsia" w:hAnsiTheme="minorHAnsi" w:cstheme="minorBidi"/>
          <w:szCs w:val="22"/>
        </w:rPr>
      </w:pPr>
      <w:r>
        <w:t>25.</w:t>
      </w:r>
      <w:r>
        <w:tab/>
        <w:t>Rent in advance</w:t>
      </w:r>
      <w:r>
        <w:tab/>
      </w:r>
      <w:r>
        <w:fldChar w:fldCharType="begin"/>
      </w:r>
      <w:r>
        <w:instrText xml:space="preserve"> PAGEREF _Toc89242256 \h </w:instrText>
      </w:r>
      <w:r>
        <w:fldChar w:fldCharType="separate"/>
      </w:r>
      <w:r>
        <w:t>17</w:t>
      </w:r>
      <w:r>
        <w:fldChar w:fldCharType="end"/>
      </w:r>
    </w:p>
    <w:p>
      <w:pPr>
        <w:pStyle w:val="TOC8"/>
        <w:rPr>
          <w:rFonts w:asciiTheme="minorHAnsi" w:eastAsiaTheme="minorEastAsia" w:hAnsiTheme="minorHAnsi" w:cstheme="minorBidi"/>
          <w:szCs w:val="22"/>
        </w:rPr>
      </w:pPr>
      <w:r>
        <w:t>26.</w:t>
      </w:r>
      <w:r>
        <w:tab/>
        <w:t>Written receipts for rent</w:t>
      </w:r>
      <w:r>
        <w:tab/>
      </w:r>
      <w:r>
        <w:fldChar w:fldCharType="begin"/>
      </w:r>
      <w:r>
        <w:instrText xml:space="preserve"> PAGEREF _Toc89242257 \h </w:instrText>
      </w:r>
      <w:r>
        <w:fldChar w:fldCharType="separate"/>
      </w:r>
      <w:r>
        <w:t>17</w:t>
      </w:r>
      <w:r>
        <w:fldChar w:fldCharType="end"/>
      </w:r>
    </w:p>
    <w:p>
      <w:pPr>
        <w:pStyle w:val="TOC8"/>
        <w:rPr>
          <w:rFonts w:asciiTheme="minorHAnsi" w:eastAsiaTheme="minorEastAsia" w:hAnsiTheme="minorHAnsi" w:cstheme="minorBidi"/>
          <w:szCs w:val="22"/>
        </w:rPr>
      </w:pPr>
      <w:r>
        <w:t>27.</w:t>
      </w:r>
      <w:r>
        <w:tab/>
        <w:t>Requiring post</w:t>
      </w:r>
      <w:r>
        <w:noBreakHyphen/>
        <w:t>dated cheques prohibited</w:t>
      </w:r>
      <w:r>
        <w:tab/>
      </w:r>
      <w:r>
        <w:fldChar w:fldCharType="begin"/>
      </w:r>
      <w:r>
        <w:instrText xml:space="preserve"> PAGEREF _Toc89242258 \h </w:instrText>
      </w:r>
      <w:r>
        <w:fldChar w:fldCharType="separate"/>
      </w:r>
      <w:r>
        <w:t>18</w:t>
      </w:r>
      <w:r>
        <w:fldChar w:fldCharType="end"/>
      </w:r>
    </w:p>
    <w:p>
      <w:pPr>
        <w:pStyle w:val="TOC8"/>
        <w:rPr>
          <w:rFonts w:asciiTheme="minorHAnsi" w:eastAsiaTheme="minorEastAsia" w:hAnsiTheme="minorHAnsi" w:cstheme="minorBidi"/>
          <w:szCs w:val="22"/>
        </w:rPr>
      </w:pPr>
      <w:r>
        <w:t>28.</w:t>
      </w:r>
      <w:r>
        <w:tab/>
        <w:t>Rent records kept by park operator</w:t>
      </w:r>
      <w:r>
        <w:tab/>
      </w:r>
      <w:r>
        <w:fldChar w:fldCharType="begin"/>
      </w:r>
      <w:r>
        <w:instrText xml:space="preserve"> PAGEREF _Toc89242259 \h </w:instrText>
      </w:r>
      <w:r>
        <w:fldChar w:fldCharType="separate"/>
      </w:r>
      <w:r>
        <w:t>18</w:t>
      </w:r>
      <w:r>
        <w:fldChar w:fldCharType="end"/>
      </w:r>
    </w:p>
    <w:p>
      <w:pPr>
        <w:pStyle w:val="TOC8"/>
        <w:rPr>
          <w:rFonts w:asciiTheme="minorHAnsi" w:eastAsiaTheme="minorEastAsia" w:hAnsiTheme="minorHAnsi" w:cstheme="minorBidi"/>
          <w:szCs w:val="22"/>
        </w:rPr>
      </w:pPr>
      <w:r>
        <w:t>29.</w:t>
      </w:r>
      <w:r>
        <w:tab/>
        <w:t>Apportionment of rent</w:t>
      </w:r>
      <w:r>
        <w:tab/>
      </w:r>
      <w:r>
        <w:fldChar w:fldCharType="begin"/>
      </w:r>
      <w:r>
        <w:instrText xml:space="preserve"> PAGEREF _Toc89242260 \h </w:instrText>
      </w:r>
      <w:r>
        <w:fldChar w:fldCharType="separate"/>
      </w:r>
      <w:r>
        <w:t>18</w:t>
      </w:r>
      <w:r>
        <w:fldChar w:fldCharType="end"/>
      </w:r>
    </w:p>
    <w:p>
      <w:pPr>
        <w:pStyle w:val="TOC8"/>
        <w:rPr>
          <w:rFonts w:asciiTheme="minorHAnsi" w:eastAsiaTheme="minorEastAsia" w:hAnsiTheme="minorHAnsi" w:cstheme="minorBidi"/>
          <w:szCs w:val="22"/>
        </w:rPr>
      </w:pPr>
      <w:r>
        <w:t>30.</w:t>
      </w:r>
      <w:r>
        <w:tab/>
        <w:t>Variation of rent under on</w:t>
      </w:r>
      <w:r>
        <w:noBreakHyphen/>
        <w:t>site home agreement</w:t>
      </w:r>
      <w:r>
        <w:tab/>
      </w:r>
      <w:r>
        <w:fldChar w:fldCharType="begin"/>
      </w:r>
      <w:r>
        <w:instrText xml:space="preserve"> PAGEREF _Toc89242261 \h </w:instrText>
      </w:r>
      <w:r>
        <w:fldChar w:fldCharType="separate"/>
      </w:r>
      <w:r>
        <w:t>18</w:t>
      </w:r>
      <w:r>
        <w:fldChar w:fldCharType="end"/>
      </w:r>
    </w:p>
    <w:p>
      <w:pPr>
        <w:pStyle w:val="TOC8"/>
        <w:rPr>
          <w:rFonts w:asciiTheme="minorHAnsi" w:eastAsiaTheme="minorEastAsia" w:hAnsiTheme="minorHAnsi" w:cstheme="minorBidi"/>
          <w:szCs w:val="22"/>
        </w:rPr>
      </w:pPr>
      <w:r>
        <w:t>31.</w:t>
      </w:r>
      <w:r>
        <w:tab/>
        <w:t>Variation of rent on the basis of current market rent</w:t>
      </w:r>
      <w:r>
        <w:tab/>
      </w:r>
      <w:r>
        <w:fldChar w:fldCharType="begin"/>
      </w:r>
      <w:r>
        <w:instrText xml:space="preserve"> PAGEREF _Toc89242262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Terms of long</w:t>
      </w:r>
      <w:r>
        <w:noBreakHyphen/>
        <w:t>stay agreements</w:t>
      </w:r>
    </w:p>
    <w:p>
      <w:pPr>
        <w:pStyle w:val="TOC8"/>
        <w:rPr>
          <w:rFonts w:asciiTheme="minorHAnsi" w:eastAsiaTheme="minorEastAsia" w:hAnsiTheme="minorHAnsi" w:cstheme="minorBidi"/>
          <w:szCs w:val="22"/>
        </w:rPr>
      </w:pPr>
      <w:r>
        <w:t>32.</w:t>
      </w:r>
      <w:r>
        <w:tab/>
        <w:t>Terms of long</w:t>
      </w:r>
      <w:r>
        <w:noBreakHyphen/>
        <w:t>stay agreements — Schedule 1</w:t>
      </w:r>
      <w:r>
        <w:tab/>
      </w:r>
      <w:r>
        <w:fldChar w:fldCharType="begin"/>
      </w:r>
      <w:r>
        <w:instrText xml:space="preserve"> PAGEREF _Toc89242264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Termination of long</w:t>
      </w:r>
      <w:r>
        <w:noBreakHyphen/>
        <w:t>stay agreements</w:t>
      </w:r>
    </w:p>
    <w:p>
      <w:pPr>
        <w:pStyle w:val="TOC4"/>
        <w:tabs>
          <w:tab w:val="right" w:leader="dot" w:pos="7077"/>
        </w:tabs>
        <w:rPr>
          <w:rFonts w:asciiTheme="minorHAnsi" w:eastAsiaTheme="minorEastAsia" w:hAnsiTheme="minorHAnsi" w:cstheme="minorBidi"/>
          <w:b w:val="0"/>
          <w:szCs w:val="22"/>
        </w:rPr>
      </w:pPr>
      <w:r>
        <w:t>Division 1 — Termination of agreements generally</w:t>
      </w:r>
    </w:p>
    <w:p>
      <w:pPr>
        <w:pStyle w:val="TOC8"/>
        <w:rPr>
          <w:rFonts w:asciiTheme="minorHAnsi" w:eastAsiaTheme="minorEastAsia" w:hAnsiTheme="minorHAnsi" w:cstheme="minorBidi"/>
          <w:szCs w:val="22"/>
        </w:rPr>
      </w:pPr>
      <w:r>
        <w:t>33.</w:t>
      </w:r>
      <w:r>
        <w:tab/>
      </w:r>
      <w:r>
        <w:rPr>
          <w:snapToGrid w:val="0"/>
        </w:rPr>
        <w:t>How long</w:t>
      </w:r>
      <w:r>
        <w:rPr>
          <w:snapToGrid w:val="0"/>
        </w:rPr>
        <w:noBreakHyphen/>
        <w:t>stay agreements and tenant’s interests in agreements are terminated</w:t>
      </w:r>
      <w:r>
        <w:tab/>
      </w:r>
      <w:r>
        <w:fldChar w:fldCharType="begin"/>
      </w:r>
      <w:r>
        <w:instrText xml:space="preserve"> PAGEREF _Toc89242267 \h </w:instrText>
      </w:r>
      <w:r>
        <w:fldChar w:fldCharType="separate"/>
      </w:r>
      <w:r>
        <w:t>21</w:t>
      </w:r>
      <w:r>
        <w:fldChar w:fldCharType="end"/>
      </w:r>
    </w:p>
    <w:p>
      <w:pPr>
        <w:pStyle w:val="TOC8"/>
        <w:rPr>
          <w:rFonts w:asciiTheme="minorHAnsi" w:eastAsiaTheme="minorEastAsia" w:hAnsiTheme="minorHAnsi" w:cstheme="minorBidi"/>
          <w:szCs w:val="22"/>
        </w:rPr>
      </w:pPr>
      <w:r>
        <w:t>34.</w:t>
      </w:r>
      <w:r>
        <w:tab/>
        <w:t>Terms of continued long</w:t>
      </w:r>
      <w:r>
        <w:noBreakHyphen/>
        <w:t>stay agreement</w:t>
      </w:r>
      <w:r>
        <w:tab/>
      </w:r>
      <w:r>
        <w:fldChar w:fldCharType="begin"/>
      </w:r>
      <w:r>
        <w:instrText xml:space="preserve"> PAGEREF _Toc89242268 \h </w:instrText>
      </w:r>
      <w:r>
        <w:fldChar w:fldCharType="separate"/>
      </w:r>
      <w:r>
        <w:t>22</w:t>
      </w:r>
      <w:r>
        <w:fldChar w:fldCharType="end"/>
      </w:r>
    </w:p>
    <w:p>
      <w:pPr>
        <w:pStyle w:val="TOC8"/>
        <w:rPr>
          <w:rFonts w:asciiTheme="minorHAnsi" w:eastAsiaTheme="minorEastAsia" w:hAnsiTheme="minorHAnsi" w:cstheme="minorBidi"/>
          <w:szCs w:val="22"/>
        </w:rPr>
      </w:pPr>
      <w:r>
        <w:t>35.</w:t>
      </w:r>
      <w:r>
        <w:tab/>
        <w:t>Withholding rent in anticipation of release of security bond</w:t>
      </w:r>
      <w:r>
        <w:tab/>
      </w:r>
      <w:r>
        <w:fldChar w:fldCharType="begin"/>
      </w:r>
      <w:r>
        <w:instrText xml:space="preserve"> PAGEREF _Toc89242269 \h </w:instrText>
      </w:r>
      <w:r>
        <w:fldChar w:fldCharType="separate"/>
      </w:r>
      <w:r>
        <w:t>22</w:t>
      </w:r>
      <w:r>
        <w:fldChar w:fldCharType="end"/>
      </w:r>
    </w:p>
    <w:p>
      <w:pPr>
        <w:pStyle w:val="TOC8"/>
        <w:rPr>
          <w:rFonts w:asciiTheme="minorHAnsi" w:eastAsiaTheme="minorEastAsia" w:hAnsiTheme="minorHAnsi" w:cstheme="minorBidi"/>
          <w:szCs w:val="22"/>
        </w:rPr>
      </w:pPr>
      <w:r>
        <w:t>36.</w:t>
      </w:r>
      <w:r>
        <w:tab/>
        <w:t>Failure to give vacant possession at end of fixed term</w:t>
      </w:r>
      <w:r>
        <w:tab/>
      </w:r>
      <w:r>
        <w:fldChar w:fldCharType="begin"/>
      </w:r>
      <w:r>
        <w:instrText xml:space="preserve"> PAGEREF _Toc89242270 \h </w:instrText>
      </w:r>
      <w:r>
        <w:fldChar w:fldCharType="separate"/>
      </w:r>
      <w:r>
        <w:t>23</w:t>
      </w:r>
      <w:r>
        <w:fldChar w:fldCharType="end"/>
      </w:r>
    </w:p>
    <w:p>
      <w:pPr>
        <w:pStyle w:val="TOC8"/>
        <w:rPr>
          <w:rFonts w:asciiTheme="minorHAnsi" w:eastAsiaTheme="minorEastAsia" w:hAnsiTheme="minorHAnsi" w:cstheme="minorBidi"/>
          <w:szCs w:val="22"/>
        </w:rPr>
      </w:pPr>
      <w:r>
        <w:t>37.</w:t>
      </w:r>
      <w:r>
        <w:tab/>
        <w:t>Form of default notice</w:t>
      </w:r>
      <w:r>
        <w:tab/>
      </w:r>
      <w:r>
        <w:fldChar w:fldCharType="begin"/>
      </w:r>
      <w:r>
        <w:instrText xml:space="preserve"> PAGEREF _Toc89242271 \h </w:instrText>
      </w:r>
      <w:r>
        <w:fldChar w:fldCharType="separate"/>
      </w:r>
      <w:r>
        <w:t>23</w:t>
      </w:r>
      <w:r>
        <w:fldChar w:fldCharType="end"/>
      </w:r>
    </w:p>
    <w:p>
      <w:pPr>
        <w:pStyle w:val="TOC8"/>
        <w:rPr>
          <w:rFonts w:asciiTheme="minorHAnsi" w:eastAsiaTheme="minorEastAsia" w:hAnsiTheme="minorHAnsi" w:cstheme="minorBidi"/>
          <w:szCs w:val="22"/>
        </w:rPr>
      </w:pPr>
      <w:r>
        <w:t>38.</w:t>
      </w:r>
      <w:r>
        <w:tab/>
        <w:t>Form of notice of termination</w:t>
      </w:r>
      <w:r>
        <w:tab/>
      </w:r>
      <w:r>
        <w:fldChar w:fldCharType="begin"/>
      </w:r>
      <w:r>
        <w:instrText xml:space="preserve"> PAGEREF _Toc89242272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Notice of termination by park operator</w:t>
      </w:r>
    </w:p>
    <w:p>
      <w:pPr>
        <w:pStyle w:val="TOC8"/>
        <w:rPr>
          <w:rFonts w:asciiTheme="minorHAnsi" w:eastAsiaTheme="minorEastAsia" w:hAnsiTheme="minorHAnsi" w:cstheme="minorBidi"/>
          <w:szCs w:val="22"/>
        </w:rPr>
      </w:pPr>
      <w:r>
        <w:t>39.</w:t>
      </w:r>
      <w:r>
        <w:tab/>
        <w:t>Termination by park operator for non</w:t>
      </w:r>
      <w:r>
        <w:noBreakHyphen/>
        <w:t>payment of rent</w:t>
      </w:r>
      <w:r>
        <w:tab/>
      </w:r>
      <w:r>
        <w:fldChar w:fldCharType="begin"/>
      </w:r>
      <w:r>
        <w:instrText xml:space="preserve"> PAGEREF _Toc89242274 \h </w:instrText>
      </w:r>
      <w:r>
        <w:fldChar w:fldCharType="separate"/>
      </w:r>
      <w:r>
        <w:t>23</w:t>
      </w:r>
      <w:r>
        <w:fldChar w:fldCharType="end"/>
      </w:r>
    </w:p>
    <w:p>
      <w:pPr>
        <w:pStyle w:val="TOC8"/>
        <w:rPr>
          <w:rFonts w:asciiTheme="minorHAnsi" w:eastAsiaTheme="minorEastAsia" w:hAnsiTheme="minorHAnsi" w:cstheme="minorBidi"/>
          <w:szCs w:val="22"/>
        </w:rPr>
      </w:pPr>
      <w:r>
        <w:lastRenderedPageBreak/>
        <w:t>40.</w:t>
      </w:r>
      <w:r>
        <w:tab/>
        <w:t>Termination by park operator for other breaches</w:t>
      </w:r>
      <w:r>
        <w:tab/>
      </w:r>
      <w:r>
        <w:fldChar w:fldCharType="begin"/>
      </w:r>
      <w:r>
        <w:instrText xml:space="preserve"> PAGEREF _Toc89242275 \h </w:instrText>
      </w:r>
      <w:r>
        <w:fldChar w:fldCharType="separate"/>
      </w:r>
      <w:r>
        <w:t>25</w:t>
      </w:r>
      <w:r>
        <w:fldChar w:fldCharType="end"/>
      </w:r>
    </w:p>
    <w:p>
      <w:pPr>
        <w:pStyle w:val="TOC8"/>
        <w:rPr>
          <w:rFonts w:asciiTheme="minorHAnsi" w:eastAsiaTheme="minorEastAsia" w:hAnsiTheme="minorHAnsi" w:cstheme="minorBidi"/>
          <w:szCs w:val="22"/>
        </w:rPr>
      </w:pPr>
      <w:r>
        <w:t>41.</w:t>
      </w:r>
      <w:r>
        <w:tab/>
        <w:t>Termination if vacant possession required on sale of park</w:t>
      </w:r>
      <w:r>
        <w:tab/>
      </w:r>
      <w:r>
        <w:fldChar w:fldCharType="begin"/>
      </w:r>
      <w:r>
        <w:instrText xml:space="preserve"> PAGEREF _Toc89242276 \h </w:instrText>
      </w:r>
      <w:r>
        <w:fldChar w:fldCharType="separate"/>
      </w:r>
      <w:r>
        <w:t>26</w:t>
      </w:r>
      <w:r>
        <w:fldChar w:fldCharType="end"/>
      </w:r>
    </w:p>
    <w:p>
      <w:pPr>
        <w:pStyle w:val="TOC8"/>
        <w:rPr>
          <w:rFonts w:asciiTheme="minorHAnsi" w:eastAsiaTheme="minorEastAsia" w:hAnsiTheme="minorHAnsi" w:cstheme="minorBidi"/>
          <w:szCs w:val="22"/>
        </w:rPr>
      </w:pPr>
      <w:r>
        <w:t>42.</w:t>
      </w:r>
      <w:r>
        <w:tab/>
        <w:t>Termination by park operator without grounds</w:t>
      </w:r>
      <w:r>
        <w:tab/>
      </w:r>
      <w:r>
        <w:fldChar w:fldCharType="begin"/>
      </w:r>
      <w:r>
        <w:instrText xml:space="preserve"> PAGEREF _Toc89242277 \h </w:instrText>
      </w:r>
      <w:r>
        <w:fldChar w:fldCharType="separate"/>
      </w:r>
      <w:r>
        <w:t>27</w:t>
      </w:r>
      <w:r>
        <w:fldChar w:fldCharType="end"/>
      </w:r>
    </w:p>
    <w:p>
      <w:pPr>
        <w:pStyle w:val="TOC8"/>
        <w:rPr>
          <w:rFonts w:asciiTheme="minorHAnsi" w:eastAsiaTheme="minorEastAsia" w:hAnsiTheme="minorHAnsi" w:cstheme="minorBidi"/>
          <w:szCs w:val="22"/>
        </w:rPr>
      </w:pPr>
      <w:r>
        <w:t>43.</w:t>
      </w:r>
      <w:r>
        <w:tab/>
        <w:t>Notice not waived by acceptance of rent</w:t>
      </w:r>
      <w:r>
        <w:tab/>
      </w:r>
      <w:r>
        <w:fldChar w:fldCharType="begin"/>
      </w:r>
      <w:r>
        <w:instrText xml:space="preserve"> PAGEREF _Toc89242278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Notice of termination by tenant</w:t>
      </w:r>
    </w:p>
    <w:p>
      <w:pPr>
        <w:pStyle w:val="TOC8"/>
        <w:rPr>
          <w:rFonts w:asciiTheme="minorHAnsi" w:eastAsiaTheme="minorEastAsia" w:hAnsiTheme="minorHAnsi" w:cstheme="minorBidi"/>
          <w:szCs w:val="22"/>
        </w:rPr>
      </w:pPr>
      <w:r>
        <w:t>44.</w:t>
      </w:r>
      <w:r>
        <w:tab/>
        <w:t>Termination by tenant without grounds</w:t>
      </w:r>
      <w:r>
        <w:tab/>
      </w:r>
      <w:r>
        <w:fldChar w:fldCharType="begin"/>
      </w:r>
      <w:r>
        <w:instrText xml:space="preserve"> PAGEREF _Toc89242280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 — Notice of termination by park operator or tenant — agreement frustrated</w:t>
      </w:r>
    </w:p>
    <w:p>
      <w:pPr>
        <w:pStyle w:val="TOC8"/>
        <w:rPr>
          <w:rFonts w:asciiTheme="minorHAnsi" w:eastAsiaTheme="minorEastAsia" w:hAnsiTheme="minorHAnsi" w:cstheme="minorBidi"/>
          <w:szCs w:val="22"/>
        </w:rPr>
      </w:pPr>
      <w:r>
        <w:t>45.</w:t>
      </w:r>
      <w:r>
        <w:tab/>
        <w:t>Termination if agreement frustrated</w:t>
      </w:r>
      <w:r>
        <w:tab/>
      </w:r>
      <w:r>
        <w:fldChar w:fldCharType="begin"/>
      </w:r>
      <w:r>
        <w:instrText xml:space="preserve"> PAGEREF _Toc89242282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4A — Special provisions about termination of tenant’s interest on grounds of family violence</w:t>
      </w:r>
    </w:p>
    <w:p>
      <w:pPr>
        <w:pStyle w:val="TOC8"/>
        <w:rPr>
          <w:rFonts w:asciiTheme="minorHAnsi" w:eastAsiaTheme="minorEastAsia" w:hAnsiTheme="minorHAnsi" w:cstheme="minorBidi"/>
          <w:szCs w:val="22"/>
        </w:rPr>
      </w:pPr>
      <w:r>
        <w:t>45A.</w:t>
      </w:r>
      <w:r>
        <w:tab/>
        <w:t>Notice of termination of tenant’s interest on ground that tenant subject to family violence</w:t>
      </w:r>
      <w:r>
        <w:tab/>
      </w:r>
      <w:r>
        <w:fldChar w:fldCharType="begin"/>
      </w:r>
      <w:r>
        <w:instrText xml:space="preserve"> PAGEREF _Toc89242284 \h </w:instrText>
      </w:r>
      <w:r>
        <w:fldChar w:fldCharType="separate"/>
      </w:r>
      <w:r>
        <w:t>30</w:t>
      </w:r>
      <w:r>
        <w:fldChar w:fldCharType="end"/>
      </w:r>
    </w:p>
    <w:p>
      <w:pPr>
        <w:pStyle w:val="TOC8"/>
        <w:rPr>
          <w:rFonts w:asciiTheme="minorHAnsi" w:eastAsiaTheme="minorEastAsia" w:hAnsiTheme="minorHAnsi" w:cstheme="minorBidi"/>
          <w:szCs w:val="22"/>
        </w:rPr>
      </w:pPr>
      <w:r>
        <w:t>45B.</w:t>
      </w:r>
      <w:r>
        <w:tab/>
        <w:t>Rights of co</w:t>
      </w:r>
      <w:r>
        <w:noBreakHyphen/>
        <w:t>tenants after notice under s. 45A</w:t>
      </w:r>
      <w:r>
        <w:tab/>
      </w:r>
      <w:r>
        <w:fldChar w:fldCharType="begin"/>
      </w:r>
      <w:r>
        <w:instrText xml:space="preserve"> PAGEREF _Toc89242285 \h </w:instrText>
      </w:r>
      <w:r>
        <w:fldChar w:fldCharType="separate"/>
      </w:r>
      <w:r>
        <w:t>32</w:t>
      </w:r>
      <w:r>
        <w:fldChar w:fldCharType="end"/>
      </w:r>
    </w:p>
    <w:p>
      <w:pPr>
        <w:pStyle w:val="TOC8"/>
        <w:rPr>
          <w:rFonts w:asciiTheme="minorHAnsi" w:eastAsiaTheme="minorEastAsia" w:hAnsiTheme="minorHAnsi" w:cstheme="minorBidi"/>
          <w:szCs w:val="22"/>
        </w:rPr>
      </w:pPr>
      <w:r>
        <w:t>45C.</w:t>
      </w:r>
      <w:r>
        <w:tab/>
        <w:t>Review of Division</w:t>
      </w:r>
      <w:r>
        <w:tab/>
      </w:r>
      <w:r>
        <w:fldChar w:fldCharType="begin"/>
      </w:r>
      <w:r>
        <w:instrText xml:space="preserve"> PAGEREF _Toc89242286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Compensation</w:t>
      </w:r>
    </w:p>
    <w:p>
      <w:pPr>
        <w:pStyle w:val="TOC8"/>
        <w:rPr>
          <w:rFonts w:asciiTheme="minorHAnsi" w:eastAsiaTheme="minorEastAsia" w:hAnsiTheme="minorHAnsi" w:cstheme="minorBidi"/>
          <w:szCs w:val="22"/>
        </w:rPr>
      </w:pPr>
      <w:r>
        <w:t>46.</w:t>
      </w:r>
      <w:r>
        <w:tab/>
        <w:t>When long</w:t>
      </w:r>
      <w:r>
        <w:noBreakHyphen/>
        <w:t>stay tenant is entitled to compensation</w:t>
      </w:r>
      <w:r>
        <w:tab/>
      </w:r>
      <w:r>
        <w:fldChar w:fldCharType="begin"/>
      </w:r>
      <w:r>
        <w:instrText xml:space="preserve"> PAGEREF _Toc89242288 \h </w:instrText>
      </w:r>
      <w:r>
        <w:fldChar w:fldCharType="separate"/>
      </w:r>
      <w:r>
        <w:t>33</w:t>
      </w:r>
      <w:r>
        <w:fldChar w:fldCharType="end"/>
      </w:r>
    </w:p>
    <w:p>
      <w:pPr>
        <w:pStyle w:val="TOC8"/>
        <w:rPr>
          <w:rFonts w:asciiTheme="minorHAnsi" w:eastAsiaTheme="minorEastAsia" w:hAnsiTheme="minorHAnsi" w:cstheme="minorBidi"/>
          <w:szCs w:val="22"/>
        </w:rPr>
      </w:pPr>
      <w:r>
        <w:t>47.</w:t>
      </w:r>
      <w:r>
        <w:tab/>
        <w:t>When park operator is entitled to compensation</w:t>
      </w:r>
      <w:r>
        <w:tab/>
      </w:r>
      <w:r>
        <w:fldChar w:fldCharType="begin"/>
      </w:r>
      <w:r>
        <w:instrText xml:space="preserve"> PAGEREF _Toc89242289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6 — Abandoned goods</w:t>
      </w:r>
    </w:p>
    <w:p>
      <w:pPr>
        <w:pStyle w:val="TOC8"/>
        <w:rPr>
          <w:rFonts w:asciiTheme="minorHAnsi" w:eastAsiaTheme="minorEastAsia" w:hAnsiTheme="minorHAnsi" w:cstheme="minorBidi"/>
          <w:szCs w:val="22"/>
        </w:rPr>
      </w:pPr>
      <w:r>
        <w:t>48.</w:t>
      </w:r>
      <w:r>
        <w:tab/>
        <w:t>Disposing of goods abandoned by tenant</w:t>
      </w:r>
      <w:r>
        <w:tab/>
      </w:r>
      <w:r>
        <w:fldChar w:fldCharType="begin"/>
      </w:r>
      <w:r>
        <w:instrText xml:space="preserve"> PAGEREF _Toc89242291 \h </w:instrText>
      </w:r>
      <w:r>
        <w:fldChar w:fldCharType="separate"/>
      </w:r>
      <w:r>
        <w:t>34</w:t>
      </w:r>
      <w:r>
        <w:fldChar w:fldCharType="end"/>
      </w:r>
    </w:p>
    <w:p>
      <w:pPr>
        <w:pStyle w:val="TOC8"/>
        <w:rPr>
          <w:rFonts w:asciiTheme="minorHAnsi" w:eastAsiaTheme="minorEastAsia" w:hAnsiTheme="minorHAnsi" w:cstheme="minorBidi"/>
          <w:szCs w:val="22"/>
        </w:rPr>
      </w:pPr>
      <w:r>
        <w:t>49.</w:t>
      </w:r>
      <w:r>
        <w:tab/>
        <w:t>Tenant’s right to reclaim abandoned goods put into storage</w:t>
      </w:r>
      <w:r>
        <w:tab/>
      </w:r>
      <w:r>
        <w:fldChar w:fldCharType="begin"/>
      </w:r>
      <w:r>
        <w:instrText xml:space="preserve"> PAGEREF _Toc89242292 \h </w:instrText>
      </w:r>
      <w:r>
        <w:fldChar w:fldCharType="separate"/>
      </w:r>
      <w:r>
        <w:t>35</w:t>
      </w:r>
      <w:r>
        <w:fldChar w:fldCharType="end"/>
      </w:r>
    </w:p>
    <w:p>
      <w:pPr>
        <w:pStyle w:val="TOC8"/>
        <w:rPr>
          <w:rFonts w:asciiTheme="minorHAnsi" w:eastAsiaTheme="minorEastAsia" w:hAnsiTheme="minorHAnsi" w:cstheme="minorBidi"/>
          <w:szCs w:val="22"/>
        </w:rPr>
      </w:pPr>
      <w:r>
        <w:t>50.</w:t>
      </w:r>
      <w:r>
        <w:tab/>
        <w:t>Title acquired by purchaser of abandoned goods</w:t>
      </w:r>
      <w:r>
        <w:tab/>
      </w:r>
      <w:r>
        <w:fldChar w:fldCharType="begin"/>
      </w:r>
      <w:r>
        <w:instrText xml:space="preserve"> PAGEREF _Toc89242293 \h </w:instrText>
      </w:r>
      <w:r>
        <w:fldChar w:fldCharType="separate"/>
      </w:r>
      <w:r>
        <w:t>35</w:t>
      </w:r>
      <w:r>
        <w:fldChar w:fldCharType="end"/>
      </w:r>
    </w:p>
    <w:p>
      <w:pPr>
        <w:pStyle w:val="TOC8"/>
        <w:rPr>
          <w:rFonts w:asciiTheme="minorHAnsi" w:eastAsiaTheme="minorEastAsia" w:hAnsiTheme="minorHAnsi" w:cstheme="minorBidi"/>
          <w:szCs w:val="22"/>
        </w:rPr>
      </w:pPr>
      <w:r>
        <w:t>51.</w:t>
      </w:r>
      <w:r>
        <w:tab/>
        <w:t>Park operator’s liability for abandoned goods</w:t>
      </w:r>
      <w:r>
        <w:tab/>
      </w:r>
      <w:r>
        <w:fldChar w:fldCharType="begin"/>
      </w:r>
      <w:r>
        <w:instrText xml:space="preserve"> PAGEREF _Toc89242294 \h </w:instrText>
      </w:r>
      <w:r>
        <w:fldChar w:fldCharType="separate"/>
      </w:r>
      <w:r>
        <w:t>35</w:t>
      </w:r>
      <w:r>
        <w:fldChar w:fldCharType="end"/>
      </w:r>
    </w:p>
    <w:p>
      <w:pPr>
        <w:pStyle w:val="TOC8"/>
        <w:rPr>
          <w:rFonts w:asciiTheme="minorHAnsi" w:eastAsiaTheme="minorEastAsia" w:hAnsiTheme="minorHAnsi" w:cstheme="minorBidi"/>
          <w:szCs w:val="22"/>
        </w:rPr>
      </w:pPr>
      <w:r>
        <w:t>52.</w:t>
      </w:r>
      <w:r>
        <w:tab/>
        <w:t>Disposition of proceeds of sale of abandoned goods</w:t>
      </w:r>
      <w:r>
        <w:tab/>
      </w:r>
      <w:r>
        <w:fldChar w:fldCharType="begin"/>
      </w:r>
      <w:r>
        <w:instrText xml:space="preserve"> PAGEREF _Toc89242295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Miscellaneous provisions</w:t>
      </w:r>
    </w:p>
    <w:p>
      <w:pPr>
        <w:pStyle w:val="TOC8"/>
        <w:rPr>
          <w:rFonts w:asciiTheme="minorHAnsi" w:eastAsiaTheme="minorEastAsia" w:hAnsiTheme="minorHAnsi" w:cstheme="minorBidi"/>
          <w:szCs w:val="22"/>
        </w:rPr>
      </w:pPr>
      <w:r>
        <w:t>53.</w:t>
      </w:r>
      <w:r>
        <w:tab/>
        <w:t>Duty of mitigation following breach of agreement</w:t>
      </w:r>
      <w:r>
        <w:tab/>
      </w:r>
      <w:r>
        <w:fldChar w:fldCharType="begin"/>
      </w:r>
      <w:r>
        <w:instrText xml:space="preserve"> PAGEREF _Toc89242297 \h </w:instrText>
      </w:r>
      <w:r>
        <w:fldChar w:fldCharType="separate"/>
      </w:r>
      <w:r>
        <w:t>36</w:t>
      </w:r>
      <w:r>
        <w:fldChar w:fldCharType="end"/>
      </w:r>
    </w:p>
    <w:p>
      <w:pPr>
        <w:pStyle w:val="TOC8"/>
        <w:rPr>
          <w:rFonts w:asciiTheme="minorHAnsi" w:eastAsiaTheme="minorEastAsia" w:hAnsiTheme="minorHAnsi" w:cstheme="minorBidi"/>
          <w:szCs w:val="22"/>
        </w:rPr>
      </w:pPr>
      <w:r>
        <w:t>54.</w:t>
      </w:r>
      <w:r>
        <w:tab/>
        <w:t>No recovery of vacant possession during tenancy period</w:t>
      </w:r>
      <w:r>
        <w:tab/>
      </w:r>
      <w:r>
        <w:fldChar w:fldCharType="begin"/>
      </w:r>
      <w:r>
        <w:instrText xml:space="preserve"> PAGEREF _Toc89242298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Other matters related to residential parks</w:t>
      </w:r>
    </w:p>
    <w:p>
      <w:pPr>
        <w:pStyle w:val="TOC4"/>
        <w:tabs>
          <w:tab w:val="right" w:leader="dot" w:pos="7077"/>
        </w:tabs>
        <w:rPr>
          <w:rFonts w:asciiTheme="minorHAnsi" w:eastAsiaTheme="minorEastAsia" w:hAnsiTheme="minorHAnsi" w:cstheme="minorBidi"/>
          <w:b w:val="0"/>
          <w:szCs w:val="22"/>
        </w:rPr>
      </w:pPr>
      <w:r>
        <w:t>Division 1 — Sale of relocatable homes on site</w:t>
      </w:r>
    </w:p>
    <w:p>
      <w:pPr>
        <w:pStyle w:val="TOC8"/>
        <w:rPr>
          <w:rFonts w:asciiTheme="minorHAnsi" w:eastAsiaTheme="minorEastAsia" w:hAnsiTheme="minorHAnsi" w:cstheme="minorBidi"/>
          <w:szCs w:val="22"/>
        </w:rPr>
      </w:pPr>
      <w:r>
        <w:t>55.</w:t>
      </w:r>
      <w:r>
        <w:tab/>
        <w:t>Long</w:t>
      </w:r>
      <w:r>
        <w:noBreakHyphen/>
        <w:t>stay tenant’s right to sell relocatable home on site</w:t>
      </w:r>
      <w:r>
        <w:tab/>
      </w:r>
      <w:r>
        <w:fldChar w:fldCharType="begin"/>
      </w:r>
      <w:r>
        <w:instrText xml:space="preserve"> PAGEREF _Toc89242301 \h </w:instrText>
      </w:r>
      <w:r>
        <w:fldChar w:fldCharType="separate"/>
      </w:r>
      <w:r>
        <w:t>37</w:t>
      </w:r>
      <w:r>
        <w:fldChar w:fldCharType="end"/>
      </w:r>
    </w:p>
    <w:p>
      <w:pPr>
        <w:pStyle w:val="TOC8"/>
        <w:rPr>
          <w:rFonts w:asciiTheme="minorHAnsi" w:eastAsiaTheme="minorEastAsia" w:hAnsiTheme="minorHAnsi" w:cstheme="minorBidi"/>
          <w:szCs w:val="22"/>
        </w:rPr>
      </w:pPr>
      <w:r>
        <w:t>56.</w:t>
      </w:r>
      <w:r>
        <w:tab/>
        <w:t>Park operator’s obligations</w:t>
      </w:r>
      <w:r>
        <w:tab/>
      </w:r>
      <w:r>
        <w:fldChar w:fldCharType="begin"/>
      </w:r>
      <w:r>
        <w:instrText xml:space="preserve"> PAGEREF _Toc89242302 \h </w:instrText>
      </w:r>
      <w:r>
        <w:fldChar w:fldCharType="separate"/>
      </w:r>
      <w:r>
        <w:t>37</w:t>
      </w:r>
      <w:r>
        <w:fldChar w:fldCharType="end"/>
      </w:r>
    </w:p>
    <w:p>
      <w:pPr>
        <w:pStyle w:val="TOC8"/>
        <w:rPr>
          <w:rFonts w:asciiTheme="minorHAnsi" w:eastAsiaTheme="minorEastAsia" w:hAnsiTheme="minorHAnsi" w:cstheme="minorBidi"/>
          <w:szCs w:val="22"/>
        </w:rPr>
      </w:pPr>
      <w:r>
        <w:t>57.</w:t>
      </w:r>
      <w:r>
        <w:tab/>
        <w:t>When park operator acts as agent in sale on site</w:t>
      </w:r>
      <w:r>
        <w:tab/>
      </w:r>
      <w:r>
        <w:fldChar w:fldCharType="begin"/>
      </w:r>
      <w:r>
        <w:instrText xml:space="preserve"> PAGEREF _Toc89242303 \h </w:instrText>
      </w:r>
      <w:r>
        <w:fldChar w:fldCharType="separate"/>
      </w:r>
      <w:r>
        <w:t>38</w:t>
      </w:r>
      <w:r>
        <w:fldChar w:fldCharType="end"/>
      </w:r>
    </w:p>
    <w:p>
      <w:pPr>
        <w:pStyle w:val="TOC8"/>
        <w:rPr>
          <w:rFonts w:asciiTheme="minorHAnsi" w:eastAsiaTheme="minorEastAsia" w:hAnsiTheme="minorHAnsi" w:cstheme="minorBidi"/>
          <w:szCs w:val="22"/>
        </w:rPr>
      </w:pPr>
      <w:r>
        <w:t>58.</w:t>
      </w:r>
      <w:r>
        <w:tab/>
        <w:t>Park operator’s authority to act as selling agent</w:t>
      </w:r>
      <w:r>
        <w:tab/>
      </w:r>
      <w:r>
        <w:fldChar w:fldCharType="begin"/>
      </w:r>
      <w:r>
        <w:instrText xml:space="preserve"> PAGEREF _Toc89242304 \h </w:instrText>
      </w:r>
      <w:r>
        <w:fldChar w:fldCharType="separate"/>
      </w:r>
      <w:r>
        <w:t>38</w:t>
      </w:r>
      <w:r>
        <w:fldChar w:fldCharType="end"/>
      </w:r>
    </w:p>
    <w:p>
      <w:pPr>
        <w:pStyle w:val="TOC8"/>
        <w:rPr>
          <w:rFonts w:asciiTheme="minorHAnsi" w:eastAsiaTheme="minorEastAsia" w:hAnsiTheme="minorHAnsi" w:cstheme="minorBidi"/>
          <w:szCs w:val="22"/>
        </w:rPr>
      </w:pPr>
      <w:r>
        <w:t>58A.</w:t>
      </w:r>
      <w:r>
        <w:tab/>
        <w:t>Discrimination against tenants subjected or exposed to family violence</w:t>
      </w:r>
      <w:r>
        <w:tab/>
      </w:r>
      <w:r>
        <w:fldChar w:fldCharType="begin"/>
      </w:r>
      <w:r>
        <w:instrText xml:space="preserve"> PAGEREF _Toc89242305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Park liaison committees</w:t>
      </w:r>
    </w:p>
    <w:p>
      <w:pPr>
        <w:pStyle w:val="TOC8"/>
        <w:rPr>
          <w:rFonts w:asciiTheme="minorHAnsi" w:eastAsiaTheme="minorEastAsia" w:hAnsiTheme="minorHAnsi" w:cstheme="minorBidi"/>
          <w:szCs w:val="22"/>
        </w:rPr>
      </w:pPr>
      <w:r>
        <w:t>59.</w:t>
      </w:r>
      <w:r>
        <w:tab/>
        <w:t>Establishment of park liaison committee</w:t>
      </w:r>
      <w:r>
        <w:tab/>
      </w:r>
      <w:r>
        <w:fldChar w:fldCharType="begin"/>
      </w:r>
      <w:r>
        <w:instrText xml:space="preserve"> PAGEREF _Toc89242307 \h </w:instrText>
      </w:r>
      <w:r>
        <w:fldChar w:fldCharType="separate"/>
      </w:r>
      <w:r>
        <w:t>39</w:t>
      </w:r>
      <w:r>
        <w:fldChar w:fldCharType="end"/>
      </w:r>
    </w:p>
    <w:p>
      <w:pPr>
        <w:pStyle w:val="TOC8"/>
        <w:rPr>
          <w:rFonts w:asciiTheme="minorHAnsi" w:eastAsiaTheme="minorEastAsia" w:hAnsiTheme="minorHAnsi" w:cstheme="minorBidi"/>
          <w:szCs w:val="22"/>
        </w:rPr>
      </w:pPr>
      <w:r>
        <w:t>60.</w:t>
      </w:r>
      <w:r>
        <w:tab/>
        <w:t>Constitution of park liaison committee</w:t>
      </w:r>
      <w:r>
        <w:tab/>
      </w:r>
      <w:r>
        <w:fldChar w:fldCharType="begin"/>
      </w:r>
      <w:r>
        <w:instrText xml:space="preserve"> PAGEREF _Toc89242308 \h </w:instrText>
      </w:r>
      <w:r>
        <w:fldChar w:fldCharType="separate"/>
      </w:r>
      <w:r>
        <w:t>40</w:t>
      </w:r>
      <w:r>
        <w:fldChar w:fldCharType="end"/>
      </w:r>
    </w:p>
    <w:p>
      <w:pPr>
        <w:pStyle w:val="TOC8"/>
        <w:rPr>
          <w:rFonts w:asciiTheme="minorHAnsi" w:eastAsiaTheme="minorEastAsia" w:hAnsiTheme="minorHAnsi" w:cstheme="minorBidi"/>
          <w:szCs w:val="22"/>
        </w:rPr>
      </w:pPr>
      <w:r>
        <w:t>61.</w:t>
      </w:r>
      <w:r>
        <w:tab/>
        <w:t>Functions of park liaison committee</w:t>
      </w:r>
      <w:r>
        <w:tab/>
      </w:r>
      <w:r>
        <w:fldChar w:fldCharType="begin"/>
      </w:r>
      <w:r>
        <w:instrText xml:space="preserve"> PAGEREF _Toc89242309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State Administrative Tribunal powers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62.</w:t>
      </w:r>
      <w:r>
        <w:tab/>
        <w:t>Breaches of agreement and other disputes</w:t>
      </w:r>
      <w:r>
        <w:tab/>
      </w:r>
      <w:r>
        <w:fldChar w:fldCharType="begin"/>
      </w:r>
      <w:r>
        <w:instrText xml:space="preserve"> PAGEREF _Toc89242312 \h </w:instrText>
      </w:r>
      <w:r>
        <w:fldChar w:fldCharType="separate"/>
      </w:r>
      <w:r>
        <w:t>42</w:t>
      </w:r>
      <w:r>
        <w:fldChar w:fldCharType="end"/>
      </w:r>
    </w:p>
    <w:p>
      <w:pPr>
        <w:pStyle w:val="TOC8"/>
        <w:rPr>
          <w:rFonts w:asciiTheme="minorHAnsi" w:eastAsiaTheme="minorEastAsia" w:hAnsiTheme="minorHAnsi" w:cstheme="minorBidi"/>
          <w:szCs w:val="22"/>
        </w:rPr>
      </w:pPr>
      <w:r>
        <w:t>63.</w:t>
      </w:r>
      <w:r>
        <w:tab/>
        <w:t>Orders for reduction of rent</w:t>
      </w:r>
      <w:r>
        <w:tab/>
      </w:r>
      <w:r>
        <w:fldChar w:fldCharType="begin"/>
      </w:r>
      <w:r>
        <w:instrText xml:space="preserve"> PAGEREF _Toc89242313 \h </w:instrText>
      </w:r>
      <w:r>
        <w:fldChar w:fldCharType="separate"/>
      </w:r>
      <w:r>
        <w:t>43</w:t>
      </w:r>
      <w:r>
        <w:fldChar w:fldCharType="end"/>
      </w:r>
    </w:p>
    <w:p>
      <w:pPr>
        <w:pStyle w:val="TOC8"/>
        <w:rPr>
          <w:rFonts w:asciiTheme="minorHAnsi" w:eastAsiaTheme="minorEastAsia" w:hAnsiTheme="minorHAnsi" w:cstheme="minorBidi"/>
          <w:szCs w:val="22"/>
        </w:rPr>
      </w:pPr>
      <w:r>
        <w:t>64.</w:t>
      </w:r>
      <w:r>
        <w:tab/>
        <w:t>Orders when premises abandoned by tenant</w:t>
      </w:r>
      <w:r>
        <w:tab/>
      </w:r>
      <w:r>
        <w:fldChar w:fldCharType="begin"/>
      </w:r>
      <w:r>
        <w:instrText xml:space="preserve"> PAGEREF _Toc89242314 \h </w:instrText>
      </w:r>
      <w:r>
        <w:fldChar w:fldCharType="separate"/>
      </w:r>
      <w:r>
        <w:t>45</w:t>
      </w:r>
      <w:r>
        <w:fldChar w:fldCharType="end"/>
      </w:r>
    </w:p>
    <w:p>
      <w:pPr>
        <w:pStyle w:val="TOC8"/>
        <w:rPr>
          <w:rFonts w:asciiTheme="minorHAnsi" w:eastAsiaTheme="minorEastAsia" w:hAnsiTheme="minorHAnsi" w:cstheme="minorBidi"/>
          <w:szCs w:val="22"/>
        </w:rPr>
      </w:pPr>
      <w:r>
        <w:t>65.</w:t>
      </w:r>
      <w:r>
        <w:tab/>
        <w:t>Determination of compensation payable to long</w:t>
      </w:r>
      <w:r>
        <w:noBreakHyphen/>
        <w:t>stay tenant</w:t>
      </w:r>
      <w:r>
        <w:tab/>
      </w:r>
      <w:r>
        <w:fldChar w:fldCharType="begin"/>
      </w:r>
      <w:r>
        <w:instrText xml:space="preserve"> PAGEREF _Toc89242315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Orders relating to vacant possession</w:t>
      </w:r>
    </w:p>
    <w:p>
      <w:pPr>
        <w:pStyle w:val="TOC8"/>
        <w:rPr>
          <w:rFonts w:asciiTheme="minorHAnsi" w:eastAsiaTheme="minorEastAsia" w:hAnsiTheme="minorHAnsi" w:cstheme="minorBidi"/>
          <w:szCs w:val="22"/>
        </w:rPr>
      </w:pPr>
      <w:r>
        <w:t>66.</w:t>
      </w:r>
      <w:r>
        <w:tab/>
        <w:t>Orders for vacant possession if rent not paid</w:t>
      </w:r>
      <w:r>
        <w:tab/>
      </w:r>
      <w:r>
        <w:fldChar w:fldCharType="begin"/>
      </w:r>
      <w:r>
        <w:instrText xml:space="preserve"> PAGEREF _Toc89242317 \h </w:instrText>
      </w:r>
      <w:r>
        <w:fldChar w:fldCharType="separate"/>
      </w:r>
      <w:r>
        <w:t>47</w:t>
      </w:r>
      <w:r>
        <w:fldChar w:fldCharType="end"/>
      </w:r>
    </w:p>
    <w:p>
      <w:pPr>
        <w:pStyle w:val="TOC8"/>
        <w:rPr>
          <w:rFonts w:asciiTheme="minorHAnsi" w:eastAsiaTheme="minorEastAsia" w:hAnsiTheme="minorHAnsi" w:cstheme="minorBidi"/>
          <w:szCs w:val="22"/>
        </w:rPr>
      </w:pPr>
      <w:r>
        <w:t>67.</w:t>
      </w:r>
      <w:r>
        <w:tab/>
        <w:t>Orders for vacant possession at end of fixed term</w:t>
      </w:r>
      <w:r>
        <w:tab/>
      </w:r>
      <w:r>
        <w:fldChar w:fldCharType="begin"/>
      </w:r>
      <w:r>
        <w:instrText xml:space="preserve"> PAGEREF _Toc89242318 \h </w:instrText>
      </w:r>
      <w:r>
        <w:fldChar w:fldCharType="separate"/>
      </w:r>
      <w:r>
        <w:t>48</w:t>
      </w:r>
      <w:r>
        <w:fldChar w:fldCharType="end"/>
      </w:r>
    </w:p>
    <w:p>
      <w:pPr>
        <w:pStyle w:val="TOC8"/>
        <w:rPr>
          <w:rFonts w:asciiTheme="minorHAnsi" w:eastAsiaTheme="minorEastAsia" w:hAnsiTheme="minorHAnsi" w:cstheme="minorBidi"/>
          <w:szCs w:val="22"/>
        </w:rPr>
      </w:pPr>
      <w:r>
        <w:t>68.</w:t>
      </w:r>
      <w:r>
        <w:tab/>
        <w:t>Orders for vacant possession on other grounds</w:t>
      </w:r>
      <w:r>
        <w:tab/>
      </w:r>
      <w:r>
        <w:fldChar w:fldCharType="begin"/>
      </w:r>
      <w:r>
        <w:instrText xml:space="preserve"> PAGEREF _Toc89242319 \h </w:instrText>
      </w:r>
      <w:r>
        <w:fldChar w:fldCharType="separate"/>
      </w:r>
      <w:r>
        <w:t>49</w:t>
      </w:r>
      <w:r>
        <w:fldChar w:fldCharType="end"/>
      </w:r>
    </w:p>
    <w:p>
      <w:pPr>
        <w:pStyle w:val="TOC8"/>
        <w:rPr>
          <w:rFonts w:asciiTheme="minorHAnsi" w:eastAsiaTheme="minorEastAsia" w:hAnsiTheme="minorHAnsi" w:cstheme="minorBidi"/>
          <w:szCs w:val="22"/>
        </w:rPr>
      </w:pPr>
      <w:r>
        <w:t>69.</w:t>
      </w:r>
      <w:r>
        <w:tab/>
        <w:t>Orders for compensation to park operator for holding over</w:t>
      </w:r>
      <w:r>
        <w:tab/>
      </w:r>
      <w:r>
        <w:fldChar w:fldCharType="begin"/>
      </w:r>
      <w:r>
        <w:instrText xml:space="preserve"> PAGEREF _Toc89242320 \h </w:instrText>
      </w:r>
      <w:r>
        <w:fldChar w:fldCharType="separate"/>
      </w:r>
      <w:r>
        <w:t>51</w:t>
      </w:r>
      <w:r>
        <w:fldChar w:fldCharType="end"/>
      </w:r>
    </w:p>
    <w:p>
      <w:pPr>
        <w:pStyle w:val="TOC8"/>
        <w:rPr>
          <w:rFonts w:asciiTheme="minorHAnsi" w:eastAsiaTheme="minorEastAsia" w:hAnsiTheme="minorHAnsi" w:cstheme="minorBidi"/>
          <w:szCs w:val="22"/>
        </w:rPr>
      </w:pPr>
      <w:r>
        <w:t>70.</w:t>
      </w:r>
      <w:r>
        <w:tab/>
        <w:t>Tenant’s protection against holder of superior title</w:t>
      </w:r>
      <w:r>
        <w:tab/>
      </w:r>
      <w:r>
        <w:fldChar w:fldCharType="begin"/>
      </w:r>
      <w:r>
        <w:instrText xml:space="preserve"> PAGEREF _Toc89242321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Orders relating to termination of agreements</w:t>
      </w:r>
    </w:p>
    <w:p>
      <w:pPr>
        <w:pStyle w:val="TOC8"/>
        <w:rPr>
          <w:rFonts w:asciiTheme="minorHAnsi" w:eastAsiaTheme="minorEastAsia" w:hAnsiTheme="minorHAnsi" w:cstheme="minorBidi"/>
          <w:szCs w:val="22"/>
        </w:rPr>
      </w:pPr>
      <w:r>
        <w:t>71.</w:t>
      </w:r>
      <w:r>
        <w:tab/>
        <w:t>Orders to terminate agreement if tenant is causing damage or injury</w:t>
      </w:r>
      <w:r>
        <w:tab/>
      </w:r>
      <w:r>
        <w:fldChar w:fldCharType="begin"/>
      </w:r>
      <w:r>
        <w:instrText xml:space="preserve"> PAGEREF _Toc89242323 \h </w:instrText>
      </w:r>
      <w:r>
        <w:fldChar w:fldCharType="separate"/>
      </w:r>
      <w:r>
        <w:t>52</w:t>
      </w:r>
      <w:r>
        <w:fldChar w:fldCharType="end"/>
      </w:r>
    </w:p>
    <w:p>
      <w:pPr>
        <w:pStyle w:val="TOC8"/>
        <w:rPr>
          <w:rFonts w:asciiTheme="minorHAnsi" w:eastAsiaTheme="minorEastAsia" w:hAnsiTheme="minorHAnsi" w:cstheme="minorBidi"/>
          <w:szCs w:val="22"/>
        </w:rPr>
      </w:pPr>
      <w:r>
        <w:t>72.</w:t>
      </w:r>
      <w:r>
        <w:tab/>
        <w:t>Orders to terminate agreement for breach by park operator</w:t>
      </w:r>
      <w:r>
        <w:tab/>
      </w:r>
      <w:r>
        <w:fldChar w:fldCharType="begin"/>
      </w:r>
      <w:r>
        <w:instrText xml:space="preserve"> PAGEREF _Toc89242324 \h </w:instrText>
      </w:r>
      <w:r>
        <w:fldChar w:fldCharType="separate"/>
      </w:r>
      <w:r>
        <w:t>53</w:t>
      </w:r>
      <w:r>
        <w:fldChar w:fldCharType="end"/>
      </w:r>
    </w:p>
    <w:p>
      <w:pPr>
        <w:pStyle w:val="TOC8"/>
        <w:rPr>
          <w:rFonts w:asciiTheme="minorHAnsi" w:eastAsiaTheme="minorEastAsia" w:hAnsiTheme="minorHAnsi" w:cstheme="minorBidi"/>
          <w:szCs w:val="22"/>
        </w:rPr>
      </w:pPr>
      <w:r>
        <w:lastRenderedPageBreak/>
        <w:t>73.</w:t>
      </w:r>
      <w:r>
        <w:tab/>
        <w:t>Termination on grounds of hardship to park operator</w:t>
      </w:r>
      <w:r>
        <w:tab/>
      </w:r>
      <w:r>
        <w:fldChar w:fldCharType="begin"/>
      </w:r>
      <w:r>
        <w:instrText xml:space="preserve"> PAGEREF _Toc89242325 \h </w:instrText>
      </w:r>
      <w:r>
        <w:fldChar w:fldCharType="separate"/>
      </w:r>
      <w:r>
        <w:t>53</w:t>
      </w:r>
      <w:r>
        <w:fldChar w:fldCharType="end"/>
      </w:r>
    </w:p>
    <w:p>
      <w:pPr>
        <w:pStyle w:val="TOC8"/>
        <w:rPr>
          <w:rFonts w:asciiTheme="minorHAnsi" w:eastAsiaTheme="minorEastAsia" w:hAnsiTheme="minorHAnsi" w:cstheme="minorBidi"/>
          <w:szCs w:val="22"/>
        </w:rPr>
      </w:pPr>
      <w:r>
        <w:t>74.</w:t>
      </w:r>
      <w:r>
        <w:tab/>
        <w:t>Tribunal’s power during fair rent proceedings</w:t>
      </w:r>
      <w:r>
        <w:tab/>
      </w:r>
      <w:r>
        <w:fldChar w:fldCharType="begin"/>
      </w:r>
      <w:r>
        <w:instrText xml:space="preserve"> PAGEREF _Toc89242326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3A — Orders relating to termination of tenant’s interest on grounds of family violence</w:t>
      </w:r>
    </w:p>
    <w:p>
      <w:pPr>
        <w:pStyle w:val="TOC8"/>
        <w:rPr>
          <w:rFonts w:asciiTheme="minorHAnsi" w:eastAsiaTheme="minorEastAsia" w:hAnsiTheme="minorHAnsi" w:cstheme="minorBidi"/>
          <w:szCs w:val="22"/>
        </w:rPr>
      </w:pPr>
      <w:r>
        <w:t>74A.</w:t>
      </w:r>
      <w:r>
        <w:tab/>
        <w:t>Review of notice of termination under s. 45A</w:t>
      </w:r>
      <w:r>
        <w:tab/>
      </w:r>
      <w:r>
        <w:fldChar w:fldCharType="begin"/>
      </w:r>
      <w:r>
        <w:instrText xml:space="preserve"> PAGEREF _Toc89242328 \h </w:instrText>
      </w:r>
      <w:r>
        <w:fldChar w:fldCharType="separate"/>
      </w:r>
      <w:r>
        <w:t>54</w:t>
      </w:r>
      <w:r>
        <w:fldChar w:fldCharType="end"/>
      </w:r>
    </w:p>
    <w:p>
      <w:pPr>
        <w:pStyle w:val="TOC8"/>
        <w:rPr>
          <w:rFonts w:asciiTheme="minorHAnsi" w:eastAsiaTheme="minorEastAsia" w:hAnsiTheme="minorHAnsi" w:cstheme="minorBidi"/>
          <w:szCs w:val="22"/>
        </w:rPr>
      </w:pPr>
      <w:r>
        <w:t>74B.</w:t>
      </w:r>
      <w:r>
        <w:tab/>
        <w:t>Termination of tenant’s interest by SAT on grounds of family violence</w:t>
      </w:r>
      <w:r>
        <w:tab/>
      </w:r>
      <w:r>
        <w:fldChar w:fldCharType="begin"/>
      </w:r>
      <w:r>
        <w:instrText xml:space="preserve"> PAGEREF _Toc89242329 \h </w:instrText>
      </w:r>
      <w:r>
        <w:fldChar w:fldCharType="separate"/>
      </w:r>
      <w:r>
        <w:t>55</w:t>
      </w:r>
      <w:r>
        <w:fldChar w:fldCharType="end"/>
      </w:r>
    </w:p>
    <w:p>
      <w:pPr>
        <w:pStyle w:val="TOC8"/>
        <w:rPr>
          <w:rFonts w:asciiTheme="minorHAnsi" w:eastAsiaTheme="minorEastAsia" w:hAnsiTheme="minorHAnsi" w:cstheme="minorBidi"/>
          <w:szCs w:val="22"/>
        </w:rPr>
      </w:pPr>
      <w:r>
        <w:t>74C.</w:t>
      </w:r>
      <w:r>
        <w:tab/>
        <w:t>Determination of rights and liabilities after termination of tenant’s interest on grounds of family violence</w:t>
      </w:r>
      <w:r>
        <w:tab/>
      </w:r>
      <w:r>
        <w:fldChar w:fldCharType="begin"/>
      </w:r>
      <w:r>
        <w:instrText xml:space="preserve"> PAGEREF _Toc89242330 \h </w:instrText>
      </w:r>
      <w:r>
        <w:fldChar w:fldCharType="separate"/>
      </w:r>
      <w:r>
        <w:t>56</w:t>
      </w:r>
      <w:r>
        <w:fldChar w:fldCharType="end"/>
      </w:r>
    </w:p>
    <w:p>
      <w:pPr>
        <w:pStyle w:val="TOC8"/>
        <w:rPr>
          <w:rFonts w:asciiTheme="minorHAnsi" w:eastAsiaTheme="minorEastAsia" w:hAnsiTheme="minorHAnsi" w:cstheme="minorBidi"/>
          <w:szCs w:val="22"/>
        </w:rPr>
      </w:pPr>
      <w:r>
        <w:t>74D.</w:t>
      </w:r>
      <w:r>
        <w:tab/>
        <w:t>Review of Division</w:t>
      </w:r>
      <w:r>
        <w:tab/>
      </w:r>
      <w:r>
        <w:fldChar w:fldCharType="begin"/>
      </w:r>
      <w:r>
        <w:instrText xml:space="preserve"> PAGEREF _Toc89242331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Orders relating to abandoned goods</w:t>
      </w:r>
    </w:p>
    <w:p>
      <w:pPr>
        <w:pStyle w:val="TOC8"/>
        <w:rPr>
          <w:rFonts w:asciiTheme="minorHAnsi" w:eastAsiaTheme="minorEastAsia" w:hAnsiTheme="minorHAnsi" w:cstheme="minorBidi"/>
          <w:szCs w:val="22"/>
        </w:rPr>
      </w:pPr>
      <w:r>
        <w:t>75.</w:t>
      </w:r>
      <w:r>
        <w:tab/>
        <w:t>Disposing of proceeds of sale of abandoned goods</w:t>
      </w:r>
      <w:r>
        <w:tab/>
      </w:r>
      <w:r>
        <w:fldChar w:fldCharType="begin"/>
      </w:r>
      <w:r>
        <w:instrText xml:space="preserve"> PAGEREF _Toc89242333 \h </w:instrText>
      </w:r>
      <w:r>
        <w:fldChar w:fldCharType="separate"/>
      </w:r>
      <w:r>
        <w:t>59</w:t>
      </w:r>
      <w:r>
        <w:fldChar w:fldCharType="end"/>
      </w:r>
    </w:p>
    <w:p>
      <w:pPr>
        <w:pStyle w:val="TOC8"/>
        <w:rPr>
          <w:rFonts w:asciiTheme="minorHAnsi" w:eastAsiaTheme="minorEastAsia" w:hAnsiTheme="minorHAnsi" w:cstheme="minorBidi"/>
          <w:szCs w:val="22"/>
        </w:rPr>
      </w:pPr>
      <w:r>
        <w:t>76.</w:t>
      </w:r>
      <w:r>
        <w:tab/>
        <w:t>Park operator’s claim if sale proceeds insufficient</w:t>
      </w:r>
      <w:r>
        <w:tab/>
      </w:r>
      <w:r>
        <w:fldChar w:fldCharType="begin"/>
      </w:r>
      <w:r>
        <w:instrText xml:space="preserve"> PAGEREF _Toc89242334 \h </w:instrText>
      </w:r>
      <w:r>
        <w:fldChar w:fldCharType="separate"/>
      </w:r>
      <w:r>
        <w:t>59</w:t>
      </w:r>
      <w:r>
        <w:fldChar w:fldCharType="end"/>
      </w:r>
    </w:p>
    <w:p>
      <w:pPr>
        <w:pStyle w:val="TOC8"/>
        <w:rPr>
          <w:rFonts w:asciiTheme="minorHAnsi" w:eastAsiaTheme="minorEastAsia" w:hAnsiTheme="minorHAnsi" w:cstheme="minorBidi"/>
          <w:szCs w:val="22"/>
        </w:rPr>
      </w:pPr>
      <w:r>
        <w:t>77.</w:t>
      </w:r>
      <w:r>
        <w:tab/>
        <w:t>Recovery by owner of value of goods sold</w:t>
      </w:r>
      <w:r>
        <w:tab/>
      </w:r>
      <w:r>
        <w:fldChar w:fldCharType="begin"/>
      </w:r>
      <w:r>
        <w:instrText xml:space="preserve"> PAGEREF _Toc89242335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Miscellaneous provisions</w:t>
      </w:r>
    </w:p>
    <w:p>
      <w:pPr>
        <w:pStyle w:val="TOC8"/>
        <w:rPr>
          <w:rFonts w:asciiTheme="minorHAnsi" w:eastAsiaTheme="minorEastAsia" w:hAnsiTheme="minorHAnsi" w:cstheme="minorBidi"/>
          <w:szCs w:val="22"/>
        </w:rPr>
      </w:pPr>
      <w:r>
        <w:t>78.</w:t>
      </w:r>
      <w:r>
        <w:tab/>
        <w:t>Term used: original party</w:t>
      </w:r>
      <w:r>
        <w:tab/>
      </w:r>
      <w:r>
        <w:fldChar w:fldCharType="begin"/>
      </w:r>
      <w:r>
        <w:instrText xml:space="preserve"> PAGEREF _Toc89242337 \h </w:instrText>
      </w:r>
      <w:r>
        <w:fldChar w:fldCharType="separate"/>
      </w:r>
      <w:r>
        <w:t>60</w:t>
      </w:r>
      <w:r>
        <w:fldChar w:fldCharType="end"/>
      </w:r>
    </w:p>
    <w:p>
      <w:pPr>
        <w:pStyle w:val="TOC8"/>
        <w:rPr>
          <w:rFonts w:asciiTheme="minorHAnsi" w:eastAsiaTheme="minorEastAsia" w:hAnsiTheme="minorHAnsi" w:cstheme="minorBidi"/>
          <w:szCs w:val="22"/>
        </w:rPr>
      </w:pPr>
      <w:r>
        <w:t>79.</w:t>
      </w:r>
      <w:r>
        <w:tab/>
        <w:t>Proceedings instituted or defended by Commissioner</w:t>
      </w:r>
      <w:r>
        <w:tab/>
      </w:r>
      <w:r>
        <w:fldChar w:fldCharType="begin"/>
      </w:r>
      <w:r>
        <w:instrText xml:space="preserve"> PAGEREF _Toc89242338 \h </w:instrText>
      </w:r>
      <w:r>
        <w:fldChar w:fldCharType="separate"/>
      </w:r>
      <w:r>
        <w:t>60</w:t>
      </w:r>
      <w:r>
        <w:fldChar w:fldCharType="end"/>
      </w:r>
    </w:p>
    <w:p>
      <w:pPr>
        <w:pStyle w:val="TOC8"/>
        <w:rPr>
          <w:rFonts w:asciiTheme="minorHAnsi" w:eastAsiaTheme="minorEastAsia" w:hAnsiTheme="minorHAnsi" w:cstheme="minorBidi"/>
          <w:szCs w:val="22"/>
        </w:rPr>
      </w:pPr>
      <w:r>
        <w:t>80.</w:t>
      </w:r>
      <w:r>
        <w:tab/>
        <w:t>Evidence in proceedings undertaken by Commissioner</w:t>
      </w:r>
      <w:r>
        <w:tab/>
      </w:r>
      <w:r>
        <w:fldChar w:fldCharType="begin"/>
      </w:r>
      <w:r>
        <w:instrText xml:space="preserve"> PAGEREF _Toc89242339 \h </w:instrText>
      </w:r>
      <w:r>
        <w:fldChar w:fldCharType="separate"/>
      </w:r>
      <w:r>
        <w:t>61</w:t>
      </w:r>
      <w:r>
        <w:fldChar w:fldCharType="end"/>
      </w:r>
    </w:p>
    <w:p>
      <w:pPr>
        <w:pStyle w:val="TOC8"/>
        <w:rPr>
          <w:rFonts w:asciiTheme="minorHAnsi" w:eastAsiaTheme="minorEastAsia" w:hAnsiTheme="minorHAnsi" w:cstheme="minorBidi"/>
          <w:szCs w:val="22"/>
        </w:rPr>
      </w:pPr>
      <w:r>
        <w:t>81.</w:t>
      </w:r>
      <w:r>
        <w:tab/>
        <w:t>Conduct of legal proceedings by Commissioner</w:t>
      </w:r>
      <w:r>
        <w:tab/>
      </w:r>
      <w:r>
        <w:fldChar w:fldCharType="begin"/>
      </w:r>
      <w:r>
        <w:instrText xml:space="preserve"> PAGEREF _Toc89242340 \h </w:instrText>
      </w:r>
      <w:r>
        <w:fldChar w:fldCharType="separate"/>
      </w:r>
      <w:r>
        <w:t>61</w:t>
      </w:r>
      <w:r>
        <w:fldChar w:fldCharType="end"/>
      </w:r>
    </w:p>
    <w:p>
      <w:pPr>
        <w:pStyle w:val="TOC8"/>
        <w:rPr>
          <w:rFonts w:asciiTheme="minorHAnsi" w:eastAsiaTheme="minorEastAsia" w:hAnsiTheme="minorHAnsi" w:cstheme="minorBidi"/>
          <w:szCs w:val="22"/>
        </w:rPr>
      </w:pPr>
      <w:r>
        <w:t>82.</w:t>
      </w:r>
      <w:r>
        <w:tab/>
        <w:t>Orders exempting persons from operation of Act</w:t>
      </w:r>
      <w:r>
        <w:tab/>
      </w:r>
      <w:r>
        <w:fldChar w:fldCharType="begin"/>
      </w:r>
      <w:r>
        <w:instrText xml:space="preserve"> PAGEREF _Toc89242341 \h </w:instrText>
      </w:r>
      <w:r>
        <w:fldChar w:fldCharType="separate"/>
      </w:r>
      <w:r>
        <w:t>62</w:t>
      </w:r>
      <w:r>
        <w:fldChar w:fldCharType="end"/>
      </w:r>
    </w:p>
    <w:p>
      <w:pPr>
        <w:pStyle w:val="TOC8"/>
        <w:rPr>
          <w:rFonts w:asciiTheme="minorHAnsi" w:eastAsiaTheme="minorEastAsia" w:hAnsiTheme="minorHAnsi" w:cstheme="minorBidi"/>
          <w:szCs w:val="22"/>
        </w:rPr>
      </w:pPr>
      <w:r>
        <w:t>83.</w:t>
      </w:r>
      <w:r>
        <w:tab/>
        <w:t>Payment of costs and other amounts</w:t>
      </w:r>
      <w:r>
        <w:tab/>
      </w:r>
      <w:r>
        <w:fldChar w:fldCharType="begin"/>
      </w:r>
      <w:r>
        <w:instrText xml:space="preserve"> PAGEREF _Toc89242342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84.</w:t>
      </w:r>
      <w:r>
        <w:tab/>
        <w:t>Commissioner</w:t>
      </w:r>
      <w:r>
        <w:tab/>
      </w:r>
      <w:r>
        <w:fldChar w:fldCharType="begin"/>
      </w:r>
      <w:r>
        <w:instrText xml:space="preserve"> PAGEREF _Toc89242344 \h </w:instrText>
      </w:r>
      <w:r>
        <w:fldChar w:fldCharType="separate"/>
      </w:r>
      <w:r>
        <w:t>64</w:t>
      </w:r>
      <w:r>
        <w:fldChar w:fldCharType="end"/>
      </w:r>
    </w:p>
    <w:p>
      <w:pPr>
        <w:pStyle w:val="TOC8"/>
        <w:rPr>
          <w:rFonts w:asciiTheme="minorHAnsi" w:eastAsiaTheme="minorEastAsia" w:hAnsiTheme="minorHAnsi" w:cstheme="minorBidi"/>
          <w:szCs w:val="22"/>
        </w:rPr>
      </w:pPr>
      <w:r>
        <w:t>85.</w:t>
      </w:r>
      <w:r>
        <w:tab/>
        <w:t>Commissioner’s functions</w:t>
      </w:r>
      <w:r>
        <w:tab/>
      </w:r>
      <w:r>
        <w:fldChar w:fldCharType="begin"/>
      </w:r>
      <w:r>
        <w:instrText xml:space="preserve"> PAGEREF _Toc89242345 \h </w:instrText>
      </w:r>
      <w:r>
        <w:fldChar w:fldCharType="separate"/>
      </w:r>
      <w:r>
        <w:t>64</w:t>
      </w:r>
      <w:r>
        <w:fldChar w:fldCharType="end"/>
      </w:r>
    </w:p>
    <w:p>
      <w:pPr>
        <w:pStyle w:val="TOC8"/>
        <w:rPr>
          <w:rFonts w:asciiTheme="minorHAnsi" w:eastAsiaTheme="minorEastAsia" w:hAnsiTheme="minorHAnsi" w:cstheme="minorBidi"/>
          <w:szCs w:val="22"/>
        </w:rPr>
      </w:pPr>
      <w:r>
        <w:t>86.</w:t>
      </w:r>
      <w:r>
        <w:tab/>
        <w:t>Delegation by Commissioner</w:t>
      </w:r>
      <w:r>
        <w:tab/>
      </w:r>
      <w:r>
        <w:fldChar w:fldCharType="begin"/>
      </w:r>
      <w:r>
        <w:instrText xml:space="preserve"> PAGEREF _Toc89242346 \h </w:instrText>
      </w:r>
      <w:r>
        <w:fldChar w:fldCharType="separate"/>
      </w:r>
      <w:r>
        <w:t>65</w:t>
      </w:r>
      <w:r>
        <w:fldChar w:fldCharType="end"/>
      </w:r>
    </w:p>
    <w:p>
      <w:pPr>
        <w:pStyle w:val="TOC8"/>
        <w:rPr>
          <w:rFonts w:asciiTheme="minorHAnsi" w:eastAsiaTheme="minorEastAsia" w:hAnsiTheme="minorHAnsi" w:cstheme="minorBidi"/>
          <w:szCs w:val="22"/>
        </w:rPr>
      </w:pPr>
      <w:r>
        <w:t>87.</w:t>
      </w:r>
      <w:r>
        <w:tab/>
        <w:t>Information officially obtained to be confidential</w:t>
      </w:r>
      <w:r>
        <w:tab/>
      </w:r>
      <w:r>
        <w:fldChar w:fldCharType="begin"/>
      </w:r>
      <w:r>
        <w:instrText xml:space="preserve"> PAGEREF _Toc89242347 \h </w:instrText>
      </w:r>
      <w:r>
        <w:fldChar w:fldCharType="separate"/>
      </w:r>
      <w:r>
        <w:t>65</w:t>
      </w:r>
      <w:r>
        <w:fldChar w:fldCharType="end"/>
      </w:r>
    </w:p>
    <w:p>
      <w:pPr>
        <w:pStyle w:val="TOC8"/>
        <w:rPr>
          <w:rFonts w:asciiTheme="minorHAnsi" w:eastAsiaTheme="minorEastAsia" w:hAnsiTheme="minorHAnsi" w:cstheme="minorBidi"/>
          <w:szCs w:val="22"/>
        </w:rPr>
      </w:pPr>
      <w:r>
        <w:t>88.</w:t>
      </w:r>
      <w:r>
        <w:tab/>
        <w:t>Protection from liability for wrongdoing</w:t>
      </w:r>
      <w:r>
        <w:tab/>
      </w:r>
      <w:r>
        <w:fldChar w:fldCharType="begin"/>
      </w:r>
      <w:r>
        <w:instrText xml:space="preserve"> PAGEREF _Toc89242348 \h </w:instrText>
      </w:r>
      <w:r>
        <w:fldChar w:fldCharType="separate"/>
      </w:r>
      <w:r>
        <w:t>66</w:t>
      </w:r>
      <w:r>
        <w:fldChar w:fldCharType="end"/>
      </w:r>
    </w:p>
    <w:p>
      <w:pPr>
        <w:pStyle w:val="TOC8"/>
        <w:rPr>
          <w:rFonts w:asciiTheme="minorHAnsi" w:eastAsiaTheme="minorEastAsia" w:hAnsiTheme="minorHAnsi" w:cstheme="minorBidi"/>
          <w:szCs w:val="22"/>
        </w:rPr>
      </w:pPr>
      <w:r>
        <w:t>89.</w:t>
      </w:r>
      <w:r>
        <w:tab/>
        <w:t>Judicial notice</w:t>
      </w:r>
      <w:r>
        <w:tab/>
      </w:r>
      <w:r>
        <w:fldChar w:fldCharType="begin"/>
      </w:r>
      <w:r>
        <w:instrText xml:space="preserve"> PAGEREF _Toc89242349 \h </w:instrText>
      </w:r>
      <w:r>
        <w:fldChar w:fldCharType="separate"/>
      </w:r>
      <w:r>
        <w:t>66</w:t>
      </w:r>
      <w:r>
        <w:fldChar w:fldCharType="end"/>
      </w:r>
    </w:p>
    <w:p>
      <w:pPr>
        <w:pStyle w:val="TOC8"/>
        <w:rPr>
          <w:rFonts w:asciiTheme="minorHAnsi" w:eastAsiaTheme="minorEastAsia" w:hAnsiTheme="minorHAnsi" w:cstheme="minorBidi"/>
          <w:szCs w:val="22"/>
        </w:rPr>
      </w:pPr>
      <w:r>
        <w:t>90.</w:t>
      </w:r>
      <w:r>
        <w:tab/>
        <w:t>Time for commencement of offence proceedings</w:t>
      </w:r>
      <w:r>
        <w:tab/>
      </w:r>
      <w:r>
        <w:fldChar w:fldCharType="begin"/>
      </w:r>
      <w:r>
        <w:instrText xml:space="preserve"> PAGEREF _Toc89242350 \h </w:instrText>
      </w:r>
      <w:r>
        <w:fldChar w:fldCharType="separate"/>
      </w:r>
      <w:r>
        <w:t>66</w:t>
      </w:r>
      <w:r>
        <w:fldChar w:fldCharType="end"/>
      </w:r>
    </w:p>
    <w:p>
      <w:pPr>
        <w:pStyle w:val="TOC8"/>
        <w:rPr>
          <w:rFonts w:asciiTheme="minorHAnsi" w:eastAsiaTheme="minorEastAsia" w:hAnsiTheme="minorHAnsi" w:cstheme="minorBidi"/>
          <w:szCs w:val="22"/>
        </w:rPr>
      </w:pPr>
      <w:r>
        <w:t>91.</w:t>
      </w:r>
      <w:r>
        <w:tab/>
        <w:t>Service of documents</w:t>
      </w:r>
      <w:r>
        <w:tab/>
      </w:r>
      <w:r>
        <w:fldChar w:fldCharType="begin"/>
      </w:r>
      <w:r>
        <w:instrText xml:space="preserve"> PAGEREF _Toc89242351 \h </w:instrText>
      </w:r>
      <w:r>
        <w:fldChar w:fldCharType="separate"/>
      </w:r>
      <w:r>
        <w:t>67</w:t>
      </w:r>
      <w:r>
        <w:fldChar w:fldCharType="end"/>
      </w:r>
    </w:p>
    <w:p>
      <w:pPr>
        <w:pStyle w:val="TOC8"/>
        <w:rPr>
          <w:rFonts w:asciiTheme="minorHAnsi" w:eastAsiaTheme="minorEastAsia" w:hAnsiTheme="minorHAnsi" w:cstheme="minorBidi"/>
          <w:szCs w:val="22"/>
        </w:rPr>
      </w:pPr>
      <w:r>
        <w:t>92.</w:t>
      </w:r>
      <w:r>
        <w:tab/>
        <w:t>Terms on which ADI holds security bond amounts</w:t>
      </w:r>
      <w:r>
        <w:tab/>
      </w:r>
      <w:r>
        <w:fldChar w:fldCharType="begin"/>
      </w:r>
      <w:r>
        <w:instrText xml:space="preserve"> PAGEREF _Toc89242352 \h </w:instrText>
      </w:r>
      <w:r>
        <w:fldChar w:fldCharType="separate"/>
      </w:r>
      <w:r>
        <w:t>67</w:t>
      </w:r>
      <w:r>
        <w:fldChar w:fldCharType="end"/>
      </w:r>
    </w:p>
    <w:p>
      <w:pPr>
        <w:pStyle w:val="TOC8"/>
        <w:rPr>
          <w:rFonts w:asciiTheme="minorHAnsi" w:eastAsiaTheme="minorEastAsia" w:hAnsiTheme="minorHAnsi" w:cstheme="minorBidi"/>
          <w:szCs w:val="22"/>
        </w:rPr>
      </w:pPr>
      <w:r>
        <w:lastRenderedPageBreak/>
        <w:t>93.</w:t>
      </w:r>
      <w:r>
        <w:tab/>
        <w:t>Information from ADI about tenancy bond accounts</w:t>
      </w:r>
      <w:r>
        <w:tab/>
      </w:r>
      <w:r>
        <w:fldChar w:fldCharType="begin"/>
      </w:r>
      <w:r>
        <w:instrText xml:space="preserve"> PAGEREF _Toc89242353 \h </w:instrText>
      </w:r>
      <w:r>
        <w:fldChar w:fldCharType="separate"/>
      </w:r>
      <w:r>
        <w:t>68</w:t>
      </w:r>
      <w:r>
        <w:fldChar w:fldCharType="end"/>
      </w:r>
    </w:p>
    <w:p>
      <w:pPr>
        <w:pStyle w:val="TOC8"/>
        <w:rPr>
          <w:rFonts w:asciiTheme="minorHAnsi" w:eastAsiaTheme="minorEastAsia" w:hAnsiTheme="minorHAnsi" w:cstheme="minorBidi"/>
          <w:szCs w:val="22"/>
        </w:rPr>
      </w:pPr>
      <w:r>
        <w:t>94.</w:t>
      </w:r>
      <w:r>
        <w:tab/>
        <w:t>Responsibilities of bond administrator</w:t>
      </w:r>
      <w:r>
        <w:tab/>
      </w:r>
      <w:r>
        <w:fldChar w:fldCharType="begin"/>
      </w:r>
      <w:r>
        <w:instrText xml:space="preserve"> PAGEREF _Toc89242354 \h </w:instrText>
      </w:r>
      <w:r>
        <w:fldChar w:fldCharType="separate"/>
      </w:r>
      <w:r>
        <w:t>70</w:t>
      </w:r>
      <w:r>
        <w:fldChar w:fldCharType="end"/>
      </w:r>
    </w:p>
    <w:p>
      <w:pPr>
        <w:pStyle w:val="TOC8"/>
        <w:rPr>
          <w:rFonts w:asciiTheme="minorHAnsi" w:eastAsiaTheme="minorEastAsia" w:hAnsiTheme="minorHAnsi" w:cstheme="minorBidi"/>
          <w:szCs w:val="22"/>
        </w:rPr>
      </w:pPr>
      <w:r>
        <w:t>94A.</w:t>
      </w:r>
      <w:r>
        <w:tab/>
        <w:t>Cross</w:t>
      </w:r>
      <w:r>
        <w:noBreakHyphen/>
        <w:t>examination of persons in proceedings involving family violence</w:t>
      </w:r>
      <w:r>
        <w:tab/>
      </w:r>
      <w:r>
        <w:fldChar w:fldCharType="begin"/>
      </w:r>
      <w:r>
        <w:instrText xml:space="preserve"> PAGEREF _Toc89242355 \h </w:instrText>
      </w:r>
      <w:r>
        <w:fldChar w:fldCharType="separate"/>
      </w:r>
      <w:r>
        <w:t>70</w:t>
      </w:r>
      <w:r>
        <w:fldChar w:fldCharType="end"/>
      </w:r>
    </w:p>
    <w:p>
      <w:pPr>
        <w:pStyle w:val="TOC8"/>
        <w:rPr>
          <w:rFonts w:asciiTheme="minorHAnsi" w:eastAsiaTheme="minorEastAsia" w:hAnsiTheme="minorHAnsi" w:cstheme="minorBidi"/>
          <w:szCs w:val="22"/>
        </w:rPr>
      </w:pPr>
      <w:r>
        <w:t>95.</w:t>
      </w:r>
      <w:r>
        <w:tab/>
        <w:t>Regulations</w:t>
      </w:r>
      <w:r>
        <w:tab/>
      </w:r>
      <w:r>
        <w:fldChar w:fldCharType="begin"/>
      </w:r>
      <w:r>
        <w:instrText xml:space="preserve"> PAGEREF _Toc89242356 \h </w:instrText>
      </w:r>
      <w:r>
        <w:fldChar w:fldCharType="separate"/>
      </w:r>
      <w:r>
        <w:t>70</w:t>
      </w:r>
      <w:r>
        <w:fldChar w:fldCharType="end"/>
      </w:r>
    </w:p>
    <w:p>
      <w:pPr>
        <w:pStyle w:val="TOC8"/>
        <w:rPr>
          <w:rFonts w:asciiTheme="minorHAnsi" w:eastAsiaTheme="minorEastAsia" w:hAnsiTheme="minorHAnsi" w:cstheme="minorBidi"/>
          <w:szCs w:val="22"/>
        </w:rPr>
      </w:pPr>
      <w:r>
        <w:t>96.</w:t>
      </w:r>
      <w:r>
        <w:tab/>
        <w:t>Review of Act</w:t>
      </w:r>
      <w:r>
        <w:tab/>
      </w:r>
      <w:r>
        <w:fldChar w:fldCharType="begin"/>
      </w:r>
      <w:r>
        <w:instrText xml:space="preserve"> PAGEREF _Toc89242357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and savings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 </w:t>
      </w:r>
      <w:r>
        <w:rPr>
          <w:i/>
        </w:rPr>
        <w:t>Residential Parks (Long</w:t>
      </w:r>
      <w:r>
        <w:rPr>
          <w:i/>
        </w:rPr>
        <w:noBreakHyphen/>
        <w:t>stay Tenants) Act 2006</w:t>
      </w:r>
    </w:p>
    <w:p>
      <w:pPr>
        <w:pStyle w:val="TOC8"/>
        <w:rPr>
          <w:rFonts w:asciiTheme="minorHAnsi" w:eastAsiaTheme="minorEastAsia" w:hAnsiTheme="minorHAnsi" w:cstheme="minorBidi"/>
          <w:szCs w:val="22"/>
        </w:rPr>
      </w:pPr>
      <w:r>
        <w:t>97.</w:t>
      </w:r>
      <w:r>
        <w:tab/>
        <w:t>Transitional provisions</w:t>
      </w:r>
      <w:r>
        <w:tab/>
      </w:r>
      <w:r>
        <w:fldChar w:fldCharType="begin"/>
      </w:r>
      <w:r>
        <w:instrText xml:space="preserve"> PAGEREF _Toc89242360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about residential parks — </w:t>
      </w:r>
      <w:r>
        <w:rPr>
          <w:i/>
        </w:rPr>
        <w:t>Residential Parks (Long-stay Tenants) Amendment Act 2020</w:t>
      </w:r>
    </w:p>
    <w:p>
      <w:pPr>
        <w:pStyle w:val="TOC8"/>
        <w:rPr>
          <w:rFonts w:asciiTheme="minorHAnsi" w:eastAsiaTheme="minorEastAsia" w:hAnsiTheme="minorHAnsi" w:cstheme="minorBidi"/>
          <w:szCs w:val="22"/>
        </w:rPr>
      </w:pPr>
      <w:r>
        <w:t>98.</w:t>
      </w:r>
      <w:r>
        <w:tab/>
        <w:t>Places before commencement day taken to be residential parks and lifestyle villages</w:t>
      </w:r>
      <w:r>
        <w:tab/>
      </w:r>
      <w:r>
        <w:fldChar w:fldCharType="begin"/>
      </w:r>
      <w:r>
        <w:instrText xml:space="preserve"> PAGEREF _Toc89242362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1 — Terms of long</w:t>
      </w:r>
      <w:r>
        <w:noBreakHyphen/>
        <w:t>stay agreements</w:t>
      </w:r>
    </w:p>
    <w:p>
      <w:pPr>
        <w:pStyle w:val="TOC4"/>
        <w:tabs>
          <w:tab w:val="right" w:leader="dot" w:pos="7077"/>
        </w:tabs>
        <w:rPr>
          <w:rFonts w:asciiTheme="minorHAnsi" w:eastAsiaTheme="minorEastAsia" w:hAnsiTheme="minorHAnsi" w:cstheme="minorBidi"/>
          <w:b w:val="0"/>
          <w:szCs w:val="22"/>
        </w:rPr>
      </w:pPr>
      <w:r>
        <w:t>Division 1 — Vacant possession and no impediment to occupation</w:t>
      </w:r>
    </w:p>
    <w:p>
      <w:pPr>
        <w:pStyle w:val="TOC8"/>
        <w:rPr>
          <w:rFonts w:asciiTheme="minorHAnsi" w:eastAsiaTheme="minorEastAsia" w:hAnsiTheme="minorHAnsi" w:cstheme="minorBidi"/>
          <w:szCs w:val="22"/>
        </w:rPr>
      </w:pPr>
      <w:r>
        <w:t>1.</w:t>
      </w:r>
      <w:r>
        <w:tab/>
        <w:t>Vacant possession</w:t>
      </w:r>
      <w:r>
        <w:tab/>
      </w:r>
      <w:r>
        <w:fldChar w:fldCharType="begin"/>
      </w:r>
      <w:r>
        <w:instrText xml:space="preserve"> PAGEREF _Toc89242365 \h </w:instrText>
      </w:r>
      <w:r>
        <w:fldChar w:fldCharType="separate"/>
      </w:r>
      <w:r>
        <w:t>76</w:t>
      </w:r>
      <w:r>
        <w:fldChar w:fldCharType="end"/>
      </w:r>
    </w:p>
    <w:p>
      <w:pPr>
        <w:pStyle w:val="TOC8"/>
        <w:rPr>
          <w:rFonts w:asciiTheme="minorHAnsi" w:eastAsiaTheme="minorEastAsia" w:hAnsiTheme="minorHAnsi" w:cstheme="minorBidi"/>
          <w:szCs w:val="22"/>
        </w:rPr>
      </w:pPr>
      <w:r>
        <w:t>2.</w:t>
      </w:r>
      <w:r>
        <w:tab/>
        <w:t>No legal impediment to occupation of tenanted premises</w:t>
      </w:r>
      <w:r>
        <w:tab/>
      </w:r>
      <w:r>
        <w:fldChar w:fldCharType="begin"/>
      </w:r>
      <w:r>
        <w:instrText xml:space="preserve"> PAGEREF _Toc89242366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Variation of rent</w:t>
      </w:r>
    </w:p>
    <w:p>
      <w:pPr>
        <w:pStyle w:val="TOC8"/>
        <w:rPr>
          <w:rFonts w:asciiTheme="minorHAnsi" w:eastAsiaTheme="minorEastAsia" w:hAnsiTheme="minorHAnsi" w:cstheme="minorBidi"/>
          <w:szCs w:val="22"/>
        </w:rPr>
      </w:pPr>
      <w:r>
        <w:t>3.</w:t>
      </w:r>
      <w:r>
        <w:tab/>
        <w:t>Provision for rent variation — on</w:t>
      </w:r>
      <w:r>
        <w:noBreakHyphen/>
        <w:t>site home agreement</w:t>
      </w:r>
      <w:r>
        <w:tab/>
      </w:r>
      <w:r>
        <w:fldChar w:fldCharType="begin"/>
      </w:r>
      <w:r>
        <w:instrText xml:space="preserve"> PAGEREF _Toc89242368 \h </w:instrText>
      </w:r>
      <w:r>
        <w:fldChar w:fldCharType="separate"/>
      </w:r>
      <w:r>
        <w:t>76</w:t>
      </w:r>
      <w:r>
        <w:fldChar w:fldCharType="end"/>
      </w:r>
    </w:p>
    <w:p>
      <w:pPr>
        <w:pStyle w:val="TOC8"/>
        <w:rPr>
          <w:rFonts w:asciiTheme="minorHAnsi" w:eastAsiaTheme="minorEastAsia" w:hAnsiTheme="minorHAnsi" w:cstheme="minorBidi"/>
          <w:szCs w:val="22"/>
        </w:rPr>
      </w:pPr>
      <w:r>
        <w:t>4.</w:t>
      </w:r>
      <w:r>
        <w:tab/>
        <w:t>Provision for rent variation — site</w:t>
      </w:r>
      <w:r>
        <w:noBreakHyphen/>
        <w:t>only agreements</w:t>
      </w:r>
      <w:r>
        <w:tab/>
      </w:r>
      <w:r>
        <w:fldChar w:fldCharType="begin"/>
      </w:r>
      <w:r>
        <w:instrText xml:space="preserve"> PAGEREF _Toc89242369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 — Cleanliness, damage and repair</w:t>
      </w:r>
    </w:p>
    <w:p>
      <w:pPr>
        <w:pStyle w:val="TOC8"/>
        <w:rPr>
          <w:rFonts w:asciiTheme="minorHAnsi" w:eastAsiaTheme="minorEastAsia" w:hAnsiTheme="minorHAnsi" w:cstheme="minorBidi"/>
          <w:szCs w:val="22"/>
        </w:rPr>
      </w:pPr>
      <w:r>
        <w:t>5.</w:t>
      </w:r>
      <w:r>
        <w:tab/>
        <w:t>Responsibility for cleanliness</w:t>
      </w:r>
      <w:r>
        <w:tab/>
      </w:r>
      <w:r>
        <w:fldChar w:fldCharType="begin"/>
      </w:r>
      <w:r>
        <w:instrText xml:space="preserve"> PAGEREF _Toc89242371 \h </w:instrText>
      </w:r>
      <w:r>
        <w:fldChar w:fldCharType="separate"/>
      </w:r>
      <w:r>
        <w:t>77</w:t>
      </w:r>
      <w:r>
        <w:fldChar w:fldCharType="end"/>
      </w:r>
    </w:p>
    <w:p>
      <w:pPr>
        <w:pStyle w:val="TOC8"/>
        <w:rPr>
          <w:rFonts w:asciiTheme="minorHAnsi" w:eastAsiaTheme="minorEastAsia" w:hAnsiTheme="minorHAnsi" w:cstheme="minorBidi"/>
          <w:szCs w:val="22"/>
        </w:rPr>
      </w:pPr>
      <w:r>
        <w:t>6.</w:t>
      </w:r>
      <w:r>
        <w:tab/>
        <w:t>Responsibility for damage</w:t>
      </w:r>
      <w:r>
        <w:tab/>
      </w:r>
      <w:r>
        <w:fldChar w:fldCharType="begin"/>
      </w:r>
      <w:r>
        <w:instrText xml:space="preserve"> PAGEREF _Toc89242372 \h </w:instrText>
      </w:r>
      <w:r>
        <w:fldChar w:fldCharType="separate"/>
      </w:r>
      <w:r>
        <w:t>77</w:t>
      </w:r>
      <w:r>
        <w:fldChar w:fldCharType="end"/>
      </w:r>
    </w:p>
    <w:p>
      <w:pPr>
        <w:pStyle w:val="TOC8"/>
        <w:rPr>
          <w:rFonts w:asciiTheme="minorHAnsi" w:eastAsiaTheme="minorEastAsia" w:hAnsiTheme="minorHAnsi" w:cstheme="minorBidi"/>
          <w:szCs w:val="22"/>
        </w:rPr>
      </w:pPr>
      <w:r>
        <w:t>7.</w:t>
      </w:r>
      <w:r>
        <w:tab/>
        <w:t>Park operator’s responsibility for cleanliness and repairs</w:t>
      </w:r>
      <w:r>
        <w:tab/>
      </w:r>
      <w:r>
        <w:fldChar w:fldCharType="begin"/>
      </w:r>
      <w:r>
        <w:instrText xml:space="preserve"> PAGEREF _Toc89242373 \h </w:instrText>
      </w:r>
      <w:r>
        <w:fldChar w:fldCharType="separate"/>
      </w:r>
      <w:r>
        <w:t>78</w:t>
      </w:r>
      <w:r>
        <w:fldChar w:fldCharType="end"/>
      </w:r>
    </w:p>
    <w:p>
      <w:pPr>
        <w:pStyle w:val="TOC8"/>
        <w:rPr>
          <w:rFonts w:asciiTheme="minorHAnsi" w:eastAsiaTheme="minorEastAsia" w:hAnsiTheme="minorHAnsi" w:cstheme="minorBidi"/>
          <w:szCs w:val="22"/>
        </w:rPr>
      </w:pPr>
      <w:r>
        <w:t>8.</w:t>
      </w:r>
      <w:r>
        <w:tab/>
        <w:t>Compensation where tenant sees to repairs</w:t>
      </w:r>
      <w:r>
        <w:tab/>
      </w:r>
      <w:r>
        <w:fldChar w:fldCharType="begin"/>
      </w:r>
      <w:r>
        <w:instrText xml:space="preserve"> PAGEREF _Toc89242374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Children</w:t>
      </w:r>
    </w:p>
    <w:p>
      <w:pPr>
        <w:pStyle w:val="TOC8"/>
        <w:rPr>
          <w:rFonts w:asciiTheme="minorHAnsi" w:eastAsiaTheme="minorEastAsia" w:hAnsiTheme="minorHAnsi" w:cstheme="minorBidi"/>
          <w:szCs w:val="22"/>
        </w:rPr>
      </w:pPr>
      <w:r>
        <w:t>9.</w:t>
      </w:r>
      <w:r>
        <w:tab/>
        <w:t>Permitting children to live on agreed premises</w:t>
      </w:r>
      <w:r>
        <w:tab/>
      </w:r>
      <w:r>
        <w:fldChar w:fldCharType="begin"/>
      </w:r>
      <w:r>
        <w:instrText xml:space="preserve"> PAGEREF _Toc89242376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5 — Other terms</w:t>
      </w:r>
    </w:p>
    <w:p>
      <w:pPr>
        <w:pStyle w:val="TOC8"/>
        <w:rPr>
          <w:rFonts w:asciiTheme="minorHAnsi" w:eastAsiaTheme="minorEastAsia" w:hAnsiTheme="minorHAnsi" w:cstheme="minorBidi"/>
          <w:szCs w:val="22"/>
        </w:rPr>
      </w:pPr>
      <w:r>
        <w:t>10.</w:t>
      </w:r>
      <w:r>
        <w:tab/>
        <w:t>Tenant’s conduct on premises</w:t>
      </w:r>
      <w:r>
        <w:tab/>
      </w:r>
      <w:r>
        <w:fldChar w:fldCharType="begin"/>
      </w:r>
      <w:r>
        <w:instrText xml:space="preserve"> PAGEREF _Toc89242378 \h </w:instrText>
      </w:r>
      <w:r>
        <w:fldChar w:fldCharType="separate"/>
      </w:r>
      <w:r>
        <w:t>79</w:t>
      </w:r>
      <w:r>
        <w:fldChar w:fldCharType="end"/>
      </w:r>
    </w:p>
    <w:p>
      <w:pPr>
        <w:pStyle w:val="TOC8"/>
        <w:rPr>
          <w:rFonts w:asciiTheme="minorHAnsi" w:eastAsiaTheme="minorEastAsia" w:hAnsiTheme="minorHAnsi" w:cstheme="minorBidi"/>
          <w:szCs w:val="22"/>
        </w:rPr>
      </w:pPr>
      <w:r>
        <w:t>11.</w:t>
      </w:r>
      <w:r>
        <w:tab/>
        <w:t>Quiet enjoyment</w:t>
      </w:r>
      <w:r>
        <w:tab/>
      </w:r>
      <w:r>
        <w:fldChar w:fldCharType="begin"/>
      </w:r>
      <w:r>
        <w:instrText xml:space="preserve"> PAGEREF _Toc89242379 \h </w:instrText>
      </w:r>
      <w:r>
        <w:fldChar w:fldCharType="separate"/>
      </w:r>
      <w:r>
        <w:t>80</w:t>
      </w:r>
      <w:r>
        <w:fldChar w:fldCharType="end"/>
      </w:r>
    </w:p>
    <w:p>
      <w:pPr>
        <w:pStyle w:val="TOC8"/>
        <w:rPr>
          <w:rFonts w:asciiTheme="minorHAnsi" w:eastAsiaTheme="minorEastAsia" w:hAnsiTheme="minorHAnsi" w:cstheme="minorBidi"/>
          <w:szCs w:val="22"/>
        </w:rPr>
      </w:pPr>
      <w:r>
        <w:t>12.</w:t>
      </w:r>
      <w:r>
        <w:tab/>
        <w:t>Locks</w:t>
      </w:r>
      <w:r>
        <w:tab/>
      </w:r>
      <w:r>
        <w:fldChar w:fldCharType="begin"/>
      </w:r>
      <w:r>
        <w:instrText xml:space="preserve"> PAGEREF _Toc89242380 \h </w:instrText>
      </w:r>
      <w:r>
        <w:fldChar w:fldCharType="separate"/>
      </w:r>
      <w:r>
        <w:t>80</w:t>
      </w:r>
      <w:r>
        <w:fldChar w:fldCharType="end"/>
      </w:r>
    </w:p>
    <w:p>
      <w:pPr>
        <w:pStyle w:val="TOC8"/>
        <w:rPr>
          <w:rFonts w:asciiTheme="minorHAnsi" w:eastAsiaTheme="minorEastAsia" w:hAnsiTheme="minorHAnsi" w:cstheme="minorBidi"/>
          <w:szCs w:val="22"/>
        </w:rPr>
      </w:pPr>
      <w:r>
        <w:t>13.</w:t>
      </w:r>
      <w:r>
        <w:tab/>
        <w:t>Park operator’s right of entry</w:t>
      </w:r>
      <w:r>
        <w:tab/>
      </w:r>
      <w:r>
        <w:fldChar w:fldCharType="begin"/>
      </w:r>
      <w:r>
        <w:instrText xml:space="preserve"> PAGEREF _Toc89242381 \h </w:instrText>
      </w:r>
      <w:r>
        <w:fldChar w:fldCharType="separate"/>
      </w:r>
      <w:r>
        <w:t>82</w:t>
      </w:r>
      <w:r>
        <w:fldChar w:fldCharType="end"/>
      </w:r>
    </w:p>
    <w:p>
      <w:pPr>
        <w:pStyle w:val="TOC8"/>
        <w:rPr>
          <w:rFonts w:asciiTheme="minorHAnsi" w:eastAsiaTheme="minorEastAsia" w:hAnsiTheme="minorHAnsi" w:cstheme="minorBidi"/>
          <w:szCs w:val="22"/>
        </w:rPr>
      </w:pPr>
      <w:r>
        <w:t>14.</w:t>
      </w:r>
      <w:r>
        <w:tab/>
        <w:t>Tenant’s right to remove fixtures or alter premises</w:t>
      </w:r>
      <w:r>
        <w:tab/>
      </w:r>
      <w:r>
        <w:fldChar w:fldCharType="begin"/>
      </w:r>
      <w:r>
        <w:instrText xml:space="preserve"> PAGEREF _Toc89242382 \h </w:instrText>
      </w:r>
      <w:r>
        <w:fldChar w:fldCharType="separate"/>
      </w:r>
      <w:r>
        <w:t>84</w:t>
      </w:r>
      <w:r>
        <w:fldChar w:fldCharType="end"/>
      </w:r>
    </w:p>
    <w:p>
      <w:pPr>
        <w:pStyle w:val="TOC8"/>
        <w:rPr>
          <w:rFonts w:asciiTheme="minorHAnsi" w:eastAsiaTheme="minorEastAsia" w:hAnsiTheme="minorHAnsi" w:cstheme="minorBidi"/>
          <w:szCs w:val="22"/>
        </w:rPr>
      </w:pPr>
      <w:r>
        <w:t>15.</w:t>
      </w:r>
      <w:r>
        <w:tab/>
        <w:t>Rates, taxes and charges paid by park operator</w:t>
      </w:r>
      <w:r>
        <w:tab/>
      </w:r>
      <w:r>
        <w:fldChar w:fldCharType="begin"/>
      </w:r>
      <w:r>
        <w:instrText xml:space="preserve"> PAGEREF _Toc89242383 \h </w:instrText>
      </w:r>
      <w:r>
        <w:fldChar w:fldCharType="separate"/>
      </w:r>
      <w:r>
        <w:t>86</w:t>
      </w:r>
      <w:r>
        <w:fldChar w:fldCharType="end"/>
      </w:r>
    </w:p>
    <w:p>
      <w:pPr>
        <w:pStyle w:val="TOC8"/>
        <w:rPr>
          <w:rFonts w:asciiTheme="minorHAnsi" w:eastAsiaTheme="minorEastAsia" w:hAnsiTheme="minorHAnsi" w:cstheme="minorBidi"/>
          <w:szCs w:val="22"/>
        </w:rPr>
      </w:pPr>
      <w:r>
        <w:t>16.</w:t>
      </w:r>
      <w:r>
        <w:tab/>
        <w:t>Provision for assigning or sub</w:t>
      </w:r>
      <w:r>
        <w:noBreakHyphen/>
        <w:t>letting the premises</w:t>
      </w:r>
      <w:r>
        <w:tab/>
      </w:r>
      <w:r>
        <w:fldChar w:fldCharType="begin"/>
      </w:r>
      <w:r>
        <w:instrText xml:space="preserve"> PAGEREF _Toc89242384 \h </w:instrText>
      </w:r>
      <w:r>
        <w:fldChar w:fldCharType="separate"/>
      </w:r>
      <w:r>
        <w:t>86</w:t>
      </w:r>
      <w:r>
        <w:fldChar w:fldCharType="end"/>
      </w:r>
    </w:p>
    <w:p>
      <w:pPr>
        <w:pStyle w:val="TOC8"/>
        <w:rPr>
          <w:rFonts w:asciiTheme="minorHAnsi" w:eastAsiaTheme="minorEastAsia" w:hAnsiTheme="minorHAnsi" w:cstheme="minorBidi"/>
          <w:szCs w:val="22"/>
        </w:rPr>
      </w:pPr>
      <w:r>
        <w:t>17.</w:t>
      </w:r>
      <w:r>
        <w:tab/>
        <w:t>Tenant’s vicarious responsibility for breach of agreement</w:t>
      </w:r>
      <w:r>
        <w:tab/>
      </w:r>
      <w:r>
        <w:fldChar w:fldCharType="begin"/>
      </w:r>
      <w:r>
        <w:instrText xml:space="preserve"> PAGEREF _Toc89242385 \h </w:instrText>
      </w:r>
      <w:r>
        <w:fldChar w:fldCharType="separate"/>
      </w:r>
      <w:r>
        <w:t>87</w:t>
      </w:r>
      <w:r>
        <w:fldChar w:fldCharType="end"/>
      </w:r>
    </w:p>
    <w:p>
      <w:pPr>
        <w:pStyle w:val="TOC8"/>
        <w:rPr>
          <w:rFonts w:asciiTheme="minorHAnsi" w:eastAsiaTheme="minorEastAsia" w:hAnsiTheme="minorHAnsi" w:cstheme="minorBidi"/>
          <w:szCs w:val="22"/>
        </w:rPr>
      </w:pPr>
      <w:r>
        <w:t>18.</w:t>
      </w:r>
      <w:r>
        <w:tab/>
        <w:t>Accelerated rent and liquidated damages prohibited</w:t>
      </w:r>
      <w:r>
        <w:tab/>
      </w:r>
      <w:r>
        <w:fldChar w:fldCharType="begin"/>
      </w:r>
      <w:r>
        <w:instrText xml:space="preserve"> PAGEREF _Toc89242386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_Toc89242388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_Toc89242390 \h </w:instrText>
      </w:r>
      <w:r>
        <w:fldChar w:fldCharType="separate"/>
      </w:r>
      <w:r>
        <w:t>93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_Toc89242391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40" w:after="840"/>
      </w:pPr>
      <w:r>
        <w:t>Residential Parks (Long-stay Tenants) Act 2006</w:t>
      </w:r>
    </w:p>
    <w:p>
      <w:pPr>
        <w:pStyle w:val="LongTitle"/>
        <w:suppressLineNumbers/>
        <w:spacing w:before="480" w:after="120"/>
        <w:rPr>
          <w:snapToGrid w:val="0"/>
        </w:rPr>
      </w:pPr>
      <w:bookmarkStart w:id="3" w:name="BillCited"/>
      <w:bookmarkEnd w:id="3"/>
      <w:r>
        <w:rPr>
          <w:snapToGrid w:val="0"/>
        </w:rPr>
        <w:t>An Act to regulate the relationship between the operators of residential parks and tenants who live in such parks for extended periods, to consequentially amend certain other Acts, and for related purposes.</w:t>
      </w:r>
    </w:p>
    <w:p>
      <w:pPr>
        <w:pStyle w:val="Heading2"/>
        <w:spacing w:before="240"/>
      </w:pPr>
      <w:bookmarkStart w:id="4" w:name="_Toc89182100"/>
      <w:bookmarkStart w:id="5" w:name="_Toc89242226"/>
      <w:r>
        <w:rPr>
          <w:rStyle w:val="CharPartNo"/>
        </w:rPr>
        <w:lastRenderedPageBreak/>
        <w:t>Part 1</w:t>
      </w:r>
      <w:r>
        <w:rPr>
          <w:rStyle w:val="CharDivNo"/>
        </w:rPr>
        <w:t> </w:t>
      </w:r>
      <w:r>
        <w:t>—</w:t>
      </w:r>
      <w:r>
        <w:rPr>
          <w:rStyle w:val="CharDivText"/>
        </w:rPr>
        <w:t> </w:t>
      </w:r>
      <w:r>
        <w:rPr>
          <w:rStyle w:val="CharPartText"/>
        </w:rPr>
        <w:t>Preliminary matters</w:t>
      </w:r>
      <w:bookmarkEnd w:id="4"/>
      <w:bookmarkEnd w:id="5"/>
    </w:p>
    <w:p>
      <w:pPr>
        <w:pStyle w:val="Heading5"/>
        <w:rPr>
          <w:snapToGrid w:val="0"/>
        </w:rPr>
      </w:pPr>
      <w:bookmarkStart w:id="6" w:name="_Toc89242227"/>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7" w:name="_Toc89242228"/>
      <w:r>
        <w:rPr>
          <w:rStyle w:val="CharSectno"/>
        </w:rPr>
        <w:t>2</w:t>
      </w:r>
      <w:r>
        <w:t>.</w:t>
      </w:r>
      <w:r>
        <w:tab/>
        <w:t>Commencement</w:t>
      </w:r>
      <w:bookmarkEnd w:id="7"/>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Heading5"/>
        <w:spacing w:before="120"/>
      </w:pPr>
      <w:bookmarkStart w:id="8" w:name="_Toc89242229"/>
      <w:r>
        <w:rPr>
          <w:rStyle w:val="CharSectno"/>
        </w:rPr>
        <w:t>3</w:t>
      </w:r>
      <w:r>
        <w:t>.</w:t>
      </w:r>
      <w:r>
        <w:tab/>
        <w:t>Glossary of terms used</w:t>
      </w:r>
      <w:bookmarkEnd w:id="8"/>
    </w:p>
    <w:p>
      <w:pPr>
        <w:pStyle w:val="Subsection"/>
      </w:pPr>
      <w:r>
        <w:tab/>
      </w:r>
      <w:r>
        <w:tab/>
        <w:t>The Glossary at the end of this Act defines or affects the meaning of some of the words and expressions used in this Act.</w:t>
      </w:r>
    </w:p>
    <w:p>
      <w:pPr>
        <w:pStyle w:val="Heading5"/>
        <w:rPr>
          <w:rStyle w:val="CharSectno"/>
        </w:rPr>
      </w:pPr>
      <w:bookmarkStart w:id="9" w:name="_Toc89242230"/>
      <w:r>
        <w:rPr>
          <w:rStyle w:val="CharSectno"/>
        </w:rPr>
        <w:t>4</w:t>
      </w:r>
      <w:r>
        <w:t>.</w:t>
      </w:r>
      <w:r>
        <w:tab/>
      </w:r>
      <w:r>
        <w:rPr>
          <w:rStyle w:val="CharSectno"/>
        </w:rPr>
        <w:t>Crown bound</w:t>
      </w:r>
      <w:bookmarkEnd w:id="9"/>
    </w:p>
    <w:p>
      <w:pPr>
        <w:pStyle w:val="Subsection"/>
        <w:rPr>
          <w:rStyle w:val="CharSectno"/>
        </w:rPr>
      </w:pPr>
      <w:r>
        <w:rPr>
          <w:rStyle w:val="CharSectno"/>
        </w:rPr>
        <w:tab/>
      </w:r>
      <w:r>
        <w:rPr>
          <w:rStyle w:val="CharSectno"/>
        </w:rPr>
        <w:tab/>
        <w:t>This Act binds the Crown.</w:t>
      </w:r>
    </w:p>
    <w:p>
      <w:pPr>
        <w:pStyle w:val="Heading5"/>
      </w:pPr>
      <w:bookmarkStart w:id="10" w:name="_Toc89242231"/>
      <w:r>
        <w:rPr>
          <w:rStyle w:val="CharSectno"/>
        </w:rPr>
        <w:t>5</w:t>
      </w:r>
      <w:r>
        <w:t>.</w:t>
      </w:r>
      <w:r>
        <w:tab/>
        <w:t>Term used: long</w:t>
      </w:r>
      <w:r>
        <w:noBreakHyphen/>
        <w:t>stay agreement</w:t>
      </w:r>
      <w:bookmarkEnd w:id="10"/>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tab/>
        <w:t>(2)</w:t>
      </w:r>
      <w:r>
        <w:tab/>
        <w:t xml:space="preserve">For the purposes of subsection (1), a residential park tenancy agreement conferring a right to occupy a site or other park </w:t>
      </w:r>
      <w:r>
        <w:lastRenderedPageBreak/>
        <w:t>premises for a fixed term of 3 months or longer is taken, in the absence of proof to the contrary, not to have been entered into for the purpose of conferring a right to occupy the site or premises for a holiday.</w:t>
      </w:r>
    </w:p>
    <w:p>
      <w:pPr>
        <w:pStyle w:val="Heading5"/>
      </w:pPr>
      <w:bookmarkStart w:id="11" w:name="_Toc89242232"/>
      <w:r>
        <w:rPr>
          <w:rStyle w:val="CharSectno"/>
        </w:rPr>
        <w:t>5B</w:t>
      </w:r>
      <w:r>
        <w:t>.</w:t>
      </w:r>
      <w:r>
        <w:tab/>
        <w:t>Residential parks</w:t>
      </w:r>
      <w:bookmarkEnd w:id="11"/>
    </w:p>
    <w:p>
      <w:pPr>
        <w:pStyle w:val="Subsection"/>
      </w:pPr>
      <w:r>
        <w:tab/>
        <w:t>(1)</w:t>
      </w:r>
      <w:r>
        <w:tab/>
        <w:t xml:space="preserve">A </w:t>
      </w:r>
      <w:r>
        <w:rPr>
          <w:b/>
          <w:i/>
        </w:rPr>
        <w:t>residential park</w:t>
      </w:r>
      <w:r>
        <w:t xml:space="preserve"> is a place, including a caravan park, where there are — </w:t>
      </w:r>
    </w:p>
    <w:p>
      <w:pPr>
        <w:pStyle w:val="Indenta"/>
      </w:pPr>
      <w:r>
        <w:tab/>
        <w:t>(a)</w:t>
      </w:r>
      <w:r>
        <w:tab/>
        <w:t>sites on which relocatable homes may be parked, assembled or erected in accordance with a tenancy; and</w:t>
      </w:r>
    </w:p>
    <w:p>
      <w:pPr>
        <w:pStyle w:val="Indenta"/>
      </w:pPr>
      <w:r>
        <w:tab/>
        <w:t>(b)</w:t>
      </w:r>
      <w:r>
        <w:tab/>
        <w:t>shared premises for the use of long-stay tenants in accordance with a tenancy.</w:t>
      </w:r>
    </w:p>
    <w:p>
      <w:pPr>
        <w:pStyle w:val="Subsection"/>
      </w:pPr>
      <w:r>
        <w:tab/>
        <w:t>(2)</w:t>
      </w:r>
      <w:r>
        <w:tab/>
        <w:t xml:space="preserve">However, a </w:t>
      </w:r>
      <w:r>
        <w:rPr>
          <w:b/>
          <w:i/>
        </w:rPr>
        <w:t>residential park</w:t>
      </w:r>
      <w:r>
        <w:t xml:space="preserve"> is not one of the following — </w:t>
      </w:r>
    </w:p>
    <w:p>
      <w:pPr>
        <w:pStyle w:val="Indenta"/>
      </w:pPr>
      <w:r>
        <w:tab/>
        <w:t>(a)</w:t>
      </w:r>
      <w:r>
        <w:tab/>
        <w:t xml:space="preserve">a place established as a retirement village under the </w:t>
      </w:r>
      <w:r>
        <w:rPr>
          <w:i/>
        </w:rPr>
        <w:t>Retirement Villages Act 1992</w:t>
      </w:r>
      <w:r>
        <w:t>;</w:t>
      </w:r>
    </w:p>
    <w:p>
      <w:pPr>
        <w:pStyle w:val="Indenta"/>
      </w:pPr>
      <w:r>
        <w:tab/>
        <w:t>(b)</w:t>
      </w:r>
      <w:r>
        <w:tab/>
        <w:t>a prescribed place or class of place.</w:t>
      </w:r>
    </w:p>
    <w:p>
      <w:pPr>
        <w:pStyle w:val="Subsection"/>
      </w:pPr>
      <w:r>
        <w:tab/>
        <w:t>(3)</w:t>
      </w:r>
      <w:r>
        <w:tab/>
        <w:t xml:space="preserve">A place or class of place cannot be prescribed under subsection (2)(b) unless the Minister is satisfied that — </w:t>
      </w:r>
    </w:p>
    <w:p>
      <w:pPr>
        <w:pStyle w:val="Indenta"/>
      </w:pPr>
      <w:r>
        <w:tab/>
        <w:t>(a)</w:t>
      </w:r>
      <w:r>
        <w:tab/>
        <w:t>the place or class of place to be prescribed is sufficiently regulated by another Act; or</w:t>
      </w:r>
    </w:p>
    <w:p>
      <w:pPr>
        <w:pStyle w:val="Indenta"/>
      </w:pPr>
      <w:r>
        <w:tab/>
        <w:t>(b)</w:t>
      </w:r>
      <w:r>
        <w:tab/>
        <w:t>it is not appropriate for the Act to regulate the accommodation provided by the place or class of place.</w:t>
      </w:r>
    </w:p>
    <w:p>
      <w:pPr>
        <w:pStyle w:val="Footnotesection"/>
      </w:pPr>
      <w:r>
        <w:tab/>
        <w:t>[Section 5B inserted: No. 28 of 2020 s. 6.]</w:t>
      </w:r>
    </w:p>
    <w:p>
      <w:pPr>
        <w:pStyle w:val="Heading5"/>
      </w:pPr>
      <w:bookmarkStart w:id="12" w:name="_Toc89242233"/>
      <w:r>
        <w:rPr>
          <w:rStyle w:val="CharSectno"/>
        </w:rPr>
        <w:t>6</w:t>
      </w:r>
      <w:r>
        <w:t>.</w:t>
      </w:r>
      <w:r>
        <w:tab/>
        <w:t>Application of Act to long</w:t>
      </w:r>
      <w:r>
        <w:noBreakHyphen/>
        <w:t>stay agreements</w:t>
      </w:r>
      <w:bookmarkEnd w:id="12"/>
    </w:p>
    <w:p>
      <w:pPr>
        <w:pStyle w:val="Subsection"/>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lastRenderedPageBreak/>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13" w:name="_Toc89242234"/>
      <w:r>
        <w:rPr>
          <w:rStyle w:val="CharSectno"/>
        </w:rPr>
        <w:t>7</w:t>
      </w:r>
      <w:r>
        <w:t>.</w:t>
      </w:r>
      <w:r>
        <w:tab/>
        <w:t>Application of Act to periodic long</w:t>
      </w:r>
      <w:r>
        <w:noBreakHyphen/>
        <w:t>stay agreements</w:t>
      </w:r>
      <w:bookmarkEnd w:id="13"/>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lastRenderedPageBreak/>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for this subsection: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Footnotesection"/>
      </w:pPr>
      <w:r>
        <w:tab/>
        <w:t>[Section 7 amended: No. 3 of 2019 s. 39.]</w:t>
      </w:r>
    </w:p>
    <w:p>
      <w:pPr>
        <w:pStyle w:val="Heading5"/>
      </w:pPr>
      <w:bookmarkStart w:id="14" w:name="_Toc89242235"/>
      <w:r>
        <w:rPr>
          <w:rStyle w:val="CharSectno"/>
        </w:rPr>
        <w:t>8</w:t>
      </w:r>
      <w:r>
        <w:t>.</w:t>
      </w:r>
      <w:r>
        <w:tab/>
        <w:t>Operation of this Act in relation to other written laws</w:t>
      </w:r>
      <w:bookmarkEnd w:id="14"/>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lastRenderedPageBreak/>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15" w:name="_Toc89242236"/>
      <w:r>
        <w:rPr>
          <w:rStyle w:val="CharSectno"/>
        </w:rPr>
        <w:t>9</w:t>
      </w:r>
      <w:r>
        <w:t>.</w:t>
      </w:r>
      <w:r>
        <w:tab/>
        <w:t>Contracting out</w:t>
      </w:r>
      <w:bookmarkEnd w:id="15"/>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keepNext/>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for this subsection: a fine of $10 000.</w:t>
      </w:r>
    </w:p>
    <w:p>
      <w:pPr>
        <w:pStyle w:val="Footnotesection"/>
      </w:pPr>
      <w:r>
        <w:tab/>
        <w:t>[Section 9 amended: No. 3 of 2019 s. 39.]</w:t>
      </w:r>
    </w:p>
    <w:p>
      <w:pPr>
        <w:pStyle w:val="Heading2"/>
        <w:spacing w:before="240"/>
      </w:pPr>
      <w:bookmarkStart w:id="16" w:name="_Toc89182111"/>
      <w:bookmarkStart w:id="17" w:name="_Toc89242237"/>
      <w:r>
        <w:rPr>
          <w:rStyle w:val="CharPartNo"/>
        </w:rPr>
        <w:lastRenderedPageBreak/>
        <w:t>Part 2</w:t>
      </w:r>
      <w:r>
        <w:t> — </w:t>
      </w:r>
      <w:r>
        <w:rPr>
          <w:rStyle w:val="CharPartText"/>
        </w:rPr>
        <w:t>Long</w:t>
      </w:r>
      <w:r>
        <w:rPr>
          <w:rStyle w:val="CharPartText"/>
        </w:rPr>
        <w:noBreakHyphen/>
        <w:t>stay agreement</w:t>
      </w:r>
      <w:bookmarkEnd w:id="16"/>
      <w:bookmarkEnd w:id="17"/>
    </w:p>
    <w:p>
      <w:pPr>
        <w:pStyle w:val="Heading3"/>
      </w:pPr>
      <w:bookmarkStart w:id="18" w:name="_Toc89182112"/>
      <w:bookmarkStart w:id="19" w:name="_Toc89242238"/>
      <w:r>
        <w:rPr>
          <w:rStyle w:val="CharDivNo"/>
        </w:rPr>
        <w:t>Division 1</w:t>
      </w:r>
      <w:r>
        <w:t> — </w:t>
      </w:r>
      <w:r>
        <w:rPr>
          <w:rStyle w:val="CharDivText"/>
        </w:rPr>
        <w:t>General matters</w:t>
      </w:r>
      <w:bookmarkEnd w:id="18"/>
      <w:bookmarkEnd w:id="19"/>
    </w:p>
    <w:p>
      <w:pPr>
        <w:pStyle w:val="Heading5"/>
      </w:pPr>
      <w:bookmarkStart w:id="20" w:name="_Toc89242239"/>
      <w:r>
        <w:rPr>
          <w:rStyle w:val="CharSectno"/>
        </w:rPr>
        <w:t>10</w:t>
      </w:r>
      <w:r>
        <w:t>.</w:t>
      </w:r>
      <w:r>
        <w:tab/>
        <w:t>Form of long</w:t>
      </w:r>
      <w:r>
        <w:noBreakHyphen/>
        <w:t>stay agreements</w:t>
      </w:r>
      <w:bookmarkEnd w:id="20"/>
    </w:p>
    <w:p>
      <w:pPr>
        <w:pStyle w:val="Subsection"/>
      </w:pPr>
      <w:r>
        <w:tab/>
      </w:r>
      <w:r>
        <w:tab/>
        <w:t>A long</w:t>
      </w:r>
      <w:r>
        <w:noBreakHyphen/>
        <w:t xml:space="preserve">stay agreement must — </w:t>
      </w:r>
    </w:p>
    <w:p>
      <w:pPr>
        <w:pStyle w:val="Indenta"/>
      </w:pPr>
      <w:r>
        <w:tab/>
        <w:t>(a)</w:t>
      </w:r>
      <w:r>
        <w:tab/>
        <w:t>be in writing; and</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21" w:name="_Toc89242240"/>
      <w:r>
        <w:rPr>
          <w:rStyle w:val="CharSectno"/>
        </w:rPr>
        <w:t>11</w:t>
      </w:r>
      <w:r>
        <w:t>.</w:t>
      </w:r>
      <w:r>
        <w:tab/>
        <w:t>Information for prospective long</w:t>
      </w:r>
      <w:r>
        <w:noBreakHyphen/>
        <w:t>stay tenants</w:t>
      </w:r>
      <w:bookmarkEnd w:id="21"/>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pPr>
      <w:r>
        <w:tab/>
        <w:t>(g)</w:t>
      </w:r>
      <w:r>
        <w:tab/>
        <w:t>a copy of the prescribed information sheet completed by the park operator in accordance with the regulations;</w:t>
      </w:r>
    </w:p>
    <w:p>
      <w:pPr>
        <w:pStyle w:val="Indenta"/>
      </w:pPr>
      <w:r>
        <w:lastRenderedPageBreak/>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for this subsection: a fine of $5 000.</w:t>
      </w:r>
    </w:p>
    <w:p>
      <w:pPr>
        <w:pStyle w:val="Footnotesection"/>
      </w:pPr>
      <w:r>
        <w:tab/>
        <w:t>[Section 11 amended: No. 3 of 2019 s. 39.]</w:t>
      </w:r>
    </w:p>
    <w:p>
      <w:pPr>
        <w:pStyle w:val="Heading5"/>
      </w:pPr>
      <w:bookmarkStart w:id="22" w:name="_Toc89242241"/>
      <w:r>
        <w:rPr>
          <w:rStyle w:val="CharSectno"/>
        </w:rPr>
        <w:t>12</w:t>
      </w:r>
      <w:r>
        <w:t>.</w:t>
      </w:r>
      <w:r>
        <w:tab/>
        <w:t>Restrictions on charges payable by long</w:t>
      </w:r>
      <w:r>
        <w:noBreakHyphen/>
        <w:t>stay tenants</w:t>
      </w:r>
      <w:bookmarkEnd w:id="22"/>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for this subsection: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 or</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 xml:space="preserve">stay agreement must not require or receive from a </w:t>
      </w:r>
      <w:r>
        <w:lastRenderedPageBreak/>
        <w:t>long</w:t>
      </w:r>
      <w:r>
        <w:noBreakHyphen/>
        <w:t>stay tenant, or prospective long</w:t>
      </w:r>
      <w:r>
        <w:noBreakHyphen/>
        <w:t>stay tenant, any fee, charge or reward for those services.</w:t>
      </w:r>
    </w:p>
    <w:p>
      <w:pPr>
        <w:pStyle w:val="Penstart"/>
      </w:pPr>
      <w:r>
        <w:tab/>
        <w:t>Penalty for this subsection: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for this subsection: a fine of $5 000.</w:t>
      </w:r>
    </w:p>
    <w:p>
      <w:pPr>
        <w:pStyle w:val="Subsection"/>
      </w:pPr>
      <w:r>
        <w:tab/>
        <w:t>(5)</w:t>
      </w:r>
      <w:r>
        <w:tab/>
        <w:t>A fee, charge or reward accepted in contravention of this section is recoverable by the person who paid it as a debt due in a court of competent jurisdiction.</w:t>
      </w:r>
    </w:p>
    <w:p>
      <w:pPr>
        <w:pStyle w:val="Footnotesection"/>
      </w:pPr>
      <w:r>
        <w:tab/>
        <w:t>[Section 12 amended: No. 3 of 2019 s. 39.]</w:t>
      </w:r>
    </w:p>
    <w:p>
      <w:pPr>
        <w:pStyle w:val="Heading5"/>
        <w:spacing w:before="180"/>
      </w:pPr>
      <w:bookmarkStart w:id="23" w:name="_Toc89242242"/>
      <w:r>
        <w:rPr>
          <w:rStyle w:val="CharSectno"/>
        </w:rPr>
        <w:t>13</w:t>
      </w:r>
      <w:r>
        <w:t>.</w:t>
      </w:r>
      <w:r>
        <w:tab/>
        <w:t>Restriction on letting fees payable to real estate agent</w:t>
      </w:r>
      <w:bookmarkEnd w:id="23"/>
    </w:p>
    <w:p>
      <w:pPr>
        <w:pStyle w:val="Subsection"/>
        <w:spacing w:before="120"/>
        <w:ind w:right="284"/>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for this subsection: a fine of $5 000.</w:t>
      </w:r>
    </w:p>
    <w:p>
      <w:pPr>
        <w:pStyle w:val="Subsection"/>
        <w:spacing w:before="120"/>
      </w:pPr>
      <w:r>
        <w:tab/>
        <w:t>(2)</w:t>
      </w:r>
      <w:r>
        <w:tab/>
        <w:t>A fee, charge or reward accepted in contravention of this section is recoverable by the person who paid it as a debt due in a court of competent jurisdiction.</w:t>
      </w:r>
    </w:p>
    <w:p>
      <w:pPr>
        <w:pStyle w:val="Footnotesection"/>
      </w:pPr>
      <w:r>
        <w:tab/>
        <w:t>[Section 13 amended: No. 3 of 2019 s. 39.]</w:t>
      </w:r>
    </w:p>
    <w:p>
      <w:pPr>
        <w:pStyle w:val="Heading5"/>
        <w:keepLines w:val="0"/>
        <w:spacing w:before="180"/>
      </w:pPr>
      <w:bookmarkStart w:id="24" w:name="_Toc89242243"/>
      <w:r>
        <w:rPr>
          <w:rStyle w:val="CharSectno"/>
        </w:rPr>
        <w:lastRenderedPageBreak/>
        <w:t>14</w:t>
      </w:r>
      <w:r>
        <w:t>.</w:t>
      </w:r>
      <w:r>
        <w:tab/>
        <w:t>Cost of preparing long</w:t>
      </w:r>
      <w:r>
        <w:noBreakHyphen/>
        <w:t>stay agreement</w:t>
      </w:r>
      <w:bookmarkEnd w:id="24"/>
    </w:p>
    <w:p>
      <w:pPr>
        <w:pStyle w:val="Subsection"/>
        <w:spacing w:before="120"/>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pPr>
      <w:bookmarkStart w:id="25" w:name="_Toc89242244"/>
      <w:r>
        <w:rPr>
          <w:rStyle w:val="CharSectno"/>
        </w:rPr>
        <w:t>15</w:t>
      </w:r>
      <w:r>
        <w:t>.</w:t>
      </w:r>
      <w:r>
        <w:tab/>
        <w:t>Disclosure of park operator’s particulars to tenant</w:t>
      </w:r>
      <w:bookmarkEnd w:id="25"/>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the full name and address of the park operator and of any person having superior title to that of the park operator; and</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r>
        <w:rPr>
          <w:i/>
          <w:iCs/>
        </w:rPr>
        <w:t>Caravan Parks and Camping Grounds Act 1995</w:t>
      </w:r>
      <w:r>
        <w:t>.</w:t>
      </w:r>
    </w:p>
    <w:p>
      <w:pPr>
        <w:pStyle w:val="Penstart"/>
      </w:pPr>
      <w:r>
        <w:tab/>
        <w:t>Penalty for this subsection: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for this subsection: a fine of $5 000.</w:t>
      </w:r>
    </w:p>
    <w:p>
      <w:pPr>
        <w:pStyle w:val="Subsection"/>
        <w:keepNext/>
      </w:pPr>
      <w:r>
        <w:tab/>
        <w:t>(3)</w:t>
      </w:r>
      <w:r>
        <w:tab/>
        <w:t>If a name or address of which the park operator is required under this section to give notice to a long</w:t>
      </w:r>
      <w:r>
        <w:noBreakHyphen/>
        <w:t xml:space="preserve">stay tenant is changed, </w:t>
      </w:r>
      <w:r>
        <w:lastRenderedPageBreak/>
        <w:t>the park operator must within 14 days give the tenant written notice of the new name or address.</w:t>
      </w:r>
    </w:p>
    <w:p>
      <w:pPr>
        <w:pStyle w:val="Penstart"/>
      </w:pPr>
      <w:r>
        <w:tab/>
        <w:t>Penalty for this subsection: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Footnotesection"/>
      </w:pPr>
      <w:r>
        <w:tab/>
        <w:t>[Section 15 amended: No. 3 of 2019 s. 39.]</w:t>
      </w:r>
    </w:p>
    <w:p>
      <w:pPr>
        <w:pStyle w:val="Heading5"/>
      </w:pPr>
      <w:bookmarkStart w:id="26" w:name="_Toc89242245"/>
      <w:r>
        <w:rPr>
          <w:rStyle w:val="CharSectno"/>
        </w:rPr>
        <w:t>16</w:t>
      </w:r>
      <w:r>
        <w:t>.</w:t>
      </w:r>
      <w:r>
        <w:tab/>
        <w:t>Disclosure of tenant’s particulars to park operator</w:t>
      </w:r>
      <w:bookmarkEnd w:id="26"/>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for this subsection: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for this subsection: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for this subsection: a fine of $5 000.</w:t>
      </w:r>
    </w:p>
    <w:p>
      <w:pPr>
        <w:pStyle w:val="Footnotesection"/>
      </w:pPr>
      <w:r>
        <w:tab/>
        <w:t>[Section 16 amended: No. 3 of 2019 s. 39.]</w:t>
      </w:r>
    </w:p>
    <w:p>
      <w:pPr>
        <w:pStyle w:val="Heading5"/>
      </w:pPr>
      <w:bookmarkStart w:id="27" w:name="_Toc89242246"/>
      <w:r>
        <w:rPr>
          <w:rStyle w:val="CharSectno"/>
        </w:rPr>
        <w:t>17</w:t>
      </w:r>
      <w:r>
        <w:t>.</w:t>
      </w:r>
      <w:r>
        <w:tab/>
        <w:t>Tenant’s copy of long</w:t>
      </w:r>
      <w:r>
        <w:noBreakHyphen/>
        <w:t>stay agreement</w:t>
      </w:r>
      <w:bookmarkEnd w:id="27"/>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lastRenderedPageBreak/>
        <w:tab/>
        <w:t>Penalty for this subsection: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Footnotesection"/>
      </w:pPr>
      <w:r>
        <w:tab/>
        <w:t>[Section 17 amended: No. 3 of 2019 s. 39.]</w:t>
      </w:r>
    </w:p>
    <w:p>
      <w:pPr>
        <w:pStyle w:val="Heading5"/>
      </w:pPr>
      <w:bookmarkStart w:id="28" w:name="_Toc89242247"/>
      <w:r>
        <w:rPr>
          <w:rStyle w:val="CharSectno"/>
        </w:rPr>
        <w:t>18</w:t>
      </w:r>
      <w:r>
        <w:t>.</w:t>
      </w:r>
      <w:r>
        <w:tab/>
        <w:t>Cooling off period</w:t>
      </w:r>
      <w:bookmarkEnd w:id="28"/>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29" w:name="_Toc89242248"/>
      <w:r>
        <w:rPr>
          <w:rStyle w:val="CharSectno"/>
        </w:rPr>
        <w:t>19</w:t>
      </w:r>
      <w:r>
        <w:t>.</w:t>
      </w:r>
      <w:r>
        <w:tab/>
        <w:t>Recovery of amounts paid under a mistake of law or fact</w:t>
      </w:r>
      <w:bookmarkEnd w:id="29"/>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30" w:name="_Toc89242249"/>
      <w:r>
        <w:rPr>
          <w:rStyle w:val="CharSectno"/>
        </w:rPr>
        <w:t>20</w:t>
      </w:r>
      <w:r>
        <w:t>.</w:t>
      </w:r>
      <w:r>
        <w:tab/>
        <w:t>Children living on agreed premises</w:t>
      </w:r>
      <w:bookmarkEnd w:id="30"/>
    </w:p>
    <w:p>
      <w:pPr>
        <w:pStyle w:val="Subsection"/>
      </w:pPr>
      <w:r>
        <w:tab/>
        <w:t>(1)</w:t>
      </w:r>
      <w:r>
        <w:tab/>
        <w:t xml:space="preserve">Except in the circumstances referred to in Schedule 1 clause 9(a) or (b), a person must not — </w:t>
      </w:r>
    </w:p>
    <w:p>
      <w:pPr>
        <w:pStyle w:val="Indenta"/>
      </w:pPr>
      <w:r>
        <w:lastRenderedPageBreak/>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for this subsection: a fine of $5 000.</w:t>
      </w:r>
    </w:p>
    <w:p>
      <w:pPr>
        <w:pStyle w:val="Footnotesection"/>
      </w:pPr>
      <w:r>
        <w:tab/>
        <w:t>[Section 20 amended: No. 3 of 2019 s. 39.]</w:t>
      </w:r>
    </w:p>
    <w:p>
      <w:pPr>
        <w:pStyle w:val="Heading3"/>
      </w:pPr>
      <w:bookmarkStart w:id="31" w:name="_Toc89182124"/>
      <w:bookmarkStart w:id="32" w:name="_Toc89242250"/>
      <w:r>
        <w:rPr>
          <w:rStyle w:val="CharDivNo"/>
        </w:rPr>
        <w:t>Division 2</w:t>
      </w:r>
      <w:r>
        <w:t> — </w:t>
      </w:r>
      <w:r>
        <w:rPr>
          <w:rStyle w:val="CharDivText"/>
        </w:rPr>
        <w:t>Security bonds</w:t>
      </w:r>
      <w:bookmarkEnd w:id="31"/>
      <w:bookmarkEnd w:id="32"/>
    </w:p>
    <w:p>
      <w:pPr>
        <w:pStyle w:val="Heading5"/>
      </w:pPr>
      <w:bookmarkStart w:id="33" w:name="_Toc89242251"/>
      <w:r>
        <w:rPr>
          <w:rStyle w:val="CharSectno"/>
        </w:rPr>
        <w:t>21</w:t>
      </w:r>
      <w:r>
        <w:t>.</w:t>
      </w:r>
      <w:r>
        <w:tab/>
        <w:t>Security bonds</w:t>
      </w:r>
      <w:bookmarkEnd w:id="33"/>
    </w:p>
    <w:p>
      <w:pPr>
        <w:pStyle w:val="Subsection"/>
      </w:pPr>
      <w:r>
        <w:tab/>
        <w:t>(1)</w:t>
      </w:r>
      <w:r>
        <w:tab/>
        <w:t>A park operator must not require or receive payment of more than one security bond in respect of a long</w:t>
      </w:r>
      <w:r>
        <w:noBreakHyphen/>
        <w:t>stay agreement.</w:t>
      </w:r>
    </w:p>
    <w:p>
      <w:pPr>
        <w:pStyle w:val="Penstart"/>
      </w:pPr>
      <w:r>
        <w:tab/>
        <w:t>Penalty for this subsection: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4 weeks’ rent; and</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lastRenderedPageBreak/>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for this subsection: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 and</w:t>
      </w:r>
    </w:p>
    <w:p>
      <w:pPr>
        <w:pStyle w:val="Indenta"/>
      </w:pPr>
      <w:r>
        <w:tab/>
        <w:t>(b)</w:t>
      </w:r>
      <w:r>
        <w:tab/>
        <w:t>the date on which it is paid; and</w:t>
      </w:r>
    </w:p>
    <w:p>
      <w:pPr>
        <w:pStyle w:val="Indenta"/>
      </w:pPr>
      <w:r>
        <w:tab/>
        <w:t>(c)</w:t>
      </w:r>
      <w:r>
        <w:tab/>
        <w:t>if a pet bond is paid — the amount of the pet bond; and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for this subsection: a fine of $20 000.</w:t>
      </w:r>
    </w:p>
    <w:p>
      <w:pPr>
        <w:pStyle w:val="Subsection"/>
      </w:pPr>
      <w:r>
        <w:tab/>
        <w:t>(4)</w:t>
      </w:r>
      <w:r>
        <w:tab/>
        <w:t>Nothing in subsection (1) prevents the park operator from requiring further payment from a remaining long</w:t>
      </w:r>
      <w:r>
        <w:noBreakHyphen/>
        <w:t>stay tenant towards the security bond in order to cover the disposal of a former long</w:t>
      </w:r>
      <w:r>
        <w:noBreakHyphen/>
        <w:t>stay tenant’s portion of the security bond under section 74C(3).</w:t>
      </w:r>
    </w:p>
    <w:p>
      <w:pPr>
        <w:pStyle w:val="Footnotesection"/>
      </w:pPr>
      <w:r>
        <w:tab/>
        <w:t>[Section 21 amended: No. 3 of 2019 s. 27 and 39.]</w:t>
      </w:r>
    </w:p>
    <w:p>
      <w:pPr>
        <w:pStyle w:val="Heading5"/>
      </w:pPr>
      <w:bookmarkStart w:id="34" w:name="_Toc89242252"/>
      <w:r>
        <w:rPr>
          <w:rStyle w:val="CharSectno"/>
        </w:rPr>
        <w:t>22</w:t>
      </w:r>
      <w:r>
        <w:t>.</w:t>
      </w:r>
      <w:r>
        <w:tab/>
        <w:t>Payment of bond to bond administrator or trust account</w:t>
      </w:r>
      <w:bookmarkEnd w:id="34"/>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 xml:space="preserve">with the bond administrator or an authorised agent as defined in the </w:t>
      </w:r>
      <w:r>
        <w:rPr>
          <w:i/>
        </w:rPr>
        <w:t>Residential Tenancies Act 1987</w:t>
      </w:r>
      <w:r>
        <w:t xml:space="preserve"> Schedule 1 clause 1; or</w:t>
      </w:r>
    </w:p>
    <w:p>
      <w:pPr>
        <w:pStyle w:val="Indenta"/>
      </w:pPr>
      <w:r>
        <w:tab/>
        <w:t>(b)</w:t>
      </w:r>
      <w:r>
        <w:tab/>
        <w:t>into a separate ADI account held in the names of the park operator and the long</w:t>
      </w:r>
      <w:r>
        <w:noBreakHyphen/>
        <w:t>stay tenant and entitled “tenancy bond account”.</w:t>
      </w:r>
    </w:p>
    <w:p>
      <w:pPr>
        <w:pStyle w:val="Penstart"/>
      </w:pPr>
      <w:r>
        <w:lastRenderedPageBreak/>
        <w:tab/>
        <w:t>Penalty for this subsection: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an account in the name of the agent entitled “tenancy bond trust account”, used for the purpose of holding a security bond under this subsection or the </w:t>
      </w:r>
      <w:r>
        <w:rPr>
          <w:i/>
        </w:rPr>
        <w:t>Residential Tenancies Act 1987</w:t>
      </w:r>
      <w:r>
        <w:t xml:space="preserve"> and for no other purpose;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Footnotesection"/>
      </w:pPr>
      <w:r>
        <w:tab/>
        <w:t>[Section 22 amended: No. 60 of 2011 s. 106; No. 3 of 2019 s. 39.]</w:t>
      </w:r>
    </w:p>
    <w:p>
      <w:pPr>
        <w:pStyle w:val="Heading5"/>
      </w:pPr>
      <w:bookmarkStart w:id="35" w:name="_Toc89242253"/>
      <w:r>
        <w:rPr>
          <w:rStyle w:val="CharSectno"/>
        </w:rPr>
        <w:t>23</w:t>
      </w:r>
      <w:r>
        <w:t>.</w:t>
      </w:r>
      <w:r>
        <w:tab/>
        <w:t>Keeping security bond records</w:t>
      </w:r>
      <w:bookmarkEnd w:id="35"/>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for this subsection: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for this subsection: a fine of $5 000.</w:t>
      </w:r>
    </w:p>
    <w:p>
      <w:pPr>
        <w:pStyle w:val="Subsection"/>
        <w:keepNext/>
      </w:pPr>
      <w:r>
        <w:tab/>
        <w:t>(3)</w:t>
      </w:r>
      <w:r>
        <w:tab/>
        <w:t>A person must not make an entry in a record that the person knows is false or misleading in a material particular.</w:t>
      </w:r>
    </w:p>
    <w:p>
      <w:pPr>
        <w:pStyle w:val="Penstart"/>
      </w:pPr>
      <w:r>
        <w:tab/>
        <w:t>Penalty for this subsection: a fine of $5 000.</w:t>
      </w:r>
    </w:p>
    <w:p>
      <w:pPr>
        <w:pStyle w:val="Footnotesection"/>
      </w:pPr>
      <w:r>
        <w:tab/>
        <w:t>[Section 23 amended: No. 3 of 2019 s. 39.]</w:t>
      </w:r>
    </w:p>
    <w:p>
      <w:pPr>
        <w:pStyle w:val="Heading5"/>
      </w:pPr>
      <w:bookmarkStart w:id="36" w:name="_Toc89242254"/>
      <w:r>
        <w:rPr>
          <w:rStyle w:val="CharSectno"/>
        </w:rPr>
        <w:lastRenderedPageBreak/>
        <w:t>24</w:t>
      </w:r>
      <w:r>
        <w:t>.</w:t>
      </w:r>
      <w:r>
        <w:tab/>
        <w:t>Increase in security bond</w:t>
      </w:r>
      <w:bookmarkEnd w:id="36"/>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keepLines/>
      </w:pPr>
      <w:bookmarkStart w:id="37" w:name="_Toc89182129"/>
      <w:bookmarkStart w:id="38" w:name="_Toc89242255"/>
      <w:r>
        <w:rPr>
          <w:rStyle w:val="CharDivNo"/>
        </w:rPr>
        <w:lastRenderedPageBreak/>
        <w:t>Division 3</w:t>
      </w:r>
      <w:r>
        <w:t> — </w:t>
      </w:r>
      <w:r>
        <w:rPr>
          <w:rStyle w:val="CharDivText"/>
        </w:rPr>
        <w:t>Rent</w:t>
      </w:r>
      <w:bookmarkEnd w:id="37"/>
      <w:bookmarkEnd w:id="38"/>
    </w:p>
    <w:p>
      <w:pPr>
        <w:pStyle w:val="Heading5"/>
      </w:pPr>
      <w:bookmarkStart w:id="39" w:name="_Toc89242256"/>
      <w:r>
        <w:rPr>
          <w:rStyle w:val="CharSectno"/>
        </w:rPr>
        <w:t>25</w:t>
      </w:r>
      <w:r>
        <w:t>.</w:t>
      </w:r>
      <w:r>
        <w:tab/>
        <w:t>Rent in advance</w:t>
      </w:r>
      <w:bookmarkEnd w:id="39"/>
    </w:p>
    <w:p>
      <w:pPr>
        <w:pStyle w:val="Subsection"/>
        <w:keepNext/>
        <w:keepLines/>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keepNext/>
        <w:keepLines/>
      </w:pPr>
      <w:r>
        <w:tab/>
        <w:t>Penalty for this subsection: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for this subsection: a fine of $5 000.</w:t>
      </w:r>
    </w:p>
    <w:p>
      <w:pPr>
        <w:pStyle w:val="Footnotesection"/>
      </w:pPr>
      <w:r>
        <w:tab/>
        <w:t>[Section 25 amended: No. 3 of 2019 s. 39.]</w:t>
      </w:r>
    </w:p>
    <w:p>
      <w:pPr>
        <w:pStyle w:val="Heading5"/>
      </w:pPr>
      <w:bookmarkStart w:id="40" w:name="_Toc89242257"/>
      <w:r>
        <w:rPr>
          <w:rStyle w:val="CharSectno"/>
        </w:rPr>
        <w:t>26</w:t>
      </w:r>
      <w:r>
        <w:t>.</w:t>
      </w:r>
      <w:r>
        <w:tab/>
        <w:t>Written receipts for rent</w:t>
      </w:r>
      <w:bookmarkEnd w:id="40"/>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 and</w:t>
      </w:r>
    </w:p>
    <w:p>
      <w:pPr>
        <w:pStyle w:val="Indenta"/>
      </w:pPr>
      <w:r>
        <w:tab/>
        <w:t>(b)</w:t>
      </w:r>
      <w:r>
        <w:tab/>
        <w:t>the amount paid; and</w:t>
      </w:r>
    </w:p>
    <w:p>
      <w:pPr>
        <w:pStyle w:val="Indenta"/>
      </w:pPr>
      <w:r>
        <w:tab/>
        <w:t>(c)</w:t>
      </w:r>
      <w:r>
        <w:tab/>
        <w:t>the period for which the amount is paid; and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for this subsection: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Footnotesection"/>
      </w:pPr>
      <w:r>
        <w:tab/>
        <w:t>[Section 26 amended: No. 3 of 2019 s. 39.]</w:t>
      </w:r>
    </w:p>
    <w:p>
      <w:pPr>
        <w:pStyle w:val="Heading5"/>
      </w:pPr>
      <w:bookmarkStart w:id="41" w:name="_Toc89242258"/>
      <w:r>
        <w:rPr>
          <w:rStyle w:val="CharSectno"/>
        </w:rPr>
        <w:lastRenderedPageBreak/>
        <w:t>27</w:t>
      </w:r>
      <w:r>
        <w:t>.</w:t>
      </w:r>
      <w:r>
        <w:tab/>
        <w:t>Requiring post</w:t>
      </w:r>
      <w:r>
        <w:noBreakHyphen/>
        <w:t>dated cheques prohibited</w:t>
      </w:r>
      <w:bookmarkEnd w:id="41"/>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42" w:name="_Toc89242259"/>
      <w:r>
        <w:rPr>
          <w:rStyle w:val="CharSectno"/>
        </w:rPr>
        <w:t>28</w:t>
      </w:r>
      <w:r>
        <w:t>.</w:t>
      </w:r>
      <w:r>
        <w:tab/>
        <w:t>Rent records kept by park operator</w:t>
      </w:r>
      <w:bookmarkEnd w:id="42"/>
    </w:p>
    <w:p>
      <w:pPr>
        <w:pStyle w:val="Subsection"/>
      </w:pPr>
      <w:r>
        <w:tab/>
        <w:t>(1)</w:t>
      </w:r>
      <w:r>
        <w:tab/>
        <w:t>A park operator must keep a record of the rent received for agreed premises.</w:t>
      </w:r>
    </w:p>
    <w:p>
      <w:pPr>
        <w:pStyle w:val="Penstart"/>
      </w:pPr>
      <w:r>
        <w:tab/>
        <w:t>Penalty for this subsection: a fine of $5 000.</w:t>
      </w:r>
    </w:p>
    <w:p>
      <w:pPr>
        <w:pStyle w:val="Subsection"/>
      </w:pPr>
      <w:r>
        <w:tab/>
        <w:t>(2)</w:t>
      </w:r>
      <w:r>
        <w:tab/>
        <w:t>A person must not make an entry in a record that the person knows is false or misleading in a material particular.</w:t>
      </w:r>
    </w:p>
    <w:p>
      <w:pPr>
        <w:pStyle w:val="Penstart"/>
      </w:pPr>
      <w:r>
        <w:tab/>
        <w:t>Penalty for this subsection: a fine of $5 000.</w:t>
      </w:r>
    </w:p>
    <w:p>
      <w:pPr>
        <w:pStyle w:val="Footnotesection"/>
      </w:pPr>
      <w:r>
        <w:tab/>
        <w:t>[Section 28 amended: No. 3 of 2019 s. 39.]</w:t>
      </w:r>
    </w:p>
    <w:p>
      <w:pPr>
        <w:pStyle w:val="Heading5"/>
      </w:pPr>
      <w:bookmarkStart w:id="43" w:name="_Toc89242260"/>
      <w:r>
        <w:rPr>
          <w:rStyle w:val="CharSectno"/>
        </w:rPr>
        <w:t>29</w:t>
      </w:r>
      <w:r>
        <w:t>.</w:t>
      </w:r>
      <w:r>
        <w:tab/>
        <w:t>Apportionment of rent</w:t>
      </w:r>
      <w:bookmarkEnd w:id="43"/>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44" w:name="_Toc89242261"/>
      <w:r>
        <w:rPr>
          <w:rStyle w:val="CharSectno"/>
        </w:rPr>
        <w:t>30</w:t>
      </w:r>
      <w:r>
        <w:t>.</w:t>
      </w:r>
      <w:r>
        <w:tab/>
        <w:t>Variation of rent under on</w:t>
      </w:r>
      <w:r>
        <w:noBreakHyphen/>
        <w:t>site home agreement</w:t>
      </w:r>
      <w:bookmarkEnd w:id="44"/>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lastRenderedPageBreak/>
        <w:tab/>
        <w:t>(2)</w:t>
      </w:r>
      <w:r>
        <w:tab/>
        <w:t xml:space="preserve">The day specified in the notice from which the increased rent becomes payable must be — </w:t>
      </w:r>
    </w:p>
    <w:p>
      <w:pPr>
        <w:pStyle w:val="Indenta"/>
      </w:pPr>
      <w:r>
        <w:tab/>
        <w:t>(a)</w:t>
      </w:r>
      <w:r>
        <w:tab/>
        <w:t>at least 60 days after the day on which the notice is given; and</w:t>
      </w:r>
    </w:p>
    <w:p>
      <w:pPr>
        <w:pStyle w:val="Indenta"/>
        <w:rPr>
          <w:i/>
          <w:iCs/>
          <w:highlight w:val="cyan"/>
        </w:rPr>
      </w:pPr>
      <w:r>
        <w:rPr>
          <w:iCs/>
        </w:rPr>
        <w:tab/>
      </w:r>
      <w:r>
        <w:t>(b)</w:t>
      </w:r>
      <w:r>
        <w:rPr>
          <w:iCs/>
        </w:rPr>
        <w:tab/>
      </w:r>
      <w:r>
        <w:t>at least 6 months after the day on which the tenancy period began; and</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45" w:name="_Toc89242262"/>
      <w:r>
        <w:rPr>
          <w:rStyle w:val="CharSectno"/>
        </w:rPr>
        <w:t>31</w:t>
      </w:r>
      <w:r>
        <w:t>.</w:t>
      </w:r>
      <w:r>
        <w:tab/>
        <w:t>Variation of rent on the basis of current market rent</w:t>
      </w:r>
      <w:bookmarkEnd w:id="45"/>
    </w:p>
    <w:p>
      <w:pPr>
        <w:pStyle w:val="Subsection"/>
      </w:pPr>
      <w:r>
        <w:tab/>
      </w:r>
      <w:r>
        <w:tab/>
        <w:t>If a long</w:t>
      </w:r>
      <w:r>
        <w:noBreakHyphen/>
        <w:t xml:space="preserve">stay agreement provides for a review of rent on a market rent basis then, when calculating the amount of rent to </w:t>
      </w:r>
      <w:r>
        <w:lastRenderedPageBreak/>
        <w:t xml:space="preserve">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46" w:name="_Toc89182137"/>
      <w:bookmarkStart w:id="47" w:name="_Toc89242263"/>
      <w:r>
        <w:rPr>
          <w:rStyle w:val="CharDivNo"/>
        </w:rPr>
        <w:t>Division 4</w:t>
      </w:r>
      <w:r>
        <w:t> — </w:t>
      </w:r>
      <w:r>
        <w:rPr>
          <w:rStyle w:val="CharDivText"/>
        </w:rPr>
        <w:t>Terms of long</w:t>
      </w:r>
      <w:r>
        <w:rPr>
          <w:rStyle w:val="CharDivText"/>
        </w:rPr>
        <w:noBreakHyphen/>
        <w:t>stay agreements</w:t>
      </w:r>
      <w:bookmarkEnd w:id="46"/>
      <w:bookmarkEnd w:id="47"/>
    </w:p>
    <w:p>
      <w:pPr>
        <w:pStyle w:val="Heading5"/>
      </w:pPr>
      <w:bookmarkStart w:id="48" w:name="_Toc89242264"/>
      <w:r>
        <w:rPr>
          <w:rStyle w:val="CharSectno"/>
        </w:rPr>
        <w:t>32</w:t>
      </w:r>
      <w:r>
        <w:t>.</w:t>
      </w:r>
      <w:r>
        <w:tab/>
        <w:t>Terms of long</w:t>
      </w:r>
      <w:r>
        <w:noBreakHyphen/>
        <w:t>stay agreements — Schedule 1</w:t>
      </w:r>
      <w:bookmarkEnd w:id="48"/>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49" w:name="_Toc89182139"/>
      <w:bookmarkStart w:id="50" w:name="_Toc89242265"/>
      <w:r>
        <w:rPr>
          <w:rStyle w:val="CharPartNo"/>
        </w:rPr>
        <w:lastRenderedPageBreak/>
        <w:t>Part 3</w:t>
      </w:r>
      <w:r>
        <w:t> — </w:t>
      </w:r>
      <w:r>
        <w:rPr>
          <w:rStyle w:val="CharPartText"/>
        </w:rPr>
        <w:t>Termination of long</w:t>
      </w:r>
      <w:r>
        <w:rPr>
          <w:rStyle w:val="CharPartText"/>
        </w:rPr>
        <w:noBreakHyphen/>
        <w:t>stay agreements</w:t>
      </w:r>
      <w:bookmarkEnd w:id="49"/>
      <w:bookmarkEnd w:id="50"/>
    </w:p>
    <w:p>
      <w:pPr>
        <w:pStyle w:val="Heading3"/>
      </w:pPr>
      <w:bookmarkStart w:id="51" w:name="_Toc89182140"/>
      <w:bookmarkStart w:id="52" w:name="_Toc89242266"/>
      <w:r>
        <w:rPr>
          <w:rStyle w:val="CharDivNo"/>
        </w:rPr>
        <w:t>Division 1</w:t>
      </w:r>
      <w:r>
        <w:t> — </w:t>
      </w:r>
      <w:r>
        <w:rPr>
          <w:rStyle w:val="CharDivText"/>
        </w:rPr>
        <w:t>Termination of agreements generally</w:t>
      </w:r>
      <w:bookmarkEnd w:id="51"/>
      <w:bookmarkEnd w:id="52"/>
    </w:p>
    <w:p>
      <w:pPr>
        <w:pStyle w:val="Heading5"/>
      </w:pPr>
      <w:bookmarkStart w:id="53" w:name="_Toc89242267"/>
      <w:r>
        <w:rPr>
          <w:rStyle w:val="CharSectno"/>
        </w:rPr>
        <w:t>33</w:t>
      </w:r>
      <w:r>
        <w:t>.</w:t>
      </w:r>
      <w:r>
        <w:tab/>
      </w:r>
      <w:r>
        <w:rPr>
          <w:snapToGrid w:val="0"/>
        </w:rPr>
        <w:t>How long</w:t>
      </w:r>
      <w:r>
        <w:rPr>
          <w:snapToGrid w:val="0"/>
        </w:rPr>
        <w:noBreakHyphen/>
        <w:t>stay agreements and tenant’s interests in agreements are terminated</w:t>
      </w:r>
      <w:bookmarkEnd w:id="53"/>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(2A)</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45A(1) together with at least 1 of the documents required under section 45A(2); and</w:t>
      </w:r>
    </w:p>
    <w:p>
      <w:pPr>
        <w:pStyle w:val="Indenta"/>
      </w:pPr>
      <w:r>
        <w:tab/>
        <w:t>(b)</w:t>
      </w:r>
      <w:r>
        <w:tab/>
        <w:t>vacated the agreed premises on or after the expiration of the period of notice required under section 45A(5).</w:t>
      </w:r>
    </w:p>
    <w:p>
      <w:pPr>
        <w:pStyle w:val="Subsection"/>
      </w:pPr>
      <w:r>
        <w:tab/>
        <w:t>(2B)</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45B(4); and</w:t>
      </w:r>
    </w:p>
    <w:p>
      <w:pPr>
        <w:pStyle w:val="Indenta"/>
      </w:pPr>
      <w:r>
        <w:tab/>
        <w:t>(b)</w:t>
      </w:r>
      <w:r>
        <w:tab/>
        <w:t>vacated the agreed premises on or after the expiration of the period of notice required under section 45B(5).</w:t>
      </w:r>
    </w:p>
    <w:p>
      <w:pPr>
        <w:pStyle w:val="Subsection"/>
      </w:pPr>
      <w:r>
        <w:lastRenderedPageBreak/>
        <w:tab/>
        <w:t>(2C)</w:t>
      </w:r>
      <w:r>
        <w:tab/>
        <w:t>The termination of a long</w:t>
      </w:r>
      <w:r>
        <w:noBreakHyphen/>
        <w:t>stay tenant’s interest in a long</w:t>
      </w:r>
      <w:r>
        <w:noBreakHyphen/>
        <w:t>stay agreement does not terminate the agreement in respect of any other long</w:t>
      </w:r>
      <w:r>
        <w:noBreakHyphen/>
        <w:t>stay tenant under the agreement.</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 or</w:t>
      </w:r>
    </w:p>
    <w:p>
      <w:pPr>
        <w:pStyle w:val="Indenta"/>
      </w:pPr>
      <w:r>
        <w:tab/>
        <w:t>(b)</w:t>
      </w:r>
      <w:r>
        <w:tab/>
        <w:t>a person whose title is superior to the title of the park operator becomes entitled to possession of the agreed premises; or</w:t>
      </w:r>
    </w:p>
    <w:p>
      <w:pPr>
        <w:pStyle w:val="Indenta"/>
      </w:pPr>
      <w:r>
        <w:tab/>
        <w:t>(c)</w:t>
      </w:r>
      <w:r>
        <w:tab/>
        <w:t>a mortgagee of the agreed premises takes possession of the premises under the mortgage; or</w:t>
      </w:r>
    </w:p>
    <w:p>
      <w:pPr>
        <w:pStyle w:val="Indenta"/>
      </w:pPr>
      <w:r>
        <w:tab/>
        <w:t>(d)</w:t>
      </w:r>
      <w:r>
        <w:tab/>
        <w:t>the long</w:t>
      </w:r>
      <w:r>
        <w:noBreakHyphen/>
        <w:t>stay tenant abandons the agreed premises; or</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Footnotesection"/>
      </w:pPr>
      <w:r>
        <w:tab/>
        <w:t>[Section 33 amended: No. 3 of 2019 s. 28.]</w:t>
      </w:r>
    </w:p>
    <w:p>
      <w:pPr>
        <w:pStyle w:val="Heading5"/>
      </w:pPr>
      <w:bookmarkStart w:id="54" w:name="_Toc89242268"/>
      <w:r>
        <w:rPr>
          <w:rStyle w:val="CharSectno"/>
        </w:rPr>
        <w:t>34</w:t>
      </w:r>
      <w:r>
        <w:t>.</w:t>
      </w:r>
      <w:r>
        <w:tab/>
        <w:t>Terms of continued long</w:t>
      </w:r>
      <w:r>
        <w:noBreakHyphen/>
        <w:t>stay agreement</w:t>
      </w:r>
      <w:bookmarkEnd w:id="54"/>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55" w:name="_Toc89242269"/>
      <w:r>
        <w:rPr>
          <w:rStyle w:val="CharSectno"/>
        </w:rPr>
        <w:t>35</w:t>
      </w:r>
      <w:r>
        <w:t>.</w:t>
      </w:r>
      <w:r>
        <w:tab/>
        <w:t>Withholding rent in anticipation of release of security bond</w:t>
      </w:r>
      <w:bookmarkEnd w:id="55"/>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56" w:name="_Toc89242270"/>
      <w:r>
        <w:rPr>
          <w:rStyle w:val="CharSectno"/>
        </w:rPr>
        <w:lastRenderedPageBreak/>
        <w:t>36</w:t>
      </w:r>
      <w:r>
        <w:t>.</w:t>
      </w:r>
      <w:r>
        <w:tab/>
        <w:t>Failure to give vacant possession at end of fixed term</w:t>
      </w:r>
      <w:bookmarkEnd w:id="56"/>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57" w:name="_Toc89242271"/>
      <w:r>
        <w:rPr>
          <w:rStyle w:val="CharSectno"/>
        </w:rPr>
        <w:t>37</w:t>
      </w:r>
      <w:r>
        <w:t>.</w:t>
      </w:r>
      <w:r>
        <w:tab/>
        <w:t>Form of default notice</w:t>
      </w:r>
      <w:bookmarkEnd w:id="57"/>
    </w:p>
    <w:p>
      <w:pPr>
        <w:pStyle w:val="Subsection"/>
      </w:pPr>
      <w:r>
        <w:tab/>
      </w:r>
      <w:r>
        <w:tab/>
        <w:t xml:space="preserve">A default notice must — </w:t>
      </w:r>
    </w:p>
    <w:p>
      <w:pPr>
        <w:pStyle w:val="Indenta"/>
      </w:pPr>
      <w:r>
        <w:tab/>
        <w:t>(a)</w:t>
      </w:r>
      <w:r>
        <w:tab/>
        <w:t>be in writing signed by the park operator; and</w:t>
      </w:r>
    </w:p>
    <w:p>
      <w:pPr>
        <w:pStyle w:val="Indenta"/>
      </w:pPr>
      <w:r>
        <w:tab/>
        <w:t>(b)</w:t>
      </w:r>
      <w:r>
        <w:tab/>
        <w:t>identify the agreed premises; and</w:t>
      </w:r>
    </w:p>
    <w:p>
      <w:pPr>
        <w:pStyle w:val="Indenta"/>
      </w:pPr>
      <w:r>
        <w:tab/>
        <w:t>(c)</w:t>
      </w:r>
      <w:r>
        <w:tab/>
        <w:t>include the prescribed information (if any).</w:t>
      </w:r>
    </w:p>
    <w:p>
      <w:pPr>
        <w:pStyle w:val="Heading5"/>
      </w:pPr>
      <w:bookmarkStart w:id="58" w:name="_Toc89242272"/>
      <w:r>
        <w:rPr>
          <w:rStyle w:val="CharSectno"/>
        </w:rPr>
        <w:t>38</w:t>
      </w:r>
      <w:r>
        <w:t>.</w:t>
      </w:r>
      <w:r>
        <w:tab/>
        <w:t>Form of notice of termination</w:t>
      </w:r>
      <w:bookmarkEnd w:id="58"/>
    </w:p>
    <w:p>
      <w:pPr>
        <w:pStyle w:val="Subsection"/>
      </w:pPr>
      <w:r>
        <w:tab/>
        <w:t>(1)</w:t>
      </w:r>
      <w:r>
        <w:tab/>
        <w:t xml:space="preserve">Except as provided in subsection (2), a notice of termination must — </w:t>
      </w:r>
    </w:p>
    <w:p>
      <w:pPr>
        <w:pStyle w:val="Indenta"/>
      </w:pPr>
      <w:r>
        <w:tab/>
        <w:t>(a)</w:t>
      </w:r>
      <w:r>
        <w:tab/>
        <w:t>be in writing; and</w:t>
      </w:r>
    </w:p>
    <w:p>
      <w:pPr>
        <w:pStyle w:val="Indenta"/>
      </w:pPr>
      <w:r>
        <w:tab/>
        <w:t>(b)</w:t>
      </w:r>
      <w:r>
        <w:tab/>
        <w:t>be signed by the person who is giving the notice; and</w:t>
      </w:r>
    </w:p>
    <w:p>
      <w:pPr>
        <w:pStyle w:val="Indenta"/>
      </w:pPr>
      <w:r>
        <w:tab/>
        <w:t>(c)</w:t>
      </w:r>
      <w:r>
        <w:tab/>
        <w:t>identify the agreed premises; and</w:t>
      </w:r>
    </w:p>
    <w:p>
      <w:pPr>
        <w:pStyle w:val="Indenta"/>
      </w:pPr>
      <w:r>
        <w:tab/>
        <w:t>(d)</w:t>
      </w:r>
      <w:r>
        <w:tab/>
        <w:t>include the prescribed information (if any).</w:t>
      </w:r>
    </w:p>
    <w:p>
      <w:pPr>
        <w:pStyle w:val="Subsection"/>
      </w:pPr>
      <w:r>
        <w:tab/>
        <w:t>(2)</w:t>
      </w:r>
      <w:r>
        <w:tab/>
        <w:t>A notice given under section 45A(1) must be in a prescribed form.</w:t>
      </w:r>
    </w:p>
    <w:p>
      <w:pPr>
        <w:pStyle w:val="Footnotesection"/>
      </w:pPr>
      <w:r>
        <w:tab/>
        <w:t>[Section 38 amended: No. 3 of 2019 s. 29.]</w:t>
      </w:r>
    </w:p>
    <w:p>
      <w:pPr>
        <w:pStyle w:val="Heading3"/>
      </w:pPr>
      <w:bookmarkStart w:id="59" w:name="_Toc89182147"/>
      <w:bookmarkStart w:id="60" w:name="_Toc89242273"/>
      <w:r>
        <w:rPr>
          <w:rStyle w:val="CharDivNo"/>
        </w:rPr>
        <w:t>Division 2</w:t>
      </w:r>
      <w:r>
        <w:t> — </w:t>
      </w:r>
      <w:r>
        <w:rPr>
          <w:rStyle w:val="CharDivText"/>
        </w:rPr>
        <w:t>Notice of termination by park operator</w:t>
      </w:r>
      <w:bookmarkEnd w:id="59"/>
      <w:bookmarkEnd w:id="60"/>
    </w:p>
    <w:p>
      <w:pPr>
        <w:pStyle w:val="Heading5"/>
      </w:pPr>
      <w:bookmarkStart w:id="61" w:name="_Toc89242274"/>
      <w:r>
        <w:rPr>
          <w:rStyle w:val="CharSectno"/>
        </w:rPr>
        <w:t>39</w:t>
      </w:r>
      <w:r>
        <w:t>.</w:t>
      </w:r>
      <w:r>
        <w:tab/>
        <w:t>Termination by park operator for non</w:t>
      </w:r>
      <w:r>
        <w:noBreakHyphen/>
        <w:t>payment of rent</w:t>
      </w:r>
      <w:bookmarkEnd w:id="61"/>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lastRenderedPageBreak/>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specify the amount of rent outstanding; and</w:t>
      </w:r>
    </w:p>
    <w:p>
      <w:pPr>
        <w:pStyle w:val="Indenta"/>
      </w:pPr>
      <w:r>
        <w:tab/>
        <w:t>(b)</w:t>
      </w:r>
      <w:r>
        <w:tab/>
        <w:t>specify the day on which the park operator requires the long</w:t>
      </w:r>
      <w:r>
        <w:noBreakHyphen/>
        <w:t>stay tenant to give vacant possession of the agreed premises to the park operator; and</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 and</w:t>
      </w:r>
    </w:p>
    <w:p>
      <w:pPr>
        <w:pStyle w:val="Indenta"/>
      </w:pPr>
      <w:r>
        <w:tab/>
        <w:t>(b)</w:t>
      </w:r>
      <w:r>
        <w:tab/>
        <w:t>specify the day on or before which the park operator requires the amount to be paid; and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 xml:space="preserve">if the park operator makes an application to the State Administrative Tribunal under section 66 in relation to </w:t>
      </w:r>
      <w:r>
        <w:lastRenderedPageBreak/>
        <w:t>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62" w:name="_Toc89242275"/>
      <w:r>
        <w:rPr>
          <w:rStyle w:val="CharSectno"/>
        </w:rPr>
        <w:t>40</w:t>
      </w:r>
      <w:r>
        <w:t>.</w:t>
      </w:r>
      <w:r>
        <w:tab/>
        <w:t>Termination by park operator for other breaches</w:t>
      </w:r>
      <w:bookmarkEnd w:id="62"/>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describe the breach and state when it occurred; and</w:t>
      </w:r>
    </w:p>
    <w:p>
      <w:pPr>
        <w:pStyle w:val="Indenta"/>
      </w:pPr>
      <w:r>
        <w:tab/>
        <w:t>(b)</w:t>
      </w:r>
      <w:r>
        <w:tab/>
        <w:t>specify a day on or before which the breach must be remedied; and</w:t>
      </w:r>
    </w:p>
    <w:p>
      <w:pPr>
        <w:pStyle w:val="Indenta"/>
      </w:pPr>
      <w:r>
        <w:lastRenderedPageBreak/>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state the grounds for giving the notice;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63" w:name="_Toc89242276"/>
      <w:r>
        <w:rPr>
          <w:rStyle w:val="CharSectno"/>
        </w:rPr>
        <w:t>41</w:t>
      </w:r>
      <w:r>
        <w:t>.</w:t>
      </w:r>
      <w:r>
        <w:tab/>
        <w:t>Termination if vacant possession required on sale of park</w:t>
      </w:r>
      <w:bookmarkEnd w:id="63"/>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lastRenderedPageBreak/>
        <w:tab/>
        <w:t>(2)</w:t>
      </w:r>
      <w:r>
        <w:tab/>
        <w:t xml:space="preserve">The notice of termination must — </w:t>
      </w:r>
    </w:p>
    <w:p>
      <w:pPr>
        <w:pStyle w:val="Indenta"/>
        <w:ind w:right="141"/>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for this subsection: a fine of $10 000.</w:t>
      </w:r>
    </w:p>
    <w:p>
      <w:pPr>
        <w:pStyle w:val="Footnotesection"/>
      </w:pPr>
      <w:r>
        <w:tab/>
        <w:t>[Section 41 amended: No. 3 of 2019 s. 39.]</w:t>
      </w:r>
    </w:p>
    <w:p>
      <w:pPr>
        <w:pStyle w:val="Heading5"/>
      </w:pPr>
      <w:bookmarkStart w:id="64" w:name="_Toc89242277"/>
      <w:r>
        <w:rPr>
          <w:rStyle w:val="CharSectno"/>
        </w:rPr>
        <w:t>42</w:t>
      </w:r>
      <w:r>
        <w:t>.</w:t>
      </w:r>
      <w:r>
        <w:tab/>
        <w:t>Termination by park operator without grounds</w:t>
      </w:r>
      <w:bookmarkEnd w:id="64"/>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stay agreement under this section; and</w:t>
      </w:r>
    </w:p>
    <w:p>
      <w:pPr>
        <w:pStyle w:val="Indenta"/>
      </w:pPr>
      <w:r>
        <w:lastRenderedPageBreak/>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65" w:name="_Toc89242278"/>
      <w:r>
        <w:rPr>
          <w:rStyle w:val="CharSectno"/>
        </w:rPr>
        <w:t>43</w:t>
      </w:r>
      <w:r>
        <w:t>.</w:t>
      </w:r>
      <w:r>
        <w:tab/>
        <w:t>Notice not waived by acceptance of rent</w:t>
      </w:r>
      <w:bookmarkEnd w:id="65"/>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ageBreakBefore/>
        <w:spacing w:before="0"/>
      </w:pPr>
      <w:bookmarkStart w:id="66" w:name="_Toc89182153"/>
      <w:bookmarkStart w:id="67" w:name="_Toc89242279"/>
      <w:r>
        <w:rPr>
          <w:rStyle w:val="CharDivNo"/>
        </w:rPr>
        <w:lastRenderedPageBreak/>
        <w:t>Division 3</w:t>
      </w:r>
      <w:r>
        <w:t> — </w:t>
      </w:r>
      <w:r>
        <w:rPr>
          <w:rStyle w:val="CharDivText"/>
        </w:rPr>
        <w:t>Notice of termination by tenant</w:t>
      </w:r>
      <w:bookmarkEnd w:id="66"/>
      <w:bookmarkEnd w:id="67"/>
    </w:p>
    <w:p>
      <w:pPr>
        <w:pStyle w:val="Heading5"/>
      </w:pPr>
      <w:bookmarkStart w:id="68" w:name="_Toc89242280"/>
      <w:r>
        <w:rPr>
          <w:rStyle w:val="CharSectno"/>
        </w:rPr>
        <w:t>44</w:t>
      </w:r>
      <w:r>
        <w:t>.</w:t>
      </w:r>
      <w:r>
        <w:tab/>
        <w:t>Termination by tenant without grounds</w:t>
      </w:r>
      <w:bookmarkEnd w:id="68"/>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69" w:name="_Toc89182155"/>
      <w:bookmarkStart w:id="70" w:name="_Toc89242281"/>
      <w:r>
        <w:rPr>
          <w:rStyle w:val="CharDivNo"/>
        </w:rPr>
        <w:t>Division 4</w:t>
      </w:r>
      <w:r>
        <w:t> — </w:t>
      </w:r>
      <w:r>
        <w:rPr>
          <w:rStyle w:val="CharDivText"/>
        </w:rPr>
        <w:t>Notice of termination by park operator or tenant — agreement frustrated</w:t>
      </w:r>
      <w:bookmarkEnd w:id="69"/>
      <w:bookmarkEnd w:id="70"/>
    </w:p>
    <w:p>
      <w:pPr>
        <w:pStyle w:val="Heading5"/>
      </w:pPr>
      <w:bookmarkStart w:id="71" w:name="_Toc89242282"/>
      <w:r>
        <w:rPr>
          <w:rStyle w:val="CharSectno"/>
        </w:rPr>
        <w:t>45</w:t>
      </w:r>
      <w:r>
        <w:t>.</w:t>
      </w:r>
      <w:r>
        <w:tab/>
        <w:t>Termination if agreement frustrated</w:t>
      </w:r>
      <w:bookmarkEnd w:id="71"/>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 or</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lastRenderedPageBreak/>
        <w:tab/>
        <w:t>(4)</w:t>
      </w:r>
      <w:r>
        <w:tab/>
        <w:t xml:space="preserve">The notice of termination must — </w:t>
      </w:r>
    </w:p>
    <w:p>
      <w:pPr>
        <w:pStyle w:val="Indenta"/>
      </w:pPr>
      <w:r>
        <w:tab/>
        <w:t>(a)</w:t>
      </w:r>
      <w:r>
        <w:tab/>
        <w:t>state that the person giving the notice intends to terminate the long</w:t>
      </w:r>
      <w:r>
        <w:noBreakHyphen/>
        <w:t>stay agreement under this section; and</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72" w:name="_Toc89182157"/>
      <w:bookmarkStart w:id="73" w:name="_Toc89242283"/>
      <w:r>
        <w:rPr>
          <w:rStyle w:val="CharDivNo"/>
        </w:rPr>
        <w:t>Division 4A</w:t>
      </w:r>
      <w:r>
        <w:t> — </w:t>
      </w:r>
      <w:r>
        <w:rPr>
          <w:rStyle w:val="CharDivText"/>
        </w:rPr>
        <w:t>Special provisions about termination of tenant’s interest on grounds of family violence</w:t>
      </w:r>
      <w:bookmarkEnd w:id="72"/>
      <w:bookmarkEnd w:id="73"/>
    </w:p>
    <w:p>
      <w:pPr>
        <w:pStyle w:val="Footnoteheading"/>
      </w:pPr>
      <w:r>
        <w:tab/>
        <w:t>[Heading inserted: No. 3 of 2019 s. 30.]</w:t>
      </w:r>
    </w:p>
    <w:p>
      <w:pPr>
        <w:pStyle w:val="Heading5"/>
      </w:pPr>
      <w:bookmarkStart w:id="74" w:name="_Toc89242284"/>
      <w:r>
        <w:rPr>
          <w:rStyle w:val="CharSectno"/>
        </w:rPr>
        <w:t>45A</w:t>
      </w:r>
      <w:r>
        <w:t>.</w:t>
      </w:r>
      <w:r>
        <w:tab/>
        <w:t>Notice of termination of tenant’s interest on ground that tenant subject to family violence</w:t>
      </w:r>
      <w:bookmarkEnd w:id="74"/>
    </w:p>
    <w:p>
      <w:pPr>
        <w:pStyle w:val="Subsection"/>
      </w:pPr>
      <w:r>
        <w:tab/>
        <w:t>(1)</w:t>
      </w:r>
      <w:r>
        <w:tab/>
        <w:t>Despite any other provision of this Act or another written law or a requirement under a contract, a long</w:t>
      </w:r>
      <w:r>
        <w:noBreakHyphen/>
        <w:t>stay tenant may give to the park operator notice of termination of the tenant’s interest in an on</w:t>
      </w:r>
      <w:r>
        <w:noBreakHyphen/>
        <w:t>site home agreement on the ground that the tenant or a dependant of the tenant is, during the tenancy period, likely to be subjected or exposed to family violence.</w:t>
      </w:r>
    </w:p>
    <w:p>
      <w:pPr>
        <w:pStyle w:val="Subsection"/>
      </w:pPr>
      <w:r>
        <w:lastRenderedPageBreak/>
        <w:tab/>
        <w:t>(2)</w:t>
      </w:r>
      <w:r>
        <w:tab/>
        <w:t xml:space="preserve">A notice under this section must be accompanied by a document, applicable during the tenancy under the agreement,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long</w:t>
      </w:r>
      <w:r>
        <w:noBreakHyphen/>
        <w:t>stay tenant or a court record of a conviction of the charge;</w:t>
      </w:r>
    </w:p>
    <w:p>
      <w:pPr>
        <w:pStyle w:val="Indenta"/>
      </w:pPr>
      <w:r>
        <w:tab/>
        <w:t>(d)</w:t>
      </w:r>
      <w:r>
        <w:tab/>
        <w:t>a report of family violence, in a form approved by the Commissioner, completed by a person who has worked with the long</w:t>
      </w:r>
      <w:r>
        <w:noBreakHyphen/>
        <w:t xml:space="preserve">stay tenant and is 1 of the following —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park operator must not disclose information in a document provided to the park operator under subsection (2) to another person except in accordance with this Act or another written law.</w:t>
      </w:r>
    </w:p>
    <w:p>
      <w:pPr>
        <w:pStyle w:val="Penstart"/>
      </w:pPr>
      <w:r>
        <w:tab/>
        <w:t>Penalty for this subsection: a fine of $5 000.</w:t>
      </w:r>
    </w:p>
    <w:p>
      <w:pPr>
        <w:pStyle w:val="Subsection"/>
      </w:pPr>
      <w:r>
        <w:tab/>
        <w:t>(4)</w:t>
      </w:r>
      <w:r>
        <w:tab/>
        <w:t>The park operator must ensure that information provided to the park operator under subsection (2) is kept in a secure manner so far as it is reasonably practicable to do so.</w:t>
      </w:r>
    </w:p>
    <w:p>
      <w:pPr>
        <w:pStyle w:val="Penstart"/>
      </w:pPr>
      <w:r>
        <w:tab/>
        <w:t>Penalty for this subsection: a fine of $5 000.</w:t>
      </w:r>
    </w:p>
    <w:p>
      <w:pPr>
        <w:pStyle w:val="Subsection"/>
      </w:pPr>
      <w:r>
        <w:lastRenderedPageBreak/>
        <w:tab/>
        <w:t>(5)</w:t>
      </w:r>
      <w:r>
        <w:tab/>
        <w:t>If a long</w:t>
      </w:r>
      <w:r>
        <w:noBreakHyphen/>
        <w:t>stay tenant gives notice under this section, the period of notice must be not less than 7 days before the termination day.</w:t>
      </w:r>
    </w:p>
    <w:p>
      <w:pPr>
        <w:pStyle w:val="Footnotesection"/>
      </w:pPr>
      <w:r>
        <w:tab/>
        <w:t>[Section 45A inserted: No. 3 of 2019 s. 30.]</w:t>
      </w:r>
    </w:p>
    <w:p>
      <w:pPr>
        <w:pStyle w:val="Heading5"/>
      </w:pPr>
      <w:bookmarkStart w:id="75" w:name="_Toc89242285"/>
      <w:r>
        <w:rPr>
          <w:rStyle w:val="CharSectno"/>
        </w:rPr>
        <w:t>45B</w:t>
      </w:r>
      <w:r>
        <w:t>.</w:t>
      </w:r>
      <w:r>
        <w:tab/>
        <w:t>Rights of co</w:t>
      </w:r>
      <w:r>
        <w:noBreakHyphen/>
        <w:t>tenants after notice under s. 45A</w:t>
      </w:r>
      <w:bookmarkEnd w:id="75"/>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45A(1), does not include the tenant who gave the notice.</w:t>
      </w:r>
    </w:p>
    <w:p>
      <w:pPr>
        <w:pStyle w:val="Subsection"/>
      </w:pPr>
      <w:r>
        <w:tab/>
        <w:t>(2)</w:t>
      </w:r>
      <w:r>
        <w:tab/>
        <w:t>A park operator must give a copy of a notice received by the park operator under section 45A(1) to each co</w:t>
      </w:r>
      <w:r>
        <w:noBreakHyphen/>
        <w:t>tenant under the long</w:t>
      </w:r>
      <w:r>
        <w:noBreakHyphen/>
        <w:t>stay agreement within 7 days of receiving the notice.</w:t>
      </w:r>
    </w:p>
    <w:p>
      <w:pPr>
        <w:pStyle w:val="Subsection"/>
      </w:pPr>
      <w:r>
        <w:tab/>
        <w:t>(3)</w:t>
      </w:r>
      <w:r>
        <w:tab/>
        <w:t>Nothing in subsection (2) requires or permits the park operator to give a copy of a document provided under section 45A(2)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long</w:t>
      </w:r>
      <w:r>
        <w:noBreakHyphen/>
        <w:t>stay agreement to the park operator.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45B inserted: No. 3 of 2019 s. 30.]</w:t>
      </w:r>
    </w:p>
    <w:p>
      <w:pPr>
        <w:pStyle w:val="Heading5"/>
      </w:pPr>
      <w:bookmarkStart w:id="76" w:name="_Toc89242286"/>
      <w:r>
        <w:rPr>
          <w:rStyle w:val="CharSectno"/>
        </w:rPr>
        <w:t>45C</w:t>
      </w:r>
      <w:r>
        <w:t>.</w:t>
      </w:r>
      <w:r>
        <w:tab/>
        <w:t>Review of Division</w:t>
      </w:r>
      <w:bookmarkEnd w:id="76"/>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lastRenderedPageBreak/>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45C inserted: No. 3 of 2019 s. 30.]</w:t>
      </w:r>
    </w:p>
    <w:p>
      <w:pPr>
        <w:pStyle w:val="Heading3"/>
      </w:pPr>
      <w:bookmarkStart w:id="77" w:name="_Toc89182161"/>
      <w:bookmarkStart w:id="78" w:name="_Toc89242287"/>
      <w:r>
        <w:rPr>
          <w:rStyle w:val="CharDivNo"/>
        </w:rPr>
        <w:t>Division 5</w:t>
      </w:r>
      <w:r>
        <w:t> — </w:t>
      </w:r>
      <w:r>
        <w:rPr>
          <w:rStyle w:val="CharDivText"/>
        </w:rPr>
        <w:t>Compensation</w:t>
      </w:r>
      <w:bookmarkEnd w:id="77"/>
      <w:bookmarkEnd w:id="78"/>
    </w:p>
    <w:p>
      <w:pPr>
        <w:pStyle w:val="Heading5"/>
      </w:pPr>
      <w:bookmarkStart w:id="79" w:name="_Toc89242288"/>
      <w:r>
        <w:rPr>
          <w:rStyle w:val="CharSectno"/>
        </w:rPr>
        <w:t>46</w:t>
      </w:r>
      <w:r>
        <w:t>.</w:t>
      </w:r>
      <w:r>
        <w:tab/>
        <w:t>When long</w:t>
      </w:r>
      <w:r>
        <w:noBreakHyphen/>
        <w:t>stay tenant is entitled to compensation</w:t>
      </w:r>
      <w:bookmarkEnd w:id="79"/>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highlight w:val="cyan"/>
        </w:rPr>
      </w:pPr>
      <w:r>
        <w:rPr>
          <w:iCs/>
        </w:rPr>
        <w:tab/>
      </w:r>
      <w:r>
        <w:t>(a)</w:t>
      </w:r>
      <w:r>
        <w:rPr>
          <w:iCs/>
        </w:rPr>
        <w:tab/>
      </w:r>
      <w:r>
        <w:t>under section 41 (termination if vacant possession required on sale of park);</w:t>
      </w:r>
      <w:r>
        <w:rPr>
          <w:iCs/>
        </w:rPr>
        <w:t xml:space="preserve"> or</w:t>
      </w:r>
    </w:p>
    <w:p>
      <w:pPr>
        <w:pStyle w:val="Indenta"/>
      </w:pPr>
      <w:r>
        <w:tab/>
        <w:t>(b)</w:t>
      </w:r>
      <w:r>
        <w:tab/>
        <w:t>under section 42 (termination by park operator without grounds); or</w:t>
      </w:r>
    </w:p>
    <w:p>
      <w:pPr>
        <w:pStyle w:val="Indenta"/>
        <w:rPr>
          <w:i/>
          <w:iCs/>
        </w:rPr>
      </w:pPr>
      <w:r>
        <w:rPr>
          <w:iCs/>
        </w:rPr>
        <w:tab/>
      </w:r>
      <w:r>
        <w:t>(c)</w:t>
      </w:r>
      <w:r>
        <w:rPr>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Cs/>
        </w:rPr>
        <w:tab/>
      </w:r>
      <w:r>
        <w:t>(2)</w:t>
      </w:r>
      <w:r>
        <w:rPr>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80" w:name="_Toc89242289"/>
      <w:r>
        <w:rPr>
          <w:rStyle w:val="CharSectno"/>
        </w:rPr>
        <w:lastRenderedPageBreak/>
        <w:t>47</w:t>
      </w:r>
      <w:r>
        <w:t>.</w:t>
      </w:r>
      <w:r>
        <w:tab/>
        <w:t>When park operator is entitled to compensation</w:t>
      </w:r>
      <w:bookmarkEnd w:id="80"/>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81" w:name="_Toc89182164"/>
      <w:bookmarkStart w:id="82" w:name="_Toc89242290"/>
      <w:r>
        <w:rPr>
          <w:rStyle w:val="CharDivNo"/>
        </w:rPr>
        <w:t>Division 6</w:t>
      </w:r>
      <w:r>
        <w:t> — </w:t>
      </w:r>
      <w:r>
        <w:rPr>
          <w:rStyle w:val="CharDivText"/>
        </w:rPr>
        <w:t>Abandoned goods</w:t>
      </w:r>
      <w:bookmarkEnd w:id="81"/>
      <w:bookmarkEnd w:id="82"/>
    </w:p>
    <w:p>
      <w:pPr>
        <w:pStyle w:val="Heading5"/>
      </w:pPr>
      <w:bookmarkStart w:id="83" w:name="_Toc89242291"/>
      <w:r>
        <w:rPr>
          <w:rStyle w:val="CharSectno"/>
        </w:rPr>
        <w:t>48</w:t>
      </w:r>
      <w:r>
        <w:t>.</w:t>
      </w:r>
      <w:r>
        <w:tab/>
        <w:t>Disposing of goods abandoned by tenant</w:t>
      </w:r>
      <w:bookmarkEnd w:id="83"/>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arrange for the notice or a summary of the notice to be published in a newspaper circulating generally throughout Western Australia.</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lastRenderedPageBreak/>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84" w:name="_Toc89242292"/>
      <w:r>
        <w:rPr>
          <w:rStyle w:val="CharSectno"/>
        </w:rPr>
        <w:t>49</w:t>
      </w:r>
      <w:r>
        <w:t>.</w:t>
      </w:r>
      <w:r>
        <w:tab/>
        <w:t>Tenant’s right to reclaim abandoned goods put into storage</w:t>
      </w:r>
      <w:bookmarkEnd w:id="84"/>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85" w:name="_Toc89242293"/>
      <w:r>
        <w:rPr>
          <w:rStyle w:val="CharSectno"/>
        </w:rPr>
        <w:t>50</w:t>
      </w:r>
      <w:r>
        <w:t>.</w:t>
      </w:r>
      <w:r>
        <w:tab/>
        <w:t>Title acquired by purchaser of abandoned goods</w:t>
      </w:r>
      <w:bookmarkEnd w:id="85"/>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86" w:name="_Toc89242294"/>
      <w:r>
        <w:rPr>
          <w:rStyle w:val="CharSectno"/>
        </w:rPr>
        <w:t>51</w:t>
      </w:r>
      <w:r>
        <w:t>.</w:t>
      </w:r>
      <w:r>
        <w:tab/>
        <w:t>Park operator’s liability for abandoned goods</w:t>
      </w:r>
      <w:bookmarkEnd w:id="86"/>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 No. 60 of 2011 s. 108.]</w:t>
      </w:r>
    </w:p>
    <w:p>
      <w:pPr>
        <w:pStyle w:val="Heading5"/>
      </w:pPr>
      <w:bookmarkStart w:id="87" w:name="_Toc89242295"/>
      <w:r>
        <w:rPr>
          <w:rStyle w:val="CharSectno"/>
        </w:rPr>
        <w:lastRenderedPageBreak/>
        <w:t>52</w:t>
      </w:r>
      <w:r>
        <w:t>.</w:t>
      </w:r>
      <w:r>
        <w:tab/>
        <w:t>Disposition of proceeds of sale of abandoned goods</w:t>
      </w:r>
      <w:bookmarkEnd w:id="87"/>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88" w:name="_Toc89182170"/>
      <w:bookmarkStart w:id="89" w:name="_Toc89242296"/>
      <w:r>
        <w:rPr>
          <w:rStyle w:val="CharDivNo"/>
        </w:rPr>
        <w:t>Division 7</w:t>
      </w:r>
      <w:r>
        <w:t> — </w:t>
      </w:r>
      <w:r>
        <w:rPr>
          <w:rStyle w:val="CharDivText"/>
        </w:rPr>
        <w:t>Miscellaneous provisions</w:t>
      </w:r>
      <w:bookmarkEnd w:id="88"/>
      <w:bookmarkEnd w:id="89"/>
    </w:p>
    <w:p>
      <w:pPr>
        <w:pStyle w:val="Heading5"/>
      </w:pPr>
      <w:bookmarkStart w:id="90" w:name="_Toc89242297"/>
      <w:r>
        <w:rPr>
          <w:rStyle w:val="CharSectno"/>
        </w:rPr>
        <w:t>53</w:t>
      </w:r>
      <w:r>
        <w:t>.</w:t>
      </w:r>
      <w:r>
        <w:tab/>
        <w:t>Duty of mitigation following breach of agreement</w:t>
      </w:r>
      <w:bookmarkEnd w:id="90"/>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91" w:name="_Toc89242298"/>
      <w:r>
        <w:rPr>
          <w:rStyle w:val="CharSectno"/>
        </w:rPr>
        <w:t>54</w:t>
      </w:r>
      <w:r>
        <w:t>.</w:t>
      </w:r>
      <w:r>
        <w:tab/>
        <w:t>No recovery of vacant possession during tenancy period</w:t>
      </w:r>
      <w:bookmarkEnd w:id="91"/>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92" w:name="_Toc89182173"/>
      <w:bookmarkStart w:id="93" w:name="_Toc89242299"/>
      <w:r>
        <w:rPr>
          <w:rStyle w:val="CharPartNo"/>
        </w:rPr>
        <w:lastRenderedPageBreak/>
        <w:t>Part 4</w:t>
      </w:r>
      <w:r>
        <w:t> — </w:t>
      </w:r>
      <w:r>
        <w:rPr>
          <w:rStyle w:val="CharPartText"/>
        </w:rPr>
        <w:t>Other matters related to residential parks</w:t>
      </w:r>
      <w:bookmarkEnd w:id="92"/>
      <w:bookmarkEnd w:id="93"/>
    </w:p>
    <w:p>
      <w:pPr>
        <w:pStyle w:val="Heading3"/>
      </w:pPr>
      <w:bookmarkStart w:id="94" w:name="_Toc89182174"/>
      <w:bookmarkStart w:id="95" w:name="_Toc89242300"/>
      <w:r>
        <w:rPr>
          <w:rStyle w:val="CharDivNo"/>
        </w:rPr>
        <w:t>Division 1</w:t>
      </w:r>
      <w:r>
        <w:t> — </w:t>
      </w:r>
      <w:r>
        <w:rPr>
          <w:rStyle w:val="CharDivText"/>
        </w:rPr>
        <w:t>Sale of relocatable homes on site</w:t>
      </w:r>
      <w:bookmarkEnd w:id="94"/>
      <w:bookmarkEnd w:id="95"/>
    </w:p>
    <w:p>
      <w:pPr>
        <w:pStyle w:val="Heading5"/>
      </w:pPr>
      <w:bookmarkStart w:id="96" w:name="_Toc89242301"/>
      <w:r>
        <w:rPr>
          <w:rStyle w:val="CharSectno"/>
        </w:rPr>
        <w:t>55</w:t>
      </w:r>
      <w:r>
        <w:t>.</w:t>
      </w:r>
      <w:r>
        <w:tab/>
        <w:t>Long</w:t>
      </w:r>
      <w:r>
        <w:noBreakHyphen/>
        <w:t>stay tenant’s right to sell relocatable home on site</w:t>
      </w:r>
      <w:bookmarkEnd w:id="96"/>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97" w:name="_Toc89242302"/>
      <w:r>
        <w:rPr>
          <w:rStyle w:val="CharSectno"/>
        </w:rPr>
        <w:t>56</w:t>
      </w:r>
      <w:r>
        <w:t>.</w:t>
      </w:r>
      <w:r>
        <w:tab/>
        <w:t>Park operator’s obligations</w:t>
      </w:r>
      <w:bookmarkEnd w:id="97"/>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98" w:name="_Toc89242303"/>
      <w:r>
        <w:rPr>
          <w:rStyle w:val="CharSectno"/>
        </w:rPr>
        <w:lastRenderedPageBreak/>
        <w:t>57</w:t>
      </w:r>
      <w:r>
        <w:t>.</w:t>
      </w:r>
      <w:r>
        <w:tab/>
        <w:t>When park operator acts as agent in sale on site</w:t>
      </w:r>
      <w:bookmarkEnd w:id="98"/>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99" w:name="_Toc89242304"/>
      <w:r>
        <w:rPr>
          <w:rStyle w:val="CharSectno"/>
        </w:rPr>
        <w:t>58</w:t>
      </w:r>
      <w:r>
        <w:t>.</w:t>
      </w:r>
      <w:r>
        <w:tab/>
        <w:t>Park operator’s authority to act as selling agent</w:t>
      </w:r>
      <w:bookmarkEnd w:id="99"/>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lastRenderedPageBreak/>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5"/>
      </w:pPr>
      <w:bookmarkStart w:id="100" w:name="_Toc89242305"/>
      <w:r>
        <w:rPr>
          <w:rStyle w:val="CharSectno"/>
        </w:rPr>
        <w:t>58A</w:t>
      </w:r>
      <w:r>
        <w:t>.</w:t>
      </w:r>
      <w:r>
        <w:tab/>
        <w:t>Discrimination against tenants subjected or exposed to family violence</w:t>
      </w:r>
      <w:bookmarkEnd w:id="100"/>
    </w:p>
    <w:p>
      <w:pPr>
        <w:pStyle w:val="Subsection"/>
      </w:pPr>
      <w:r>
        <w:tab/>
      </w:r>
      <w:r>
        <w:tab/>
        <w:t>A park operator must not refuse to enter into a long</w:t>
      </w:r>
      <w:r>
        <w:noBreakHyphen/>
        <w:t xml:space="preserve">stay agreement with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pPr>
      <w:r>
        <w:tab/>
        <w:t>[Section 58A inserted: No. 3 of 2019 s. 31.]</w:t>
      </w:r>
    </w:p>
    <w:p>
      <w:pPr>
        <w:pStyle w:val="Heading3"/>
      </w:pPr>
      <w:bookmarkStart w:id="101" w:name="_Toc89182180"/>
      <w:bookmarkStart w:id="102" w:name="_Toc89242306"/>
      <w:r>
        <w:rPr>
          <w:rStyle w:val="CharDivNo"/>
        </w:rPr>
        <w:t>Division 2</w:t>
      </w:r>
      <w:r>
        <w:t> — </w:t>
      </w:r>
      <w:r>
        <w:rPr>
          <w:rStyle w:val="CharDivText"/>
        </w:rPr>
        <w:t>Park liaison committees</w:t>
      </w:r>
      <w:bookmarkEnd w:id="101"/>
      <w:bookmarkEnd w:id="102"/>
    </w:p>
    <w:p>
      <w:pPr>
        <w:pStyle w:val="Heading5"/>
      </w:pPr>
      <w:bookmarkStart w:id="103" w:name="_Toc89242307"/>
      <w:r>
        <w:rPr>
          <w:rStyle w:val="CharSectno"/>
        </w:rPr>
        <w:t>59</w:t>
      </w:r>
      <w:r>
        <w:t>.</w:t>
      </w:r>
      <w:r>
        <w:tab/>
        <w:t>Establishment of park liaison committee</w:t>
      </w:r>
      <w:bookmarkEnd w:id="103"/>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for this subsection: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Footnotesection"/>
      </w:pPr>
      <w:r>
        <w:tab/>
        <w:t>[Section 59 amended: No. 3 of 2019 s. 39.]</w:t>
      </w:r>
    </w:p>
    <w:p>
      <w:pPr>
        <w:pStyle w:val="Heading5"/>
      </w:pPr>
      <w:bookmarkStart w:id="104" w:name="_Toc89242308"/>
      <w:r>
        <w:rPr>
          <w:rStyle w:val="CharSectno"/>
        </w:rPr>
        <w:lastRenderedPageBreak/>
        <w:t>60</w:t>
      </w:r>
      <w:r>
        <w:t>.</w:t>
      </w:r>
      <w:r>
        <w:tab/>
        <w:t>Constitution of park liaison committee</w:t>
      </w:r>
      <w:bookmarkEnd w:id="104"/>
    </w:p>
    <w:p>
      <w:pPr>
        <w:pStyle w:val="Subsection"/>
        <w:keepNext/>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105" w:name="_Toc89242309"/>
      <w:r>
        <w:rPr>
          <w:rStyle w:val="CharSectno"/>
        </w:rPr>
        <w:t>61</w:t>
      </w:r>
      <w:r>
        <w:t>.</w:t>
      </w:r>
      <w:r>
        <w:tab/>
        <w:t>Functions of park liaison committee</w:t>
      </w:r>
      <w:bookmarkEnd w:id="105"/>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lastRenderedPageBreak/>
        <w:tab/>
        <w:t>(iv)</w:t>
      </w:r>
      <w:r>
        <w:tab/>
        <w:t>any other matter prescribed by the regulations;</w:t>
      </w:r>
    </w:p>
    <w:p>
      <w:pPr>
        <w:pStyle w:val="Indenta"/>
      </w:pPr>
      <w:r>
        <w:tab/>
      </w:r>
      <w:r>
        <w:tab/>
        <w:t>and</w:t>
      </w:r>
    </w:p>
    <w:p>
      <w:pPr>
        <w:pStyle w:val="Indenta"/>
      </w:pPr>
      <w:r>
        <w:tab/>
        <w:t>(b)</w:t>
      </w:r>
      <w:r>
        <w:tab/>
        <w:t xml:space="preserve">to assist the park operator — </w:t>
      </w:r>
    </w:p>
    <w:p>
      <w:pPr>
        <w:pStyle w:val="Indenti"/>
      </w:pPr>
      <w:r>
        <w:tab/>
        <w:t>(i)</w:t>
      </w:r>
      <w:r>
        <w:tab/>
        <w:t>to ensure that the park rules are observed by park residents; and</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106" w:name="_Toc89182184"/>
      <w:bookmarkStart w:id="107" w:name="_Toc89242310"/>
      <w:r>
        <w:rPr>
          <w:rStyle w:val="CharPartNo"/>
        </w:rPr>
        <w:lastRenderedPageBreak/>
        <w:t>Part 5</w:t>
      </w:r>
      <w:r>
        <w:t> — </w:t>
      </w:r>
      <w:r>
        <w:rPr>
          <w:rStyle w:val="CharPartText"/>
        </w:rPr>
        <w:t>State Administrative Tribunal powers</w:t>
      </w:r>
      <w:bookmarkEnd w:id="106"/>
      <w:bookmarkEnd w:id="107"/>
    </w:p>
    <w:p>
      <w:pPr>
        <w:pStyle w:val="Heading3"/>
      </w:pPr>
      <w:bookmarkStart w:id="108" w:name="_Toc89182185"/>
      <w:bookmarkStart w:id="109" w:name="_Toc89242311"/>
      <w:r>
        <w:rPr>
          <w:rStyle w:val="CharDivNo"/>
        </w:rPr>
        <w:t>Division 1</w:t>
      </w:r>
      <w:r>
        <w:t> — </w:t>
      </w:r>
      <w:r>
        <w:rPr>
          <w:rStyle w:val="CharDivText"/>
        </w:rPr>
        <w:t>General provisions</w:t>
      </w:r>
      <w:bookmarkEnd w:id="108"/>
      <w:bookmarkEnd w:id="109"/>
    </w:p>
    <w:p>
      <w:pPr>
        <w:pStyle w:val="Heading5"/>
      </w:pPr>
      <w:bookmarkStart w:id="110" w:name="_Toc89242312"/>
      <w:r>
        <w:rPr>
          <w:rStyle w:val="CharSectno"/>
        </w:rPr>
        <w:t>62</w:t>
      </w:r>
      <w:r>
        <w:t>.</w:t>
      </w:r>
      <w:r>
        <w:tab/>
        <w:t>Breaches of agreement and other disputes</w:t>
      </w:r>
      <w:bookmarkEnd w:id="110"/>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lastRenderedPageBreak/>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111" w:name="_Toc89242313"/>
      <w:r>
        <w:rPr>
          <w:rStyle w:val="CharSectno"/>
        </w:rPr>
        <w:t>63</w:t>
      </w:r>
      <w:r>
        <w:t>.</w:t>
      </w:r>
      <w:r>
        <w:tab/>
        <w:t>Orders for reduction of rent</w:t>
      </w:r>
      <w:bookmarkEnd w:id="111"/>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 xml:space="preserve">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w:t>
      </w:r>
      <w:r>
        <w:lastRenderedPageBreak/>
        <w:t>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 and</w:t>
      </w:r>
    </w:p>
    <w:p>
      <w:pPr>
        <w:pStyle w:val="Indenta"/>
      </w:pPr>
      <w:r>
        <w:tab/>
        <w:t>(b)</w:t>
      </w:r>
      <w:r>
        <w:tab/>
        <w:t>the estimated capital value of the agreed premises at the date of the application; and</w:t>
      </w:r>
    </w:p>
    <w:p>
      <w:pPr>
        <w:pStyle w:val="Indenta"/>
      </w:pPr>
      <w:r>
        <w:tab/>
        <w:t>(c)</w:t>
      </w:r>
      <w:r>
        <w:tab/>
        <w:t>the amount of the outgoings to be borne by the park operator in respect of the agreed premises; and</w:t>
      </w:r>
    </w:p>
    <w:p>
      <w:pPr>
        <w:pStyle w:val="Indenta"/>
      </w:pPr>
      <w:r>
        <w:tab/>
        <w:t>(d)</w:t>
      </w:r>
      <w:r>
        <w:tab/>
        <w:t>the estimated cost of any services provided by the park operator or the long</w:t>
      </w:r>
      <w:r>
        <w:noBreakHyphen/>
        <w:t>stay tenant under the long</w:t>
      </w:r>
      <w:r>
        <w:noBreakHyphen/>
        <w:t>stay agreement; and</w:t>
      </w:r>
    </w:p>
    <w:p>
      <w:pPr>
        <w:pStyle w:val="Indenta"/>
      </w:pPr>
      <w:r>
        <w:tab/>
        <w:t>(e)</w:t>
      </w:r>
      <w:r>
        <w:tab/>
        <w:t>the value and nature of any chattels provided for the use of the tenant with the agreed premises or as part of the shared premises; and</w:t>
      </w:r>
    </w:p>
    <w:p>
      <w:pPr>
        <w:pStyle w:val="Indenta"/>
      </w:pPr>
      <w:r>
        <w:tab/>
        <w:t>(f)</w:t>
      </w:r>
      <w:r>
        <w:tab/>
        <w:t>the standard and nature of the facilities and amenities that are available for the use of the tenant as part of the shared premises; and</w:t>
      </w:r>
    </w:p>
    <w:p>
      <w:pPr>
        <w:pStyle w:val="Indenta"/>
      </w:pPr>
      <w:r>
        <w:tab/>
        <w:t>(g)</w:t>
      </w:r>
      <w:r>
        <w:tab/>
        <w:t>in the case of an on</w:t>
      </w:r>
      <w:r>
        <w:noBreakHyphen/>
        <w:t xml:space="preserve">site home agreement — the standard of accommodation and amenities provided in the agreed </w:t>
      </w:r>
      <w:r>
        <w:lastRenderedPageBreak/>
        <w:t>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 and</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112" w:name="_Toc89242314"/>
      <w:r>
        <w:rPr>
          <w:rStyle w:val="CharSectno"/>
        </w:rPr>
        <w:t>64</w:t>
      </w:r>
      <w:r>
        <w:t>.</w:t>
      </w:r>
      <w:r>
        <w:tab/>
        <w:t>Orders when premises abandoned by tenant</w:t>
      </w:r>
      <w:bookmarkEnd w:id="112"/>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keepNext w:val="0"/>
        <w:keepLines w:val="0"/>
      </w:pPr>
      <w:bookmarkStart w:id="113" w:name="_Toc89242315"/>
      <w:r>
        <w:rPr>
          <w:rStyle w:val="CharSectno"/>
        </w:rPr>
        <w:t>65</w:t>
      </w:r>
      <w:r>
        <w:t>.</w:t>
      </w:r>
      <w:r>
        <w:tab/>
        <w:t>Determination of compensation payable to long</w:t>
      </w:r>
      <w:r>
        <w:noBreakHyphen/>
        <w:t>stay tenant</w:t>
      </w:r>
      <w:bookmarkEnd w:id="113"/>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lastRenderedPageBreak/>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114" w:name="_Toc89182190"/>
      <w:bookmarkStart w:id="115" w:name="_Toc89242316"/>
      <w:r>
        <w:rPr>
          <w:rStyle w:val="CharDivNo"/>
        </w:rPr>
        <w:lastRenderedPageBreak/>
        <w:t>Division 2</w:t>
      </w:r>
      <w:r>
        <w:t> — </w:t>
      </w:r>
      <w:r>
        <w:rPr>
          <w:rStyle w:val="CharDivText"/>
        </w:rPr>
        <w:t>Orders relating to vacant possession</w:t>
      </w:r>
      <w:bookmarkEnd w:id="114"/>
      <w:bookmarkEnd w:id="115"/>
    </w:p>
    <w:p>
      <w:pPr>
        <w:pStyle w:val="Heading5"/>
      </w:pPr>
      <w:bookmarkStart w:id="116" w:name="_Toc89242317"/>
      <w:r>
        <w:rPr>
          <w:rStyle w:val="CharSectno"/>
        </w:rPr>
        <w:t>66</w:t>
      </w:r>
      <w:r>
        <w:t>.</w:t>
      </w:r>
      <w:r>
        <w:tab/>
        <w:t>Orders for vacant possession if rent not paid</w:t>
      </w:r>
      <w:bookmarkEnd w:id="116"/>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the notice of termination was given in accordance with this Act; and</w:t>
      </w:r>
    </w:p>
    <w:p>
      <w:pPr>
        <w:pStyle w:val="Indenta"/>
      </w:pPr>
      <w:r>
        <w:tab/>
        <w:t>(b)</w:t>
      </w:r>
      <w:r>
        <w:tab/>
        <w:t>the day on which the orders are made is at least 21 days after the day on which the notice of termination was given to the tenant; and</w:t>
      </w:r>
    </w:p>
    <w:p>
      <w:pPr>
        <w:pStyle w:val="Indenta"/>
      </w:pPr>
      <w:r>
        <w:lastRenderedPageBreak/>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117" w:name="_Toc89242318"/>
      <w:r>
        <w:rPr>
          <w:rStyle w:val="CharSectno"/>
        </w:rPr>
        <w:t>67</w:t>
      </w:r>
      <w:r>
        <w:t>.</w:t>
      </w:r>
      <w:r>
        <w:tab/>
        <w:t>Orders for vacant possession at end of fixed term</w:t>
      </w:r>
      <w:bookmarkEnd w:id="117"/>
    </w:p>
    <w:p>
      <w:pPr>
        <w:pStyle w:val="Subsection"/>
      </w:pPr>
      <w:r>
        <w:tab/>
        <w:t>(1)</w:t>
      </w:r>
      <w:r>
        <w:tab/>
        <w:t xml:space="preserve">This section applies where — </w:t>
      </w:r>
    </w:p>
    <w:p>
      <w:pPr>
        <w:pStyle w:val="Indenta"/>
      </w:pPr>
      <w:r>
        <w:tab/>
        <w:t>(a)</w:t>
      </w:r>
      <w:r>
        <w:tab/>
        <w:t>the fixed term under a long</w:t>
      </w:r>
      <w:r>
        <w:noBreakHyphen/>
        <w:t>stay agreement for a fixed term has ended; and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lastRenderedPageBreak/>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118" w:name="_Toc89242319"/>
      <w:r>
        <w:rPr>
          <w:rStyle w:val="CharSectno"/>
        </w:rPr>
        <w:t>68</w:t>
      </w:r>
      <w:r>
        <w:t>.</w:t>
      </w:r>
      <w:r>
        <w:tab/>
        <w:t>Orders for vacant possession on other grounds</w:t>
      </w:r>
      <w:bookmarkEnd w:id="118"/>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lastRenderedPageBreak/>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spacing w:before="120"/>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 or</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spacing w:before="120"/>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spacing w:before="60"/>
      </w:pPr>
      <w:r>
        <w:tab/>
        <w:t>(a)</w:t>
      </w:r>
      <w:r>
        <w:tab/>
        <w:t>to the park operator by suspending the orders; or</w:t>
      </w:r>
    </w:p>
    <w:p>
      <w:pPr>
        <w:pStyle w:val="Indenta"/>
      </w:pPr>
      <w:r>
        <w:lastRenderedPageBreak/>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119" w:name="_Toc89242320"/>
      <w:r>
        <w:rPr>
          <w:rStyle w:val="CharSectno"/>
        </w:rPr>
        <w:t>69</w:t>
      </w:r>
      <w:r>
        <w:t>.</w:t>
      </w:r>
      <w:r>
        <w:tab/>
        <w:t>Orders for compensation to park operator for holding over</w:t>
      </w:r>
      <w:bookmarkEnd w:id="119"/>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120" w:name="_Toc89242321"/>
      <w:r>
        <w:rPr>
          <w:rStyle w:val="CharSectno"/>
        </w:rPr>
        <w:lastRenderedPageBreak/>
        <w:t>70</w:t>
      </w:r>
      <w:r>
        <w:t>.</w:t>
      </w:r>
      <w:r>
        <w:tab/>
        <w:t>Tenant’s protection against holder of superior title</w:t>
      </w:r>
      <w:bookmarkEnd w:id="120"/>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121" w:name="_Toc89182196"/>
      <w:bookmarkStart w:id="122" w:name="_Toc89242322"/>
      <w:r>
        <w:rPr>
          <w:rStyle w:val="CharDivNo"/>
        </w:rPr>
        <w:t>Division 3</w:t>
      </w:r>
      <w:r>
        <w:t> — </w:t>
      </w:r>
      <w:r>
        <w:rPr>
          <w:rStyle w:val="CharDivText"/>
        </w:rPr>
        <w:t>Orders relating to termination of agreements</w:t>
      </w:r>
      <w:bookmarkEnd w:id="121"/>
      <w:bookmarkEnd w:id="122"/>
    </w:p>
    <w:p>
      <w:pPr>
        <w:pStyle w:val="Heading5"/>
      </w:pPr>
      <w:bookmarkStart w:id="123" w:name="_Toc89242323"/>
      <w:r>
        <w:rPr>
          <w:rStyle w:val="CharSectno"/>
        </w:rPr>
        <w:t>71</w:t>
      </w:r>
      <w:r>
        <w:t>.</w:t>
      </w:r>
      <w:r>
        <w:tab/>
        <w:t>Orders to terminate agreement if tenant is causing damage or injury</w:t>
      </w:r>
      <w:bookmarkEnd w:id="123"/>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lastRenderedPageBreak/>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124" w:name="_Toc89242324"/>
      <w:r>
        <w:rPr>
          <w:rStyle w:val="CharSectno"/>
        </w:rPr>
        <w:t>72</w:t>
      </w:r>
      <w:r>
        <w:t>.</w:t>
      </w:r>
      <w:r>
        <w:tab/>
        <w:t>Orders to terminate agreement for breach by park operator</w:t>
      </w:r>
      <w:bookmarkEnd w:id="124"/>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125" w:name="_Toc89242325"/>
      <w:r>
        <w:rPr>
          <w:rStyle w:val="CharSectno"/>
        </w:rPr>
        <w:t>73</w:t>
      </w:r>
      <w:r>
        <w:t>.</w:t>
      </w:r>
      <w:r>
        <w:tab/>
        <w:t>Termination on grounds of hardship to park operator</w:t>
      </w:r>
      <w:bookmarkEnd w:id="125"/>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lastRenderedPageBreak/>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126" w:name="_Toc89242326"/>
      <w:r>
        <w:rPr>
          <w:rStyle w:val="CharSectno"/>
        </w:rPr>
        <w:t>74</w:t>
      </w:r>
      <w:r>
        <w:t>.</w:t>
      </w:r>
      <w:r>
        <w:tab/>
        <w:t>Tribunal’s power during fair rent proceedings</w:t>
      </w:r>
      <w:bookmarkEnd w:id="126"/>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127" w:name="_Toc89182201"/>
      <w:bookmarkStart w:id="128" w:name="_Toc89242327"/>
      <w:r>
        <w:rPr>
          <w:rStyle w:val="CharDivNo"/>
        </w:rPr>
        <w:t>Division 3A</w:t>
      </w:r>
      <w:r>
        <w:t> — </w:t>
      </w:r>
      <w:r>
        <w:rPr>
          <w:rStyle w:val="CharDivText"/>
        </w:rPr>
        <w:t>Orders relating to termination of tenant’s interest on grounds of family violence</w:t>
      </w:r>
      <w:bookmarkEnd w:id="127"/>
      <w:bookmarkEnd w:id="128"/>
    </w:p>
    <w:p>
      <w:pPr>
        <w:pStyle w:val="Footnoteheading"/>
      </w:pPr>
      <w:r>
        <w:tab/>
        <w:t>[Heading inserted: No. 3 of 2019 s. 32.]</w:t>
      </w:r>
    </w:p>
    <w:p>
      <w:pPr>
        <w:pStyle w:val="Heading5"/>
      </w:pPr>
      <w:bookmarkStart w:id="129" w:name="_Toc89242328"/>
      <w:r>
        <w:rPr>
          <w:rStyle w:val="CharSectno"/>
        </w:rPr>
        <w:t>74A</w:t>
      </w:r>
      <w:r>
        <w:t>.</w:t>
      </w:r>
      <w:r>
        <w:tab/>
        <w:t>Review of notice of termination under s. 45A</w:t>
      </w:r>
      <w:bookmarkEnd w:id="129"/>
    </w:p>
    <w:p>
      <w:pPr>
        <w:pStyle w:val="Subsection"/>
      </w:pPr>
      <w:r>
        <w:tab/>
        <w:t>(1)</w:t>
      </w:r>
      <w:r>
        <w:tab/>
        <w:t xml:space="preserve">In this section — </w:t>
      </w:r>
    </w:p>
    <w:p>
      <w:pPr>
        <w:pStyle w:val="Defstart"/>
      </w:pPr>
      <w:r>
        <w:tab/>
      </w:r>
      <w:r>
        <w:rPr>
          <w:rStyle w:val="CharDefText"/>
        </w:rPr>
        <w:t>terminating tenant</w:t>
      </w:r>
      <w:r>
        <w:t xml:space="preserve"> means a long</w:t>
      </w:r>
      <w:r>
        <w:noBreakHyphen/>
        <w:t>stay tenant who has given, or purportedly given, notice of termination under section 45A.</w:t>
      </w:r>
    </w:p>
    <w:p>
      <w:pPr>
        <w:pStyle w:val="Subsection"/>
      </w:pPr>
      <w:r>
        <w:tab/>
        <w:t>(2)</w:t>
      </w:r>
      <w:r>
        <w:tab/>
        <w:t>A park operator may, within 7 days after receiving a notice of termination under section 45A, apply to the State Administrative Tribunal to review whether notice was validly given under that section.</w:t>
      </w:r>
    </w:p>
    <w:p>
      <w:pPr>
        <w:pStyle w:val="Subsection"/>
      </w:pPr>
      <w:r>
        <w:tab/>
        <w:t>(3)</w:t>
      </w:r>
      <w:r>
        <w:tab/>
        <w:t xml:space="preserve">In its review, the State Administrative Tribunal — </w:t>
      </w:r>
    </w:p>
    <w:p>
      <w:pPr>
        <w:pStyle w:val="Indenta"/>
      </w:pPr>
      <w:r>
        <w:tab/>
        <w:t>(a)</w:t>
      </w:r>
      <w:r>
        <w:tab/>
        <w:t>must examine whether the terminating tenant has complied with section 45A in giving the notice; and</w:t>
      </w:r>
    </w:p>
    <w:p>
      <w:pPr>
        <w:pStyle w:val="Indenta"/>
      </w:pPr>
      <w:r>
        <w:tab/>
        <w:t>(b)</w:t>
      </w:r>
      <w:r>
        <w:tab/>
        <w:t>cannot examine whether the terminating tenant, or a dependant of the tenant, has been or might be subject to family violence.</w:t>
      </w:r>
    </w:p>
    <w:p>
      <w:pPr>
        <w:pStyle w:val="Subsection"/>
      </w:pPr>
      <w:r>
        <w:lastRenderedPageBreak/>
        <w:tab/>
        <w:t>(4)</w:t>
      </w:r>
      <w:r>
        <w:tab/>
        <w:t>If the State Administrative Tribunal finds that notice was not validly given under section 45A, the Tribunal must make an order declaring that the terminating tenant’s interest in the on</w:t>
      </w:r>
      <w:r>
        <w:noBreakHyphen/>
        <w:t>site home agreement has not been terminated, otherwise the Tribunal must dismiss the application.</w:t>
      </w:r>
    </w:p>
    <w:p>
      <w:pPr>
        <w:pStyle w:val="Footnotesection"/>
      </w:pPr>
      <w:r>
        <w:tab/>
        <w:t>[Section 74A inserted: No. 3 of 2019 s. 32.]</w:t>
      </w:r>
    </w:p>
    <w:p>
      <w:pPr>
        <w:pStyle w:val="Heading5"/>
      </w:pPr>
      <w:bookmarkStart w:id="130" w:name="_Toc89242329"/>
      <w:r>
        <w:rPr>
          <w:rStyle w:val="CharSectno"/>
        </w:rPr>
        <w:t>74B</w:t>
      </w:r>
      <w:r>
        <w:t>.</w:t>
      </w:r>
      <w:r>
        <w:tab/>
        <w:t>Termination of tenant’s interest by SAT on grounds of family violence</w:t>
      </w:r>
      <w:bookmarkEnd w:id="130"/>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long</w:t>
      </w:r>
      <w:r>
        <w:noBreakHyphen/>
        <w:t>stay tenant’s right of occupancy in the agreed premises;</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Despite any other provision of this Act or another written law or a requirement under a contract, the State Administrative Tribunal may make an order terminating a tenant’s interest in an on</w:t>
      </w:r>
      <w:r>
        <w:noBreakHyphen/>
        <w:t>site home agreement if it is satisfied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State Administrative Tribunal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lastRenderedPageBreak/>
        <w:tab/>
        <w:t>(4)</w:t>
      </w:r>
      <w:r>
        <w:tab/>
        <w:t xml:space="preserve">Before making the order the State Administrative Tribunal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w:t>
      </w:r>
    </w:p>
    <w:p>
      <w:pPr>
        <w:pStyle w:val="Indenta"/>
      </w:pPr>
      <w:r>
        <w:tab/>
        <w:t>(c)</w:t>
      </w:r>
      <w:r>
        <w:tab/>
        <w:t>the effect the order might have on the lessor and any remaining tenants;</w:t>
      </w:r>
    </w:p>
    <w:p>
      <w:pPr>
        <w:pStyle w:val="Indenta"/>
      </w:pPr>
      <w:r>
        <w:tab/>
        <w:t>(d)</w:t>
      </w:r>
      <w:r>
        <w:tab/>
        <w:t>the effect the order might have on any pets kept on the agreed premises;</w:t>
      </w:r>
    </w:p>
    <w:p>
      <w:pPr>
        <w:pStyle w:val="Indenta"/>
      </w:pPr>
      <w:r>
        <w:tab/>
        <w:t>(e)</w:t>
      </w:r>
      <w:r>
        <w:tab/>
        <w:t>the fact that perpetrators of family violence might seek to misuse the protections offered to long</w:t>
      </w:r>
      <w:r>
        <w:noBreakHyphen/>
        <w:t>stay tenants and park operators under this Act to further their violence, and the need to prevent that misuse.</w:t>
      </w:r>
    </w:p>
    <w:p>
      <w:pPr>
        <w:pStyle w:val="Subsection"/>
      </w:pPr>
      <w:r>
        <w:tab/>
        <w:t>(5)</w:t>
      </w:r>
      <w:r>
        <w:tab/>
        <w:t>The State Administrative Tribunal is to have regard to the matter set out in subsection (4)(a) as being of primary importance.</w:t>
      </w:r>
    </w:p>
    <w:p>
      <w:pPr>
        <w:pStyle w:val="Subsection"/>
      </w:pPr>
      <w:r>
        <w:tab/>
        <w:t>(6)</w:t>
      </w:r>
      <w:r>
        <w:tab/>
        <w:t>The State Administrative Tribunal must specify in an order the day on which the order takes effect.</w:t>
      </w:r>
    </w:p>
    <w:p>
      <w:pPr>
        <w:pStyle w:val="Subsection"/>
      </w:pPr>
      <w:r>
        <w:tab/>
        <w:t>(7)</w:t>
      </w:r>
      <w:r>
        <w:tab/>
        <w:t>The day specified under subsection (6) must be not less than 7 days and not more than 30 days after the order is made.</w:t>
      </w:r>
    </w:p>
    <w:p>
      <w:pPr>
        <w:pStyle w:val="Footnotesection"/>
      </w:pPr>
      <w:r>
        <w:tab/>
        <w:t>[Section 74B inserted: No. 3 of 2019 s. 32.]</w:t>
      </w:r>
    </w:p>
    <w:p>
      <w:pPr>
        <w:pStyle w:val="Heading5"/>
      </w:pPr>
      <w:bookmarkStart w:id="131" w:name="_Toc89242330"/>
      <w:r>
        <w:rPr>
          <w:rStyle w:val="CharSectno"/>
        </w:rPr>
        <w:t>74C</w:t>
      </w:r>
      <w:r>
        <w:t>.</w:t>
      </w:r>
      <w:r>
        <w:tab/>
        <w:t>Determination of rights and liabilities after termination of tenant’s interest on grounds of family violence</w:t>
      </w:r>
      <w:bookmarkEnd w:id="131"/>
    </w:p>
    <w:p>
      <w:pPr>
        <w:pStyle w:val="Subsection"/>
      </w:pPr>
      <w:r>
        <w:tab/>
        <w:t>(1)</w:t>
      </w:r>
      <w:r>
        <w:tab/>
        <w:t>A long</w:t>
      </w:r>
      <w:r>
        <w:noBreakHyphen/>
        <w:t>stay tenant, or former long</w:t>
      </w:r>
      <w:r>
        <w:noBreakHyphen/>
        <w:t>stay tenant, may apply to the State Administrative Tribunal for a determination of the rights and liabilities of the parties to the long</w:t>
      </w:r>
      <w:r>
        <w:noBreakHyphen/>
        <w:t>stay agreement once the former long</w:t>
      </w:r>
      <w:r>
        <w:noBreakHyphen/>
        <w:t>stay tenant’s interest in the agreement has been terminated under section 33(2A) or (2B).</w:t>
      </w:r>
    </w:p>
    <w:p>
      <w:pPr>
        <w:pStyle w:val="Subsection"/>
        <w:keepNext/>
      </w:pPr>
      <w:r>
        <w:lastRenderedPageBreak/>
        <w:tab/>
        <w:t>(2)</w:t>
      </w:r>
      <w:r>
        <w:tab/>
        <w:t xml:space="preserve">When hearing an application under subsection (1) or section 74B(3), State Administrative Tribunal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(except personal injury) relating to the termination.</w:t>
      </w:r>
    </w:p>
    <w:p>
      <w:pPr>
        <w:pStyle w:val="Subsection"/>
      </w:pPr>
      <w:r>
        <w:tab/>
        <w:t>(3)</w:t>
      </w:r>
      <w:r>
        <w:tab/>
        <w:t>Without limiting subsection (2), a determination or order under that provision may apportion the disposal of the security bond to the park operator and each long</w:t>
      </w:r>
      <w:r>
        <w:noBreakHyphen/>
        <w:t>stay tenant or former long</w:t>
      </w:r>
      <w:r>
        <w:noBreakHyphen/>
        <w:t>stay tenant as appropriate having regard to subsection (4).</w:t>
      </w:r>
    </w:p>
    <w:p>
      <w:pPr>
        <w:pStyle w:val="Subsection"/>
      </w:pPr>
      <w:r>
        <w:tab/>
        <w:t>(4)</w:t>
      </w:r>
      <w:r>
        <w:tab/>
        <w:t>Despite any law to the contrary, each long</w:t>
      </w:r>
      <w:r>
        <w:noBreakHyphen/>
        <w:t>stay tenant under a long</w:t>
      </w:r>
      <w:r>
        <w:noBreakHyphen/>
        <w:t>stay agreement has an equal interest in the security bond in respect of the agreement unless the State Administrative Tribunal in a particular case determines otherwise under this section.</w:t>
      </w:r>
    </w:p>
    <w:p>
      <w:pPr>
        <w:pStyle w:val="Subsection"/>
      </w:pPr>
      <w:r>
        <w:tab/>
        <w:t>(5)</w:t>
      </w:r>
      <w:r>
        <w:tab/>
        <w:t>In making a determination or order under subsection (2), the State Administrative Tribunal must have regard to all of the following principles —</w:t>
      </w:r>
    </w:p>
    <w:p>
      <w:pPr>
        <w:pStyle w:val="Indenta"/>
      </w:pPr>
      <w:r>
        <w:tab/>
        <w:t>(a)</w:t>
      </w:r>
      <w:r>
        <w:tab/>
        <w:t>that family violence is a fundamental violation of human rights and is unacceptable in any form;</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lastRenderedPageBreak/>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State Administrative Tribunal to order compensation for early termination of a long</w:t>
      </w:r>
      <w:r>
        <w:noBreakHyphen/>
        <w:t>stay agreement.</w:t>
      </w:r>
    </w:p>
    <w:p>
      <w:pPr>
        <w:pStyle w:val="Footnotesection"/>
      </w:pPr>
      <w:r>
        <w:tab/>
        <w:t>[Section 74C inserted: No. 3 of 2019 s. 32.]</w:t>
      </w:r>
    </w:p>
    <w:p>
      <w:pPr>
        <w:pStyle w:val="Heading5"/>
      </w:pPr>
      <w:bookmarkStart w:id="132" w:name="_Toc89242331"/>
      <w:r>
        <w:rPr>
          <w:rStyle w:val="CharSectno"/>
        </w:rPr>
        <w:t>74D</w:t>
      </w:r>
      <w:r>
        <w:t>.</w:t>
      </w:r>
      <w:r>
        <w:tab/>
        <w:t>Review of Division</w:t>
      </w:r>
      <w:bookmarkEnd w:id="132"/>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74D inserted: No. 3 of 2019 s. 32.]</w:t>
      </w:r>
    </w:p>
    <w:p>
      <w:pPr>
        <w:pStyle w:val="Heading3"/>
      </w:pPr>
      <w:bookmarkStart w:id="133" w:name="_Toc89182206"/>
      <w:bookmarkStart w:id="134" w:name="_Toc89242332"/>
      <w:r>
        <w:rPr>
          <w:rStyle w:val="CharDivNo"/>
        </w:rPr>
        <w:lastRenderedPageBreak/>
        <w:t>Division 4</w:t>
      </w:r>
      <w:r>
        <w:t> — </w:t>
      </w:r>
      <w:r>
        <w:rPr>
          <w:rStyle w:val="CharDivText"/>
        </w:rPr>
        <w:t>Orders relating to abandoned goods</w:t>
      </w:r>
      <w:bookmarkEnd w:id="133"/>
      <w:bookmarkEnd w:id="134"/>
    </w:p>
    <w:p>
      <w:pPr>
        <w:pStyle w:val="Heading5"/>
      </w:pPr>
      <w:bookmarkStart w:id="135" w:name="_Toc89242333"/>
      <w:r>
        <w:rPr>
          <w:rStyle w:val="CharSectno"/>
        </w:rPr>
        <w:t>75</w:t>
      </w:r>
      <w:r>
        <w:t>.</w:t>
      </w:r>
      <w:r>
        <w:tab/>
        <w:t>Disposing of proceeds of sale of abandoned goods</w:t>
      </w:r>
      <w:bookmarkEnd w:id="135"/>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r>
        <w:tab/>
        <w:t>[Section 75 amended: No. 60 of 2011 s. 108.]</w:t>
      </w:r>
    </w:p>
    <w:p>
      <w:pPr>
        <w:pStyle w:val="Heading5"/>
      </w:pPr>
      <w:bookmarkStart w:id="136" w:name="_Toc89242334"/>
      <w:r>
        <w:rPr>
          <w:rStyle w:val="CharSectno"/>
        </w:rPr>
        <w:t>76</w:t>
      </w:r>
      <w:r>
        <w:t>.</w:t>
      </w:r>
      <w:r>
        <w:tab/>
        <w:t>Park operator’s claim if sale proceeds insufficient</w:t>
      </w:r>
      <w:bookmarkEnd w:id="136"/>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Account.</w:t>
      </w:r>
    </w:p>
    <w:p>
      <w:pPr>
        <w:pStyle w:val="Footnotesection"/>
      </w:pPr>
      <w:r>
        <w:tab/>
        <w:t>[Section 76 amended: No. 60 of 2011 s. 108.]</w:t>
      </w:r>
    </w:p>
    <w:p>
      <w:pPr>
        <w:pStyle w:val="Heading5"/>
      </w:pPr>
      <w:bookmarkStart w:id="137" w:name="_Toc89242335"/>
      <w:r>
        <w:rPr>
          <w:rStyle w:val="CharSectno"/>
        </w:rPr>
        <w:lastRenderedPageBreak/>
        <w:t>77</w:t>
      </w:r>
      <w:r>
        <w:t>.</w:t>
      </w:r>
      <w:r>
        <w:tab/>
        <w:t>Recovery by owner of value of goods sold</w:t>
      </w:r>
      <w:bookmarkEnd w:id="137"/>
    </w:p>
    <w:p>
      <w:pPr>
        <w:pStyle w:val="Subsection"/>
      </w:pPr>
      <w:r>
        <w:tab/>
        <w:t>(1)</w:t>
      </w:r>
      <w:r>
        <w:tab/>
        <w:t>If an amount of money is paid into the Rental Accommodation Account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r>
        <w:tab/>
        <w:t>[Section 77 amended: No. 60 of 2011 s. 108.]</w:t>
      </w:r>
    </w:p>
    <w:p>
      <w:pPr>
        <w:pStyle w:val="Heading3"/>
      </w:pPr>
      <w:bookmarkStart w:id="138" w:name="_Toc89182210"/>
      <w:bookmarkStart w:id="139" w:name="_Toc89242336"/>
      <w:r>
        <w:rPr>
          <w:rStyle w:val="CharDivNo"/>
        </w:rPr>
        <w:t>Division 5</w:t>
      </w:r>
      <w:r>
        <w:t> — </w:t>
      </w:r>
      <w:r>
        <w:rPr>
          <w:rStyle w:val="CharDivText"/>
        </w:rPr>
        <w:t>Miscellaneous provisions</w:t>
      </w:r>
      <w:bookmarkEnd w:id="138"/>
      <w:bookmarkEnd w:id="139"/>
    </w:p>
    <w:p>
      <w:pPr>
        <w:pStyle w:val="Heading5"/>
      </w:pPr>
      <w:bookmarkStart w:id="140" w:name="_Toc89242337"/>
      <w:r>
        <w:rPr>
          <w:rStyle w:val="CharSectno"/>
        </w:rPr>
        <w:t>78</w:t>
      </w:r>
      <w:r>
        <w:t>.</w:t>
      </w:r>
      <w:r>
        <w:tab/>
        <w:t>Term used: original party</w:t>
      </w:r>
      <w:bookmarkEnd w:id="140"/>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141" w:name="_Toc89242338"/>
      <w:r>
        <w:rPr>
          <w:rStyle w:val="CharSectno"/>
        </w:rPr>
        <w:t>79</w:t>
      </w:r>
      <w:r>
        <w:t>.</w:t>
      </w:r>
      <w:r>
        <w:tab/>
        <w:t>Proceedings instituted or defended by Commissioner</w:t>
      </w:r>
      <w:bookmarkEnd w:id="141"/>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 and</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 or</w:t>
      </w:r>
    </w:p>
    <w:p>
      <w:pPr>
        <w:pStyle w:val="Indenta"/>
      </w:pPr>
      <w:r>
        <w:lastRenderedPageBreak/>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142" w:name="_Toc89242339"/>
      <w:r>
        <w:rPr>
          <w:rStyle w:val="CharSectno"/>
        </w:rPr>
        <w:t>80</w:t>
      </w:r>
      <w:r>
        <w:t>.</w:t>
      </w:r>
      <w:r>
        <w:tab/>
        <w:t>Evidence in proceedings undertaken by Commissioner</w:t>
      </w:r>
      <w:bookmarkEnd w:id="142"/>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pPr>
      <w:bookmarkStart w:id="143" w:name="_Toc89242340"/>
      <w:r>
        <w:rPr>
          <w:rStyle w:val="CharSectno"/>
        </w:rPr>
        <w:t>81</w:t>
      </w:r>
      <w:r>
        <w:t>.</w:t>
      </w:r>
      <w:r>
        <w:tab/>
        <w:t>Conduct of legal proceedings by Commissioner</w:t>
      </w:r>
      <w:bookmarkEnd w:id="143"/>
    </w:p>
    <w:p>
      <w:pPr>
        <w:pStyle w:val="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pPr>
      <w:r>
        <w:lastRenderedPageBreak/>
        <w:tab/>
        <w:t>(2)</w:t>
      </w:r>
      <w:r>
        <w:tab/>
        <w:t xml:space="preserve">The Commissioner may conduct the proceedings as the Commissioner thinks fit, without consulting or seeking the consent of the original party. </w:t>
      </w:r>
    </w:p>
    <w:p>
      <w:pPr>
        <w:pStyle w:val="Subsection"/>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 and</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144" w:name="_Toc89242341"/>
      <w:r>
        <w:rPr>
          <w:rStyle w:val="CharSectno"/>
        </w:rPr>
        <w:t>82</w:t>
      </w:r>
      <w:r>
        <w:t>.</w:t>
      </w:r>
      <w:r>
        <w:tab/>
        <w:t>Orders exempting persons from operation of Act</w:t>
      </w:r>
      <w:bookmarkEnd w:id="144"/>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145" w:name="_Toc89242342"/>
      <w:r>
        <w:rPr>
          <w:rStyle w:val="CharSectno"/>
        </w:rPr>
        <w:lastRenderedPageBreak/>
        <w:t>83</w:t>
      </w:r>
      <w:r>
        <w:t>.</w:t>
      </w:r>
      <w:r>
        <w:tab/>
        <w:t>Payment of costs and other amounts</w:t>
      </w:r>
      <w:bookmarkEnd w:id="145"/>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No. 77 of 2006 s. 4.]</w:t>
      </w:r>
    </w:p>
    <w:p>
      <w:pPr>
        <w:pStyle w:val="Heading2"/>
      </w:pPr>
      <w:bookmarkStart w:id="146" w:name="_Toc89182217"/>
      <w:bookmarkStart w:id="147" w:name="_Toc89242343"/>
      <w:r>
        <w:rPr>
          <w:rStyle w:val="CharPartNo"/>
        </w:rPr>
        <w:lastRenderedPageBreak/>
        <w:t>Part 6</w:t>
      </w:r>
      <w:r>
        <w:rPr>
          <w:rStyle w:val="CharDivNo"/>
        </w:rPr>
        <w:t> </w:t>
      </w:r>
      <w:r>
        <w:t>—</w:t>
      </w:r>
      <w:r>
        <w:rPr>
          <w:rStyle w:val="CharDivText"/>
        </w:rPr>
        <w:t> </w:t>
      </w:r>
      <w:r>
        <w:rPr>
          <w:rStyle w:val="CharPartText"/>
        </w:rPr>
        <w:t>Other matters</w:t>
      </w:r>
      <w:bookmarkEnd w:id="146"/>
      <w:bookmarkEnd w:id="147"/>
    </w:p>
    <w:p>
      <w:pPr>
        <w:pStyle w:val="Heading5"/>
      </w:pPr>
      <w:bookmarkStart w:id="148" w:name="_Toc89242344"/>
      <w:r>
        <w:rPr>
          <w:rStyle w:val="CharSectno"/>
        </w:rPr>
        <w:t>84</w:t>
      </w:r>
      <w:r>
        <w:t>.</w:t>
      </w:r>
      <w:r>
        <w:tab/>
        <w:t>Commissioner</w:t>
      </w:r>
      <w:bookmarkEnd w:id="148"/>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149" w:name="_Toc89242345"/>
      <w:r>
        <w:rPr>
          <w:rStyle w:val="CharSectno"/>
        </w:rPr>
        <w:t>85</w:t>
      </w:r>
      <w:r>
        <w:t>.</w:t>
      </w:r>
      <w:r>
        <w:tab/>
        <w:t>Commissioner’s functions</w:t>
      </w:r>
      <w:bookmarkEnd w:id="149"/>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150" w:name="_Toc89242346"/>
      <w:r>
        <w:rPr>
          <w:rStyle w:val="CharSectno"/>
        </w:rPr>
        <w:lastRenderedPageBreak/>
        <w:t>86</w:t>
      </w:r>
      <w:r>
        <w:t>.</w:t>
      </w:r>
      <w:r>
        <w:tab/>
        <w:t>Delegation by Commissioner</w:t>
      </w:r>
      <w:bookmarkEnd w:id="150"/>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151" w:name="_Toc89242347"/>
      <w:r>
        <w:rPr>
          <w:rStyle w:val="CharSectno"/>
        </w:rPr>
        <w:t>87</w:t>
      </w:r>
      <w:r>
        <w:t>.</w:t>
      </w:r>
      <w:r>
        <w:tab/>
        <w:t>Information officially obtained to be confidential</w:t>
      </w:r>
      <w:bookmarkEnd w:id="15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 or</w:t>
      </w:r>
    </w:p>
    <w:p>
      <w:pPr>
        <w:pStyle w:val="Indenta"/>
      </w:pPr>
      <w:r>
        <w:tab/>
        <w:t>(b)</w:t>
      </w:r>
      <w:r>
        <w:tab/>
        <w:t>under this or any other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lastRenderedPageBreak/>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87 amended: No. 3 of 2019 s. 39.]</w:t>
      </w:r>
    </w:p>
    <w:p>
      <w:pPr>
        <w:pStyle w:val="Heading5"/>
      </w:pPr>
      <w:bookmarkStart w:id="152" w:name="_Toc89242348"/>
      <w:r>
        <w:rPr>
          <w:rStyle w:val="CharSectno"/>
        </w:rPr>
        <w:t>88</w:t>
      </w:r>
      <w:r>
        <w:t>.</w:t>
      </w:r>
      <w:r>
        <w:tab/>
        <w:t>Protection from liability for wrongdoing</w:t>
      </w:r>
      <w:bookmarkEnd w:id="152"/>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53" w:name="_Toc89242349"/>
      <w:r>
        <w:rPr>
          <w:rStyle w:val="CharSectno"/>
        </w:rPr>
        <w:t>89</w:t>
      </w:r>
      <w:r>
        <w:t>.</w:t>
      </w:r>
      <w:r>
        <w:tab/>
        <w:t>Judicial notice</w:t>
      </w:r>
      <w:bookmarkEnd w:id="153"/>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154" w:name="_Toc89242350"/>
      <w:r>
        <w:rPr>
          <w:rStyle w:val="CharSectno"/>
        </w:rPr>
        <w:t>90</w:t>
      </w:r>
      <w:r>
        <w:t>.</w:t>
      </w:r>
      <w:r>
        <w:tab/>
        <w:t>Time for commencement of offence proceedings</w:t>
      </w:r>
      <w:bookmarkEnd w:id="154"/>
    </w:p>
    <w:p>
      <w:pPr>
        <w:pStyle w:val="Subsection"/>
      </w:pPr>
      <w:r>
        <w:tab/>
      </w:r>
      <w:r>
        <w:tab/>
        <w:t>Proceedings for an offence against this Act cannot be commenced more than 2 years after the day on which the offence is alleged to have been committed.</w:t>
      </w:r>
    </w:p>
    <w:p>
      <w:pPr>
        <w:pStyle w:val="Heading5"/>
      </w:pPr>
      <w:bookmarkStart w:id="155" w:name="_Toc89242351"/>
      <w:r>
        <w:rPr>
          <w:rStyle w:val="CharSectno"/>
        </w:rPr>
        <w:lastRenderedPageBreak/>
        <w:t>91</w:t>
      </w:r>
      <w:r>
        <w:t>.</w:t>
      </w:r>
      <w:r>
        <w:tab/>
        <w:t>Service of documents</w:t>
      </w:r>
      <w:bookmarkEnd w:id="155"/>
    </w:p>
    <w:p>
      <w:pPr>
        <w:pStyle w:val="Subsection"/>
        <w:keepNext/>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If it is not practicable to give a document to a person personally, and the person’s address is unknown, the document is to be treated as having been given to the person if a copy of the document is published in a daily newspaper circulating throughout Western Australia.</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156" w:name="_Toc89242352"/>
      <w:r>
        <w:rPr>
          <w:rStyle w:val="CharSectno"/>
        </w:rPr>
        <w:t>92</w:t>
      </w:r>
      <w:r>
        <w:t>.</w:t>
      </w:r>
      <w:r>
        <w:tab/>
        <w:t>Terms on which ADI holds security bond amounts</w:t>
      </w:r>
      <w:bookmarkEnd w:id="156"/>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Account in accordance with the regulations;</w:t>
      </w:r>
    </w:p>
    <w:p>
      <w:pPr>
        <w:pStyle w:val="Indenta"/>
      </w:pPr>
      <w:r>
        <w:lastRenderedPageBreak/>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Footnotesection"/>
      </w:pPr>
      <w:r>
        <w:tab/>
        <w:t>[Section 92 amended: No. 60 of 2011 s. 108.]</w:t>
      </w:r>
    </w:p>
    <w:p>
      <w:pPr>
        <w:pStyle w:val="Heading5"/>
      </w:pPr>
      <w:bookmarkStart w:id="157" w:name="_Toc89242353"/>
      <w:r>
        <w:rPr>
          <w:rStyle w:val="CharSectno"/>
        </w:rPr>
        <w:t>93</w:t>
      </w:r>
      <w:r>
        <w:t>.</w:t>
      </w:r>
      <w:r>
        <w:tab/>
        <w:t>Information from ADI about tenancy bond accounts</w:t>
      </w:r>
      <w:bookmarkEnd w:id="157"/>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 and</w:t>
      </w:r>
    </w:p>
    <w:p>
      <w:pPr>
        <w:pStyle w:val="Indenta"/>
      </w:pPr>
      <w:r>
        <w:tab/>
        <w:t>(b)</w:t>
      </w:r>
      <w:r>
        <w:tab/>
        <w:t>must specify the time at or within which the information is to be given; and</w:t>
      </w:r>
    </w:p>
    <w:p>
      <w:pPr>
        <w:pStyle w:val="Indenta"/>
      </w:pPr>
      <w:r>
        <w:tab/>
        <w:t>(c)</w:t>
      </w:r>
      <w:r>
        <w:tab/>
        <w:t xml:space="preserve">may require the information to be — </w:t>
      </w:r>
    </w:p>
    <w:p>
      <w:pPr>
        <w:pStyle w:val="Indenti"/>
      </w:pPr>
      <w:r>
        <w:tab/>
        <w:t>(i)</w:t>
      </w:r>
      <w:r>
        <w:tab/>
        <w:t>given in writing; and</w:t>
      </w:r>
    </w:p>
    <w:p>
      <w:pPr>
        <w:pStyle w:val="Indenti"/>
      </w:pPr>
      <w:r>
        <w:tab/>
        <w:t>(ii)</w:t>
      </w:r>
      <w:r>
        <w:tab/>
        <w:t>certified as correct by an auditor; and</w:t>
      </w:r>
    </w:p>
    <w:p>
      <w:pPr>
        <w:pStyle w:val="Indenti"/>
      </w:pPr>
      <w:r>
        <w:tab/>
        <w:t>(iii)</w:t>
      </w:r>
      <w:r>
        <w:tab/>
        <w:t>given at or sent or delivered to a place specified in the notice; and</w:t>
      </w:r>
    </w:p>
    <w:p>
      <w:pPr>
        <w:pStyle w:val="Indenti"/>
      </w:pPr>
      <w:r>
        <w:tab/>
        <w:t>(iv)</w:t>
      </w:r>
      <w:r>
        <w:tab/>
        <w:t>sent or delivered by any means specified in the notice; and</w:t>
      </w:r>
    </w:p>
    <w:p>
      <w:pPr>
        <w:pStyle w:val="Indenti"/>
        <w:keepNext/>
      </w:pPr>
      <w:r>
        <w:lastRenderedPageBreak/>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for this subsection: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for this subsection: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lastRenderedPageBreak/>
        <w:tab/>
        <w:t>(b)</w:t>
      </w:r>
      <w:r>
        <w:tab/>
        <w:t>another suitably qualified person approved by the Commissioner for the purposes of this section.</w:t>
      </w:r>
    </w:p>
    <w:p>
      <w:pPr>
        <w:pStyle w:val="Footnotesection"/>
      </w:pPr>
      <w:r>
        <w:tab/>
        <w:t>[Section 93 amended: No. 3 of 2019 s. 39.]</w:t>
      </w:r>
    </w:p>
    <w:p>
      <w:pPr>
        <w:pStyle w:val="Heading5"/>
      </w:pPr>
      <w:bookmarkStart w:id="158" w:name="_Toc89242354"/>
      <w:r>
        <w:rPr>
          <w:rStyle w:val="CharSectno"/>
        </w:rPr>
        <w:t>94</w:t>
      </w:r>
      <w:r>
        <w:t>.</w:t>
      </w:r>
      <w:r>
        <w:tab/>
        <w:t>Responsibilities of bond administrator</w:t>
      </w:r>
      <w:bookmarkEnd w:id="158"/>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 and</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r>
        <w:tab/>
        <w:t>[Section 94 amended: No. 60 of 2011 s. 108.]</w:t>
      </w:r>
    </w:p>
    <w:p>
      <w:pPr>
        <w:pStyle w:val="Heading5"/>
      </w:pPr>
      <w:bookmarkStart w:id="159" w:name="_Toc89242355"/>
      <w:r>
        <w:rPr>
          <w:rStyle w:val="CharSectno"/>
        </w:rPr>
        <w:t>94A</w:t>
      </w:r>
      <w:r>
        <w:t>.</w:t>
      </w:r>
      <w:r>
        <w:tab/>
        <w:t>Cross</w:t>
      </w:r>
      <w:r>
        <w:noBreakHyphen/>
        <w:t>examination of persons in proceedings involving family violence</w:t>
      </w:r>
      <w:bookmarkEnd w:id="159"/>
    </w:p>
    <w:p>
      <w:pPr>
        <w:pStyle w:val="Subsection"/>
      </w:pPr>
      <w:r>
        <w:tab/>
      </w:r>
      <w:r>
        <w:tab/>
        <w:t xml:space="preserve">The </w:t>
      </w:r>
      <w:r>
        <w:rPr>
          <w:i/>
        </w:rPr>
        <w:t>Restraining Orders Act 1997</w:t>
      </w:r>
      <w:r>
        <w:t xml:space="preserve"> section 44C applies to proceedings under this Act dealing with the issue of family violence as if references to the respondent were references to the person allegedly committing the family violence.</w:t>
      </w:r>
    </w:p>
    <w:p>
      <w:pPr>
        <w:pStyle w:val="Footnotesection"/>
      </w:pPr>
      <w:r>
        <w:tab/>
        <w:t>[Section 94A inserted: No. 3 of 2019 s. 33.]</w:t>
      </w:r>
    </w:p>
    <w:p>
      <w:pPr>
        <w:pStyle w:val="Heading5"/>
      </w:pPr>
      <w:bookmarkStart w:id="160" w:name="_Toc89242356"/>
      <w:r>
        <w:rPr>
          <w:rStyle w:val="CharSectno"/>
        </w:rPr>
        <w:t>95</w:t>
      </w:r>
      <w:r>
        <w:t>.</w:t>
      </w:r>
      <w:r>
        <w:tab/>
        <w:t>Regulations</w:t>
      </w:r>
      <w:bookmarkEnd w:id="16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 xml:space="preserve">stay agreement to record on an inspection sheet, before the commencement, and after </w:t>
      </w:r>
      <w:r>
        <w:lastRenderedPageBreak/>
        <w:t>the termination, of the tenancy, their opinions of the state of the premises and prescribe the form of such inspection sheets and the manner in which the parties record their opinions; and</w:t>
      </w:r>
    </w:p>
    <w:p>
      <w:pPr>
        <w:pStyle w:val="Indenta"/>
      </w:pPr>
      <w:r>
        <w:tab/>
        <w:t>(b)</w:t>
      </w:r>
      <w:r>
        <w:tab/>
        <w:t>prescribe the matters for which a park operator is entitled to charge long</w:t>
      </w:r>
      <w:r>
        <w:noBreakHyphen/>
        <w:t>stay tenants a fee that is additional to any amount payable under the long</w:t>
      </w:r>
      <w:r>
        <w:noBreakHyphen/>
        <w:t>stay agreement; and</w:t>
      </w:r>
    </w:p>
    <w:p>
      <w:pPr>
        <w:pStyle w:val="Indenta"/>
      </w:pPr>
      <w:r>
        <w:tab/>
        <w:t>(c)</w:t>
      </w:r>
      <w:r>
        <w:tab/>
        <w:t>prescribe the maximum amount that is payable in respect of a matter prescribed under paragraph (b); and</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 and</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Subsection"/>
      </w:pPr>
      <w:r>
        <w:tab/>
        <w:t>(4)</w:t>
      </w:r>
      <w:r>
        <w:tab/>
        <w:t xml:space="preserve">Regulations made under subsection (1) for the purposes of section 45A(2)(d)(vi) or Schedule 1 clause 14(4) cannot come into operation earlier than 6 months after they are published in the </w:t>
      </w:r>
      <w:r>
        <w:rPr>
          <w:i/>
        </w:rPr>
        <w:t>Gazette</w:t>
      </w:r>
      <w:r>
        <w:t>.</w:t>
      </w:r>
    </w:p>
    <w:p>
      <w:pPr>
        <w:pStyle w:val="Footnotesection"/>
      </w:pPr>
      <w:r>
        <w:tab/>
        <w:t>[Section 95 amended: No. 3 of 2019 s. 34.]</w:t>
      </w:r>
    </w:p>
    <w:p>
      <w:pPr>
        <w:pStyle w:val="Heading5"/>
      </w:pPr>
      <w:bookmarkStart w:id="161" w:name="_Toc89242357"/>
      <w:r>
        <w:rPr>
          <w:rStyle w:val="CharSectno"/>
        </w:rPr>
        <w:lastRenderedPageBreak/>
        <w:t>96</w:t>
      </w:r>
      <w:r>
        <w:t>.</w:t>
      </w:r>
      <w:r>
        <w:tab/>
        <w:t>Review of Act</w:t>
      </w:r>
      <w:bookmarkEnd w:id="161"/>
    </w:p>
    <w:p>
      <w:pPr>
        <w:pStyle w:val="Subsection"/>
        <w:keepNext/>
        <w:keepLines/>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the </w:t>
      </w:r>
      <w:r>
        <w:rPr>
          <w:i/>
        </w:rPr>
        <w:t>Residential Parks (Long</w:t>
      </w:r>
      <w:r>
        <w:rPr>
          <w:i/>
        </w:rPr>
        <w:noBreakHyphen/>
        <w:t>stay Tenants) Amendment Act 2020</w:t>
      </w:r>
      <w:r>
        <w:t xml:space="preserve"> section 3 comes into operation. </w:t>
      </w:r>
    </w:p>
    <w:p>
      <w:pPr>
        <w:pStyle w:val="Subsection"/>
        <w:keepNext/>
        <w:keepLines/>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Subsection"/>
      </w:pPr>
      <w:r>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96 inserted: No. 28 of 2020 s. 80.]</w:t>
      </w:r>
    </w:p>
    <w:p>
      <w:pPr>
        <w:pStyle w:val="Heading2"/>
      </w:pPr>
      <w:bookmarkStart w:id="162" w:name="_Toc89182232"/>
      <w:bookmarkStart w:id="163" w:name="_Toc89242358"/>
      <w:r>
        <w:rPr>
          <w:rStyle w:val="CharPartNo"/>
        </w:rPr>
        <w:lastRenderedPageBreak/>
        <w:t>Part 7</w:t>
      </w:r>
      <w:r>
        <w:t> — </w:t>
      </w:r>
      <w:r>
        <w:rPr>
          <w:rStyle w:val="CharPartText"/>
        </w:rPr>
        <w:t>Transitional and savings provisions</w:t>
      </w:r>
      <w:bookmarkEnd w:id="162"/>
      <w:bookmarkEnd w:id="163"/>
    </w:p>
    <w:p>
      <w:pPr>
        <w:pStyle w:val="Footnoteheading"/>
      </w:pPr>
      <w:r>
        <w:tab/>
        <w:t>[Heading inserted: No. 28 of 2020 s. 81.]</w:t>
      </w:r>
    </w:p>
    <w:p>
      <w:pPr>
        <w:pStyle w:val="Heading3"/>
      </w:pPr>
      <w:bookmarkStart w:id="164" w:name="_Toc89182233"/>
      <w:bookmarkStart w:id="165" w:name="_Toc89242359"/>
      <w:r>
        <w:rPr>
          <w:rStyle w:val="CharDivNo"/>
        </w:rPr>
        <w:t>Division 1</w:t>
      </w:r>
      <w:r>
        <w:t> — </w:t>
      </w:r>
      <w:r>
        <w:rPr>
          <w:rStyle w:val="CharDivText"/>
        </w:rPr>
        <w:t xml:space="preserve">Transitional provisions — </w:t>
      </w:r>
      <w:r>
        <w:rPr>
          <w:rStyle w:val="CharDivText"/>
          <w:i/>
        </w:rPr>
        <w:t>Residential Parks (Long</w:t>
      </w:r>
      <w:r>
        <w:rPr>
          <w:rStyle w:val="CharDivText"/>
          <w:i/>
        </w:rPr>
        <w:noBreakHyphen/>
        <w:t>stay Tenants) Act 2006</w:t>
      </w:r>
      <w:bookmarkEnd w:id="164"/>
      <w:bookmarkEnd w:id="165"/>
    </w:p>
    <w:p>
      <w:pPr>
        <w:pStyle w:val="Footnoteheading"/>
      </w:pPr>
      <w:r>
        <w:tab/>
        <w:t>[Heading inserted: No. 28 of 2020 s. 81.]</w:t>
      </w:r>
    </w:p>
    <w:p>
      <w:pPr>
        <w:pStyle w:val="Heading5"/>
        <w:spacing w:before="180"/>
      </w:pPr>
      <w:bookmarkStart w:id="166" w:name="_Toc89242360"/>
      <w:r>
        <w:rPr>
          <w:rStyle w:val="CharSectno"/>
        </w:rPr>
        <w:t>97</w:t>
      </w:r>
      <w:r>
        <w:t>.</w:t>
      </w:r>
      <w:r>
        <w:tab/>
        <w:t>Transitional provisions</w:t>
      </w:r>
      <w:bookmarkEnd w:id="166"/>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lastRenderedPageBreak/>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Heading3"/>
      </w:pPr>
      <w:bookmarkStart w:id="167" w:name="_Toc89182235"/>
      <w:bookmarkStart w:id="168" w:name="_Toc89242361"/>
      <w:r>
        <w:rPr>
          <w:rStyle w:val="CharDivNo"/>
        </w:rPr>
        <w:t>Division 2</w:t>
      </w:r>
      <w:r>
        <w:t> — </w:t>
      </w:r>
      <w:r>
        <w:rPr>
          <w:rStyle w:val="CharDivText"/>
        </w:rPr>
        <w:t xml:space="preserve">Transitional provisions about residential parks — </w:t>
      </w:r>
      <w:r>
        <w:rPr>
          <w:rStyle w:val="CharDivText"/>
          <w:i/>
        </w:rPr>
        <w:t>Residential Parks (Long-stay Tenants) Amendment Act 2020</w:t>
      </w:r>
      <w:bookmarkEnd w:id="167"/>
      <w:bookmarkEnd w:id="168"/>
    </w:p>
    <w:p>
      <w:pPr>
        <w:pStyle w:val="Footnoteheading"/>
      </w:pPr>
      <w:r>
        <w:tab/>
        <w:t>[Heading inserted: No. 28 of 2020 s. 83.]</w:t>
      </w:r>
    </w:p>
    <w:p>
      <w:pPr>
        <w:pStyle w:val="Heading5"/>
      </w:pPr>
      <w:bookmarkStart w:id="169" w:name="_Toc89242362"/>
      <w:r>
        <w:rPr>
          <w:rStyle w:val="CharSectno"/>
        </w:rPr>
        <w:t>98</w:t>
      </w:r>
      <w:r>
        <w:t>.</w:t>
      </w:r>
      <w:r>
        <w:tab/>
        <w:t>Places before commencement day taken to be residential parks and lifestyle villages</w:t>
      </w:r>
      <w:bookmarkEnd w:id="169"/>
    </w:p>
    <w:p>
      <w:pPr>
        <w:pStyle w:val="Subsection"/>
      </w:pPr>
      <w:r>
        <w:tab/>
        <w:t>(1)</w:t>
      </w:r>
      <w:r>
        <w:tab/>
        <w:t xml:space="preserve">In this section — </w:t>
      </w:r>
    </w:p>
    <w:p>
      <w:pPr>
        <w:pStyle w:val="Defstart"/>
      </w:pPr>
      <w:r>
        <w:tab/>
      </w:r>
      <w:r>
        <w:rPr>
          <w:rStyle w:val="CharDefText"/>
        </w:rPr>
        <w:t>application period</w:t>
      </w:r>
      <w:r>
        <w:t xml:space="preserve"> means the period beginning on 3 August 2007 and ending on the day before commencement day;</w:t>
      </w:r>
    </w:p>
    <w:p>
      <w:pPr>
        <w:pStyle w:val="Defstart"/>
      </w:pPr>
      <w:r>
        <w:tab/>
      </w:r>
      <w:r>
        <w:rPr>
          <w:rStyle w:val="CharDefText"/>
        </w:rPr>
        <w:t>caravan</w:t>
      </w:r>
      <w:r>
        <w:t xml:space="preserve"> has the meaning given in </w:t>
      </w:r>
      <w:r>
        <w:rPr>
          <w:i/>
        </w:rPr>
        <w:t>Caravan Parks and Camping Grounds Act 1995</w:t>
      </w:r>
      <w:r>
        <w:t xml:space="preserve"> section 5(1);</w:t>
      </w:r>
    </w:p>
    <w:p>
      <w:pPr>
        <w:pStyle w:val="Defstart"/>
      </w:pPr>
      <w:r>
        <w:tab/>
      </w:r>
      <w:r>
        <w:rPr>
          <w:rStyle w:val="CharDefText"/>
        </w:rPr>
        <w:t>commencement day</w:t>
      </w:r>
      <w:r>
        <w:t xml:space="preserve"> means the day on which the </w:t>
      </w:r>
      <w:r>
        <w:rPr>
          <w:i/>
        </w:rPr>
        <w:t>Residential Parks (Long-stay Tenants) Amendment Act 2020</w:t>
      </w:r>
      <w:r>
        <w:t xml:space="preserve"> section 83 comes into operation.</w:t>
      </w:r>
    </w:p>
    <w:p>
      <w:pPr>
        <w:pStyle w:val="Subsection"/>
      </w:pPr>
      <w:r>
        <w:tab/>
        <w:t>(2)</w:t>
      </w:r>
      <w:r>
        <w:tab/>
        <w:t xml:space="preserve">For the purposes of an act or omission under this Act before, on or after commencement day — </w:t>
      </w:r>
    </w:p>
    <w:p>
      <w:pPr>
        <w:pStyle w:val="Indenta"/>
      </w:pPr>
      <w:r>
        <w:tab/>
        <w:t>(a)</w:t>
      </w:r>
      <w:r>
        <w:tab/>
        <w:t xml:space="preserve">a place is taken to have been a residential park on each day during the application period that the place — </w:t>
      </w:r>
    </w:p>
    <w:p>
      <w:pPr>
        <w:pStyle w:val="Indenti"/>
      </w:pPr>
      <w:r>
        <w:tab/>
        <w:t>(i)</w:t>
      </w:r>
      <w:r>
        <w:tab/>
        <w:t>had long-stay sites; and</w:t>
      </w:r>
    </w:p>
    <w:p>
      <w:pPr>
        <w:pStyle w:val="Indenti"/>
      </w:pPr>
      <w:r>
        <w:lastRenderedPageBreak/>
        <w:tab/>
        <w:t>(ii)</w:t>
      </w:r>
      <w:r>
        <w:tab/>
        <w:t>did not have caravans situated for habitation; and</w:t>
      </w:r>
    </w:p>
    <w:p>
      <w:pPr>
        <w:pStyle w:val="Indenti"/>
      </w:pPr>
      <w:r>
        <w:tab/>
        <w:t>(iii)</w:t>
      </w:r>
      <w:r>
        <w:tab/>
        <w:t>had relocatable homes other than caravans situated for habitation; and</w:t>
      </w:r>
    </w:p>
    <w:p>
      <w:pPr>
        <w:pStyle w:val="Indenti"/>
      </w:pPr>
      <w:r>
        <w:tab/>
        <w:t>(iv)</w:t>
      </w:r>
      <w:r>
        <w:tab/>
        <w:t>was held out as a residential park or a place that had long-stay sites;</w:t>
      </w:r>
    </w:p>
    <w:p>
      <w:pPr>
        <w:pStyle w:val="Indenta"/>
      </w:pPr>
      <w:r>
        <w:tab/>
      </w:r>
      <w:r>
        <w:tab/>
        <w:t>and</w:t>
      </w:r>
    </w:p>
    <w:p>
      <w:pPr>
        <w:pStyle w:val="Indenta"/>
      </w:pPr>
      <w:r>
        <w:tab/>
        <w:t>(b)</w:t>
      </w:r>
      <w:r>
        <w:tab/>
        <w:t xml:space="preserve">a place, or a part of a place, is taken to have been a lifestyle village on each day that — </w:t>
      </w:r>
    </w:p>
    <w:p>
      <w:pPr>
        <w:pStyle w:val="Indenti"/>
      </w:pPr>
      <w:r>
        <w:tab/>
        <w:t>(i)</w:t>
      </w:r>
      <w:r>
        <w:tab/>
        <w:t>the place is taken to have been a residential park under paragraph (a); and</w:t>
      </w:r>
    </w:p>
    <w:p>
      <w:pPr>
        <w:pStyle w:val="Indenti"/>
      </w:pPr>
      <w:r>
        <w:tab/>
        <w:t>(ii)</w:t>
      </w:r>
      <w:r>
        <w:tab/>
        <w:t>the place, or part of the place, included long-stay sites that were occupied, or intended to be occupied, solely or principally by individuals having a particular interest or quality in common.</w:t>
      </w:r>
    </w:p>
    <w:p>
      <w:pPr>
        <w:pStyle w:val="Subsection"/>
      </w:pPr>
      <w:r>
        <w:tab/>
        <w:t>(3)</w:t>
      </w:r>
      <w:r>
        <w:tab/>
        <w:t>However, a place is not taken to have been a residential park if the regulations provide that the place is not a residential park.</w:t>
      </w:r>
    </w:p>
    <w:p>
      <w:pPr>
        <w:pStyle w:val="Footnotesection"/>
      </w:pPr>
      <w:r>
        <w:tab/>
        <w:t>[Section 98 inserted: No. 28 of 2020 s. 83.]</w:t>
      </w:r>
    </w:p>
    <w:p>
      <w:pPr>
        <w:pStyle w:val="Ednotesection"/>
      </w:pP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70" w:name="_Toc89182237"/>
      <w:bookmarkStart w:id="171" w:name="_Toc89242363"/>
      <w:r>
        <w:rPr>
          <w:rStyle w:val="CharSchNo"/>
        </w:rPr>
        <w:lastRenderedPageBreak/>
        <w:t>Schedule 1</w:t>
      </w:r>
      <w:r>
        <w:t> — </w:t>
      </w:r>
      <w:r>
        <w:rPr>
          <w:rStyle w:val="CharSchText"/>
        </w:rPr>
        <w:t>Terms of long</w:t>
      </w:r>
      <w:r>
        <w:rPr>
          <w:rStyle w:val="CharSchText"/>
        </w:rPr>
        <w:noBreakHyphen/>
        <w:t>stay agreements</w:t>
      </w:r>
      <w:bookmarkEnd w:id="170"/>
      <w:bookmarkEnd w:id="171"/>
    </w:p>
    <w:p>
      <w:pPr>
        <w:pStyle w:val="yShoulderClause"/>
      </w:pPr>
      <w:r>
        <w:t>[s. 32]</w:t>
      </w:r>
    </w:p>
    <w:p>
      <w:pPr>
        <w:pStyle w:val="yHeading3"/>
      </w:pPr>
      <w:bookmarkStart w:id="172" w:name="_Toc89182238"/>
      <w:bookmarkStart w:id="173" w:name="_Toc89242364"/>
      <w:r>
        <w:rPr>
          <w:rStyle w:val="CharSDivNo"/>
        </w:rPr>
        <w:t>Division 1</w:t>
      </w:r>
      <w:r>
        <w:t> — </w:t>
      </w:r>
      <w:r>
        <w:rPr>
          <w:rStyle w:val="CharSDivText"/>
        </w:rPr>
        <w:t>Vacant possession and no impediment to occupation</w:t>
      </w:r>
      <w:bookmarkEnd w:id="172"/>
      <w:bookmarkEnd w:id="173"/>
    </w:p>
    <w:p>
      <w:pPr>
        <w:pStyle w:val="yHeading5"/>
      </w:pPr>
      <w:bookmarkStart w:id="174" w:name="_Toc89242365"/>
      <w:r>
        <w:rPr>
          <w:rStyle w:val="CharSClsNo"/>
        </w:rPr>
        <w:t>1</w:t>
      </w:r>
      <w:r>
        <w:t>.</w:t>
      </w:r>
      <w:r>
        <w:tab/>
        <w:t>Vacant possession</w:t>
      </w:r>
      <w:bookmarkEnd w:id="174"/>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175" w:name="_Toc89242366"/>
      <w:r>
        <w:rPr>
          <w:rStyle w:val="CharSClsNo"/>
        </w:rPr>
        <w:t>2</w:t>
      </w:r>
      <w:r>
        <w:t>.</w:t>
      </w:r>
      <w:r>
        <w:tab/>
        <w:t>No legal impediment to occupation of tenanted premises</w:t>
      </w:r>
      <w:bookmarkEnd w:id="175"/>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176" w:name="_Toc89182241"/>
      <w:bookmarkStart w:id="177" w:name="_Toc89242367"/>
      <w:r>
        <w:rPr>
          <w:rStyle w:val="CharSDivNo"/>
        </w:rPr>
        <w:t>Division 2</w:t>
      </w:r>
      <w:r>
        <w:t> — Variation of rent</w:t>
      </w:r>
      <w:bookmarkEnd w:id="176"/>
      <w:bookmarkEnd w:id="177"/>
    </w:p>
    <w:p>
      <w:pPr>
        <w:pStyle w:val="yHeading5"/>
      </w:pPr>
      <w:bookmarkStart w:id="178" w:name="_Toc89242368"/>
      <w:r>
        <w:rPr>
          <w:rStyle w:val="CharSClsNo"/>
        </w:rPr>
        <w:t>3</w:t>
      </w:r>
      <w:r>
        <w:t>.</w:t>
      </w:r>
      <w:r>
        <w:tab/>
        <w:t>Provision for rent variation — on</w:t>
      </w:r>
      <w:r>
        <w:noBreakHyphen/>
        <w:t>site home agreement</w:t>
      </w:r>
      <w:bookmarkEnd w:id="178"/>
    </w:p>
    <w:p>
      <w:pPr>
        <w:pStyle w:val="ySubsection"/>
      </w:pPr>
      <w:r>
        <w:tab/>
      </w:r>
      <w:r>
        <w:tab/>
        <w:t>An on</w:t>
      </w:r>
      <w:r>
        <w:noBreakHyphen/>
        <w:t>site home agreement may exclude or limit the park operator’s right to increase rent under section 30.</w:t>
      </w:r>
    </w:p>
    <w:p>
      <w:pPr>
        <w:pStyle w:val="yHeading5"/>
      </w:pPr>
      <w:bookmarkStart w:id="179" w:name="_Toc89242369"/>
      <w:r>
        <w:rPr>
          <w:rStyle w:val="CharSClsNo"/>
        </w:rPr>
        <w:t>4</w:t>
      </w:r>
      <w:r>
        <w:t>.</w:t>
      </w:r>
      <w:r>
        <w:tab/>
        <w:t>Provision for rent variation — site</w:t>
      </w:r>
      <w:r>
        <w:noBreakHyphen/>
        <w:t>only agreements</w:t>
      </w:r>
      <w:bookmarkEnd w:id="179"/>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lastRenderedPageBreak/>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180" w:name="_Toc89182244"/>
      <w:bookmarkStart w:id="181" w:name="_Toc89242370"/>
      <w:r>
        <w:rPr>
          <w:rStyle w:val="CharSDivNo"/>
        </w:rPr>
        <w:t>Division 3</w:t>
      </w:r>
      <w:r>
        <w:t> — </w:t>
      </w:r>
      <w:r>
        <w:rPr>
          <w:rStyle w:val="CharSDivText"/>
        </w:rPr>
        <w:t>Cleanliness, damage and repair</w:t>
      </w:r>
      <w:bookmarkEnd w:id="180"/>
      <w:bookmarkEnd w:id="181"/>
    </w:p>
    <w:p>
      <w:pPr>
        <w:pStyle w:val="yHeading5"/>
      </w:pPr>
      <w:bookmarkStart w:id="182" w:name="_Toc89242371"/>
      <w:r>
        <w:rPr>
          <w:rStyle w:val="CharSClsNo"/>
        </w:rPr>
        <w:t>5</w:t>
      </w:r>
      <w:r>
        <w:t>.</w:t>
      </w:r>
      <w:r>
        <w:tab/>
        <w:t>Responsibility for cleanliness</w:t>
      </w:r>
      <w:bookmarkEnd w:id="182"/>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183" w:name="_Toc89242372"/>
      <w:r>
        <w:rPr>
          <w:rStyle w:val="CharSClsNo"/>
        </w:rPr>
        <w:t>6</w:t>
      </w:r>
      <w:r>
        <w:t>.</w:t>
      </w:r>
      <w:r>
        <w:tab/>
        <w:t>Responsibility for damage</w:t>
      </w:r>
      <w:bookmarkEnd w:id="183"/>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lastRenderedPageBreak/>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184" w:name="_Toc89242373"/>
      <w:r>
        <w:rPr>
          <w:rStyle w:val="CharSClsNo"/>
        </w:rPr>
        <w:t>7</w:t>
      </w:r>
      <w:r>
        <w:t>.</w:t>
      </w:r>
      <w:r>
        <w:tab/>
        <w:t>Park operator’s responsibility for cleanliness and repairs</w:t>
      </w:r>
      <w:bookmarkEnd w:id="184"/>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 and</w:t>
      </w:r>
    </w:p>
    <w:p>
      <w:pPr>
        <w:pStyle w:val="yIndenta"/>
      </w:pPr>
      <w:r>
        <w:tab/>
        <w:t>(b)</w:t>
      </w:r>
      <w:r>
        <w:tab/>
        <w:t>maintain the shared premises in a reasonable state of cleanliness; and</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185" w:name="_Toc89242374"/>
      <w:r>
        <w:rPr>
          <w:rStyle w:val="CharSClsNo"/>
        </w:rPr>
        <w:t>8</w:t>
      </w:r>
      <w:r>
        <w:t>.</w:t>
      </w:r>
      <w:r>
        <w:tab/>
        <w:t>Compensation where tenant sees to repairs</w:t>
      </w:r>
      <w:bookmarkEnd w:id="185"/>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lastRenderedPageBreak/>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186" w:name="_Toc89182249"/>
      <w:bookmarkStart w:id="187" w:name="_Toc89242375"/>
      <w:r>
        <w:rPr>
          <w:rStyle w:val="CharSDivNo"/>
        </w:rPr>
        <w:t>Division 4</w:t>
      </w:r>
      <w:r>
        <w:t> — </w:t>
      </w:r>
      <w:r>
        <w:rPr>
          <w:rStyle w:val="CharSDivText"/>
        </w:rPr>
        <w:t>Children</w:t>
      </w:r>
      <w:bookmarkEnd w:id="186"/>
      <w:bookmarkEnd w:id="187"/>
      <w:r>
        <w:rPr>
          <w:rStyle w:val="CharSDivText"/>
        </w:rPr>
        <w:t xml:space="preserve"> </w:t>
      </w:r>
    </w:p>
    <w:p>
      <w:pPr>
        <w:pStyle w:val="yHeading5"/>
      </w:pPr>
      <w:bookmarkStart w:id="188" w:name="_Toc89242376"/>
      <w:r>
        <w:rPr>
          <w:rStyle w:val="CharSClsNo"/>
        </w:rPr>
        <w:t>9</w:t>
      </w:r>
      <w:r>
        <w:t>.</w:t>
      </w:r>
      <w:r>
        <w:tab/>
        <w:t>Permitting children to live on agreed premises</w:t>
      </w:r>
      <w:bookmarkEnd w:id="188"/>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189" w:name="_Toc89182251"/>
      <w:bookmarkStart w:id="190" w:name="_Toc89242377"/>
      <w:r>
        <w:rPr>
          <w:rStyle w:val="CharSDivNo"/>
        </w:rPr>
        <w:t>Division 5</w:t>
      </w:r>
      <w:r>
        <w:t> — </w:t>
      </w:r>
      <w:r>
        <w:rPr>
          <w:rStyle w:val="CharSDivText"/>
        </w:rPr>
        <w:t>Other terms</w:t>
      </w:r>
      <w:bookmarkEnd w:id="189"/>
      <w:bookmarkEnd w:id="190"/>
    </w:p>
    <w:p>
      <w:pPr>
        <w:pStyle w:val="yHeading5"/>
      </w:pPr>
      <w:bookmarkStart w:id="191" w:name="_Toc89242378"/>
      <w:r>
        <w:rPr>
          <w:rStyle w:val="CharSClsNo"/>
        </w:rPr>
        <w:t>10</w:t>
      </w:r>
      <w:r>
        <w:t>.</w:t>
      </w:r>
      <w:r>
        <w:tab/>
        <w:t>Tenant’s conduct on premises</w:t>
      </w:r>
      <w:bookmarkEnd w:id="191"/>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192" w:name="_Toc89242379"/>
      <w:r>
        <w:rPr>
          <w:rStyle w:val="CharSClsNo"/>
        </w:rPr>
        <w:lastRenderedPageBreak/>
        <w:t>11</w:t>
      </w:r>
      <w:r>
        <w:t>.</w:t>
      </w:r>
      <w:r>
        <w:tab/>
        <w:t>Quiet enjoyment</w:t>
      </w:r>
      <w:bookmarkEnd w:id="192"/>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 and</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193" w:name="_Toc89242380"/>
      <w:r>
        <w:rPr>
          <w:rStyle w:val="CharSClsNo"/>
        </w:rPr>
        <w:t>12</w:t>
      </w:r>
      <w:r>
        <w:t>.</w:t>
      </w:r>
      <w:r>
        <w:tab/>
        <w:t>Locks</w:t>
      </w:r>
      <w:bookmarkEnd w:id="193"/>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Except as provided in subclause (8), 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lastRenderedPageBreak/>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for this subclause: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for this subclause: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for this subclause: a fine of $20 000.</w:t>
      </w:r>
    </w:p>
    <w:p>
      <w:pPr>
        <w:pStyle w:val="ySubsection"/>
      </w:pPr>
      <w:r>
        <w:tab/>
        <w:t>(8)</w:t>
      </w:r>
      <w:r>
        <w:tab/>
        <w:t>It is a term of every on</w:t>
      </w:r>
      <w:r>
        <w:noBreakHyphen/>
        <w:t xml:space="preserve">site home agreement — </w:t>
      </w:r>
    </w:p>
    <w:p>
      <w:pPr>
        <w:pStyle w:val="yIndenta"/>
      </w:pPr>
      <w:r>
        <w:tab/>
        <w:t>(a)</w:t>
      </w:r>
      <w:r>
        <w:tab/>
        <w:t>that a long</w:t>
      </w:r>
      <w:r>
        <w:noBreakHyphen/>
        <w:t xml:space="preserve">stay tenant may alter or add any lock or similar device to the agreed premises — </w:t>
      </w:r>
    </w:p>
    <w:p>
      <w:pPr>
        <w:pStyle w:val="yIndenti0"/>
      </w:pPr>
      <w:r>
        <w:tab/>
        <w:t>(i)</w:t>
      </w:r>
      <w:r>
        <w:tab/>
        <w:t>after the termination of an excluded tenant’s interest in a long</w:t>
      </w:r>
      <w:r>
        <w:noBreakHyphen/>
        <w:t>stay agreement under section 74B; or</w:t>
      </w:r>
    </w:p>
    <w:p>
      <w:pPr>
        <w:pStyle w:val="yIndenti0"/>
      </w:pPr>
      <w:r>
        <w:tab/>
        <w:t>(ii)</w:t>
      </w:r>
      <w:r>
        <w:tab/>
        <w:t>in any event, if it is necessary to prevent the commission of family violence that the tenant suspects, on reasonable grounds, is likely to be committed against the tenant or a dependant of the tenant;</w:t>
      </w:r>
    </w:p>
    <w:p>
      <w:pPr>
        <w:pStyle w:val="yIndenta"/>
      </w:pPr>
      <w:r>
        <w:tab/>
      </w:r>
      <w:r>
        <w:tab/>
        <w:t>and</w:t>
      </w:r>
    </w:p>
    <w:p>
      <w:pPr>
        <w:pStyle w:val="yIndenta"/>
      </w:pPr>
      <w:r>
        <w:tab/>
        <w:t>(b)</w:t>
      </w:r>
      <w:r>
        <w:tab/>
        <w:t>that the tenant must give to the park operator a copy of the key to any lock or similar device altered or added under paragraph (a) as soon as practicable, and in any event within 7 days, after the lock or similar device has been altered or added; and</w:t>
      </w:r>
    </w:p>
    <w:p>
      <w:pPr>
        <w:pStyle w:val="yIndenta"/>
      </w:pPr>
      <w:r>
        <w:tab/>
        <w:t>(c)</w:t>
      </w:r>
      <w:r>
        <w:tab/>
        <w:t xml:space="preserve">that the park operator must not give a copy of a key referred to in paragraph (b) — </w:t>
      </w:r>
    </w:p>
    <w:p>
      <w:pPr>
        <w:pStyle w:val="yIndenti0"/>
      </w:pPr>
      <w:r>
        <w:tab/>
        <w:t>(i)</w:t>
      </w:r>
      <w:r>
        <w:tab/>
        <w:t>to an excluded tenant whose interest in the long</w:t>
      </w:r>
      <w:r>
        <w:noBreakHyphen/>
        <w:t>stay agreement has been terminated under section 74B; or</w:t>
      </w:r>
    </w:p>
    <w:p>
      <w:pPr>
        <w:pStyle w:val="yIndenti0"/>
      </w:pPr>
      <w:r>
        <w:lastRenderedPageBreak/>
        <w:tab/>
        <w:t>(ii)</w:t>
      </w:r>
      <w:r>
        <w:tab/>
        <w:t>in any event, to a person who the tenant has instructed the park operator in writing not to give the copy of the key.</w:t>
      </w:r>
    </w:p>
    <w:p>
      <w:pPr>
        <w:pStyle w:val="ySubsection"/>
      </w:pPr>
      <w:r>
        <w:tab/>
        <w:t>(9)</w:t>
      </w:r>
      <w:r>
        <w:tab/>
        <w:t>A long</w:t>
      </w:r>
      <w:r>
        <w:noBreakHyphen/>
        <w:t>stay tenant who breaches a term referred to in subclause (8)(b) without reasonable excuse, in addition to any civil liability that the tenant might incur, commits an offence.</w:t>
      </w:r>
    </w:p>
    <w:p>
      <w:pPr>
        <w:pStyle w:val="yPenstart"/>
      </w:pPr>
      <w:r>
        <w:tab/>
        <w:t>Penalty for this subclause: a fine of $5 000.</w:t>
      </w:r>
    </w:p>
    <w:p>
      <w:pPr>
        <w:pStyle w:val="ySubsection"/>
      </w:pPr>
      <w:r>
        <w:tab/>
        <w:t>(10)</w:t>
      </w:r>
      <w:r>
        <w:tab/>
        <w:t>Subclause (8)(b) does not apply if the park operator is a person reasonably suspected of being likely to commit the family violence referred to in subclause (8)(a)(ii).</w:t>
      </w:r>
    </w:p>
    <w:p>
      <w:pPr>
        <w:pStyle w:val="ySubsection"/>
      </w:pPr>
      <w:r>
        <w:tab/>
        <w:t>(11)</w:t>
      </w:r>
      <w:r>
        <w:tab/>
        <w:t>A park operator who breaches a term referred to in subclause (8)(c) without reasonable excuse, in addition to any civil liability that the park operator might incur, commits an offence.</w:t>
      </w:r>
    </w:p>
    <w:p>
      <w:pPr>
        <w:pStyle w:val="yPenstart"/>
      </w:pPr>
      <w:r>
        <w:tab/>
        <w:t>Penalty for this subclause: a fine of $20 000.</w:t>
      </w:r>
    </w:p>
    <w:p>
      <w:pPr>
        <w:pStyle w:val="yFootnotesection"/>
      </w:pPr>
      <w:r>
        <w:tab/>
        <w:t>[Clause 12 amended: No. 3 of 2019 s. 35 and 39.]</w:t>
      </w:r>
    </w:p>
    <w:p>
      <w:pPr>
        <w:pStyle w:val="yHeading5"/>
      </w:pPr>
      <w:bookmarkStart w:id="194" w:name="_Toc89242381"/>
      <w:r>
        <w:rPr>
          <w:rStyle w:val="CharSClsNo"/>
        </w:rPr>
        <w:t>13</w:t>
      </w:r>
      <w:r>
        <w:t>.</w:t>
      </w:r>
      <w:r>
        <w:tab/>
        <w:t>Park operator’s right of entry</w:t>
      </w:r>
      <w:bookmarkEnd w:id="194"/>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 or</w:t>
      </w:r>
    </w:p>
    <w:p>
      <w:pPr>
        <w:pStyle w:val="yIndenta"/>
      </w:pPr>
      <w:r>
        <w:tab/>
        <w:t>(b)</w:t>
      </w:r>
      <w:r>
        <w:tab/>
        <w:t>on a day and at a reasonable time specified in a written notice given to the tenant at least 7 and not more than 14 days in advance, for the purpose of inspecting the premises or for any other purpose; or</w:t>
      </w:r>
    </w:p>
    <w:p>
      <w:pPr>
        <w:pStyle w:val="yIndenta"/>
        <w:keepNext/>
        <w:keepLines/>
      </w:pPr>
      <w:r>
        <w:lastRenderedPageBreak/>
        <w:tab/>
        <w:t>(c)</w:t>
      </w:r>
      <w:r>
        <w:tab/>
        <w:t>at any reasonable time for the purpose of collecting the rent under the agreement, where under the agreement the rent is payable not more frequently than once each week and is to be collected at the premises; or</w:t>
      </w:r>
    </w:p>
    <w:p>
      <w:pPr>
        <w:pStyle w:val="yIndenta"/>
      </w:pPr>
      <w:r>
        <w:tab/>
        <w:t>(d)</w:t>
      </w:r>
      <w:r>
        <w:tab/>
        <w:t>for the purpose of inspecting the agreed premises, on the occasion of a rent collection referred to in paragraph (c), but not more frequently than once every 4 weeks; or</w:t>
      </w:r>
    </w:p>
    <w:p>
      <w:pPr>
        <w:pStyle w:val="yIndenta"/>
      </w:pPr>
      <w:r>
        <w:tab/>
        <w:t>(e)</w:t>
      </w:r>
      <w:r>
        <w:tab/>
        <w:t>for the purpose of carrying out or inspecting necessary repairs to or maintenance of the agreed premises, at any reasonable time, after giving the tenant at least 72 hours’ notice; or</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 or</w:t>
      </w:r>
    </w:p>
    <w:p>
      <w:pPr>
        <w:pStyle w:val="yIndenta"/>
      </w:pPr>
      <w:r>
        <w:tab/>
        <w:t>(ga)</w:t>
      </w:r>
      <w:r>
        <w:tab/>
        <w:t xml:space="preserve">for the purpose of inspecting the agreed premises and assessing any damage after the termination of a tenant’s interest under — </w:t>
      </w:r>
    </w:p>
    <w:p>
      <w:pPr>
        <w:pStyle w:val="yIndenti0"/>
      </w:pPr>
      <w:r>
        <w:tab/>
        <w:t>(i)</w:t>
      </w:r>
      <w:r>
        <w:tab/>
        <w:t>section 33(2A) or (2B); or</w:t>
      </w:r>
    </w:p>
    <w:p>
      <w:pPr>
        <w:pStyle w:val="yIndenti0"/>
      </w:pPr>
      <w:r>
        <w:tab/>
        <w:t>(ii)</w:t>
      </w:r>
      <w:r>
        <w:tab/>
        <w:t>section 74B.</w:t>
      </w:r>
    </w:p>
    <w:p>
      <w:pPr>
        <w:pStyle w:val="ySubsection"/>
      </w:pPr>
      <w:r>
        <w:tab/>
        <w:t>(3)</w:t>
      </w:r>
      <w:r>
        <w:tab/>
        <w:t>It is a term of every long</w:t>
      </w:r>
      <w:r>
        <w:noBreakHyphen/>
        <w:t xml:space="preserve">stay agreement that the park operator may enter the agreed premises under subclause (2)(ga)(i) — </w:t>
      </w:r>
    </w:p>
    <w:p>
      <w:pPr>
        <w:pStyle w:val="yIndenta"/>
      </w:pPr>
      <w:r>
        <w:tab/>
        <w:t>(a)</w:t>
      </w:r>
      <w:r>
        <w:tab/>
        <w:t xml:space="preserve">not more than 7 days after receiving notice of termination under section 45A(1) or 45B(4); and </w:t>
      </w:r>
    </w:p>
    <w:p>
      <w:pPr>
        <w:pStyle w:val="yIndenta"/>
      </w:pPr>
      <w:r>
        <w:tab/>
        <w:t>(b)</w:t>
      </w:r>
      <w:r>
        <w:tab/>
        <w:t>not less than 3 days after giving notice to the long</w:t>
      </w:r>
      <w:r>
        <w:noBreakHyphen/>
        <w:t>stay tenant of the park operator’s intention to enter the agreed premises.</w:t>
      </w:r>
    </w:p>
    <w:p>
      <w:pPr>
        <w:pStyle w:val="ySubsection"/>
      </w:pPr>
      <w:r>
        <w:tab/>
        <w:t>(4)</w:t>
      </w:r>
      <w:r>
        <w:tab/>
        <w:t>It is a term of every long</w:t>
      </w:r>
      <w:r>
        <w:noBreakHyphen/>
        <w:t xml:space="preserve">stay agreement that the park operator may enter the agreed premises under subclause (2)(ga)(ii) — </w:t>
      </w:r>
    </w:p>
    <w:p>
      <w:pPr>
        <w:pStyle w:val="yIndenta"/>
      </w:pPr>
      <w:r>
        <w:tab/>
        <w:t>(a)</w:t>
      </w:r>
      <w:r>
        <w:tab/>
        <w:t xml:space="preserve">not more than 10 days before the hearing of the application under section 74B; and </w:t>
      </w:r>
    </w:p>
    <w:p>
      <w:pPr>
        <w:pStyle w:val="yIndenta"/>
        <w:keepNext/>
      </w:pPr>
      <w:r>
        <w:lastRenderedPageBreak/>
        <w:tab/>
        <w:t>(b)</w:t>
      </w:r>
      <w:r>
        <w:tab/>
        <w:t>not less than 3 days after giving notice to each long</w:t>
      </w:r>
      <w:r>
        <w:noBreakHyphen/>
        <w:t>stay tenant of the park operator’s intention to enter the agreed premises.</w:t>
      </w:r>
    </w:p>
    <w:p>
      <w:pPr>
        <w:pStyle w:val="yFootnotesection"/>
      </w:pPr>
      <w:r>
        <w:tab/>
        <w:t>[Clause 13 amended: No. 3 of 2019 s. 36.]</w:t>
      </w:r>
    </w:p>
    <w:p>
      <w:pPr>
        <w:pStyle w:val="yHeading5"/>
      </w:pPr>
      <w:bookmarkStart w:id="195" w:name="_Toc89242382"/>
      <w:r>
        <w:rPr>
          <w:rStyle w:val="CharSClsNo"/>
        </w:rPr>
        <w:t>14</w:t>
      </w:r>
      <w:r>
        <w:t>.</w:t>
      </w:r>
      <w:r>
        <w:tab/>
        <w:t>Tenant’s right to remove fixtures or alter premises</w:t>
      </w:r>
      <w:bookmarkEnd w:id="195"/>
    </w:p>
    <w:p>
      <w:pPr>
        <w:pStyle w:val="ySubsection"/>
      </w:pPr>
      <w:r>
        <w:tab/>
        <w:t>(1)</w:t>
      </w:r>
      <w:r>
        <w:tab/>
        <w:t>Except as provided in subclause (4), 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Except as provided in subclause (4), 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and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 xml:space="preserve">if the tenant’s removal of a fixture causes damage to the agreed premises, the tenant must notify the park operator and, </w:t>
      </w:r>
      <w:r>
        <w:lastRenderedPageBreak/>
        <w:t>at the option of the park operator, repair the damage or compensate the park operator for any reasonable expenses incurred by the park operator in repairing the damage.</w:t>
      </w:r>
    </w:p>
    <w:p>
      <w:pPr>
        <w:pStyle w:val="ySubsection"/>
      </w:pPr>
      <w:r>
        <w:tab/>
        <w:t>(4)</w:t>
      </w:r>
      <w:r>
        <w:tab/>
        <w:t>It is a term of every long</w:t>
      </w:r>
      <w:r>
        <w:noBreakHyphen/>
        <w:t>stay agreement that a long</w:t>
      </w:r>
      <w:r>
        <w:noBreakHyphen/>
        <w:t xml:space="preserve">stay tenant may affix any prescribed fixture, or make any prescribed renovation, alteration or addition to the agreed premises (the </w:t>
      </w:r>
      <w:r>
        <w:rPr>
          <w:rStyle w:val="CharDefText"/>
        </w:rPr>
        <w:t>prescribed alterations</w:t>
      </w:r>
      <w:r>
        <w:t xml:space="preserve">), necessary to prevent entry onto the agreed premises of a person — </w:t>
      </w:r>
    </w:p>
    <w:p>
      <w:pPr>
        <w:pStyle w:val="yIndenta"/>
      </w:pPr>
      <w:r>
        <w:tab/>
        <w:t>(a)</w:t>
      </w:r>
      <w:r>
        <w:tab/>
        <w:t>if the person is an excluded tenant whose interest in a long</w:t>
      </w:r>
      <w:r>
        <w:noBreakHyphen/>
        <w:t>stay agreement has been terminated under section 74B; or</w:t>
      </w:r>
    </w:p>
    <w:p>
      <w:pPr>
        <w:pStyle w:val="y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ySubsection"/>
      </w:pPr>
      <w:r>
        <w:tab/>
        <w:t>(5)</w:t>
      </w:r>
      <w:r>
        <w:tab/>
        <w:t xml:space="preserve">For the purposes of subclause (4) — </w:t>
      </w:r>
    </w:p>
    <w:p>
      <w:pPr>
        <w:pStyle w:val="yIndenta"/>
      </w:pPr>
      <w:r>
        <w:tab/>
        <w:t>(a)</w:t>
      </w:r>
      <w:r>
        <w:tab/>
        <w:t>the cost of making the prescribed alterations must be borne by the long</w:t>
      </w:r>
      <w:r>
        <w:noBreakHyphen/>
        <w:t>stay tenant; and</w:t>
      </w:r>
    </w:p>
    <w:p>
      <w:pPr>
        <w:pStyle w:val="yIndenta"/>
      </w:pPr>
      <w:r>
        <w:tab/>
        <w:t>(b)</w:t>
      </w:r>
      <w:r>
        <w:tab/>
        <w:t>the long-stay tenant must give written notice to the park operator of the tenant’s intention to make the prescribed alterations; and</w:t>
      </w:r>
    </w:p>
    <w:p>
      <w:pPr>
        <w:pStyle w:val="yIndenta"/>
      </w:pPr>
      <w:r>
        <w:tab/>
        <w:t>(c)</w:t>
      </w:r>
      <w:r>
        <w:tab/>
        <w:t>work on the prescribed alterations must be undertaken by a qualified tradesperson, a copy of whose invoice the long-stay tenant must provide to the park operator within 14 days of the alterations being completed; and</w:t>
      </w:r>
    </w:p>
    <w:p>
      <w:pPr>
        <w:pStyle w:val="yIndenta"/>
      </w:pPr>
      <w:r>
        <w:tab/>
        <w:t>(d)</w:t>
      </w:r>
      <w:r>
        <w:tab/>
        <w:t>the prescribed alterations must be effected having regard to the age and character of the property and any applicable strata company by</w:t>
      </w:r>
      <w:r>
        <w:noBreakHyphen/>
        <w:t>laws; and</w:t>
      </w:r>
    </w:p>
    <w:p>
      <w:pPr>
        <w:pStyle w:val="yIndenta"/>
      </w:pPr>
      <w:r>
        <w:tab/>
        <w:t>(e)</w:t>
      </w:r>
      <w:r>
        <w:tab/>
        <w:t>the long</w:t>
      </w:r>
      <w:r>
        <w:noBreakHyphen/>
        <w:t>stay tenant must restore the agreed premises to their original condition at the end of the long</w:t>
      </w:r>
      <w:r>
        <w:noBreakHyphen/>
        <w:t>stay agreement if the park operator requires the tenant to do so and, where restoration work has been undertaken by a tradesperson, must provide to the park operator a copy of that tradesperson’s invoice within 14 days of that work being performed.</w:t>
      </w:r>
    </w:p>
    <w:p>
      <w:pPr>
        <w:pStyle w:val="yFootnotesection"/>
      </w:pPr>
      <w:r>
        <w:tab/>
        <w:t>[Clause 14 amended: No. 3 of 2019 s. 37.]</w:t>
      </w:r>
    </w:p>
    <w:p>
      <w:pPr>
        <w:pStyle w:val="yHeading5"/>
      </w:pPr>
      <w:bookmarkStart w:id="196" w:name="_Toc89242383"/>
      <w:r>
        <w:rPr>
          <w:rStyle w:val="CharSClsNo"/>
        </w:rPr>
        <w:lastRenderedPageBreak/>
        <w:t>15</w:t>
      </w:r>
      <w:r>
        <w:t>.</w:t>
      </w:r>
      <w:r>
        <w:tab/>
        <w:t>Rates, taxes and charges paid by park operator</w:t>
      </w:r>
      <w:bookmarkEnd w:id="196"/>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the </w:t>
      </w:r>
      <w:r>
        <w:rPr>
          <w:i/>
          <w:iCs/>
        </w:rPr>
        <w:t>Water Services Act 2012</w:t>
      </w:r>
      <w:r>
        <w:t>, except a charge for the volume of water consumed.</w:t>
      </w:r>
    </w:p>
    <w:p>
      <w:pPr>
        <w:pStyle w:val="yFootnotesection"/>
      </w:pPr>
      <w:r>
        <w:tab/>
        <w:t>[Clause 15 amended: No. 25 of 2012 s. 227.]</w:t>
      </w:r>
    </w:p>
    <w:p>
      <w:pPr>
        <w:pStyle w:val="yHeading5"/>
      </w:pPr>
      <w:bookmarkStart w:id="197" w:name="_Toc89242384"/>
      <w:r>
        <w:rPr>
          <w:rStyle w:val="CharSClsNo"/>
        </w:rPr>
        <w:t>16</w:t>
      </w:r>
      <w:r>
        <w:t>.</w:t>
      </w:r>
      <w:r>
        <w:tab/>
        <w:t>Provision for assigning or sub</w:t>
      </w:r>
      <w:r>
        <w:noBreakHyphen/>
        <w:t>letting the premises</w:t>
      </w:r>
      <w:bookmarkEnd w:id="197"/>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 or</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198" w:name="_Toc89242385"/>
      <w:r>
        <w:rPr>
          <w:rStyle w:val="CharSClsNo"/>
        </w:rPr>
        <w:lastRenderedPageBreak/>
        <w:t>17</w:t>
      </w:r>
      <w:r>
        <w:t>.</w:t>
      </w:r>
      <w:r>
        <w:tab/>
        <w:t>Tenant’s vicarious responsibility for breach of agreement</w:t>
      </w:r>
      <w:bookmarkEnd w:id="198"/>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199" w:name="_Toc89242386"/>
      <w:r>
        <w:rPr>
          <w:rStyle w:val="CharSClsNo"/>
        </w:rPr>
        <w:t>18</w:t>
      </w:r>
      <w:r>
        <w:t>.</w:t>
      </w:r>
      <w:r>
        <w:tab/>
        <w:t>Accelerated rent and liquidated damages prohibited</w:t>
      </w:r>
      <w:bookmarkEnd w:id="199"/>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 or</w:t>
      </w:r>
    </w:p>
    <w:p>
      <w:pPr>
        <w:pStyle w:val="yIndenta"/>
      </w:pPr>
      <w:r>
        <w:tab/>
        <w:t>(b)</w:t>
      </w:r>
      <w:r>
        <w:tab/>
        <w:t>rent of an increased amount; or</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Ednoteschedule"/>
      </w:pPr>
      <w:r>
        <w:t>[Schedule 2 omitted under the Reprints Act 1984 s. 7(4)(e).]</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201" w:name="_Toc89182261"/>
      <w:bookmarkStart w:id="202" w:name="_Toc89242387"/>
      <w:r>
        <w:rPr>
          <w:rStyle w:val="CharSchNo"/>
        </w:rPr>
        <w:lastRenderedPageBreak/>
        <w:t>Glossary</w:t>
      </w:r>
      <w:bookmarkEnd w:id="201"/>
      <w:bookmarkEnd w:id="202"/>
      <w:r>
        <w:rPr>
          <w:rStyle w:val="CharSchText"/>
        </w:rPr>
        <w:t xml:space="preserve"> </w:t>
      </w:r>
    </w:p>
    <w:p>
      <w:pPr>
        <w:pStyle w:val="yShoulderClause"/>
      </w:pPr>
      <w:r>
        <w:t>[s. 3]</w:t>
      </w:r>
    </w:p>
    <w:p>
      <w:pPr>
        <w:pStyle w:val="yHeading5"/>
      </w:pPr>
      <w:bookmarkStart w:id="203" w:name="_Toc89242388"/>
      <w:r>
        <w:rPr>
          <w:rStyle w:val="CharSClsNo"/>
        </w:rPr>
        <w:t>1</w:t>
      </w:r>
      <w:r>
        <w:t>.</w:t>
      </w:r>
      <w:r>
        <w:tab/>
        <w:t>Terms used</w:t>
      </w:r>
      <w:bookmarkEnd w:id="203"/>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tab/>
      </w:r>
      <w:r>
        <w:rPr>
          <w:rStyle w:val="CharDefText"/>
        </w:rPr>
        <w:t>authorised financial institution</w:t>
      </w:r>
      <w:r>
        <w:t xml:space="preserve"> has the meaning given in the </w:t>
      </w:r>
      <w:r>
        <w:rPr>
          <w:i/>
        </w:rPr>
        <w:t>Residential Tenancies Act 1987</w:t>
      </w:r>
      <w:r>
        <w:t xml:space="preserve"> section 92;</w:t>
      </w:r>
    </w:p>
    <w:p>
      <w:pPr>
        <w:pStyle w:val="yDefstart"/>
      </w:pPr>
      <w:r>
        <w:tab/>
      </w:r>
      <w:r>
        <w:rPr>
          <w:rStyle w:val="CharDefText"/>
        </w:rPr>
        <w:t>bond administrator</w:t>
      </w:r>
      <w:r>
        <w:t xml:space="preserve"> means the chief executive officer of the Department in his or her capacity as bond administrator under the </w:t>
      </w:r>
      <w:r>
        <w:rPr>
          <w:i/>
        </w:rPr>
        <w:t>Residential Tenancies Act 1987</w:t>
      </w:r>
      <w:r>
        <w:t>;</w:t>
      </w:r>
    </w:p>
    <w:p>
      <w:pPr>
        <w:pStyle w:val="yDefstart"/>
      </w:pPr>
      <w:r>
        <w:rPr>
          <w:b/>
        </w:rPr>
        <w:tab/>
      </w:r>
      <w:r>
        <w:rPr>
          <w:rStyle w:val="CharDefText"/>
        </w:rPr>
        <w:t>caravan park</w:t>
      </w:r>
      <w:r>
        <w:t xml:space="preserve"> means a caravan park —</w:t>
      </w:r>
    </w:p>
    <w:p>
      <w:pPr>
        <w:pStyle w:val="yDefpara"/>
      </w:pPr>
      <w:r>
        <w:tab/>
        <w:t>(a)</w:t>
      </w:r>
      <w:r>
        <w:tab/>
        <w:t xml:space="preserve">operated or required to be operated under a licence issued under the </w:t>
      </w:r>
      <w:r>
        <w:rPr>
          <w:i/>
        </w:rPr>
        <w:t>Caravan Parks and Camping Grounds Act 1995</w:t>
      </w:r>
      <w:r>
        <w:t>; or</w:t>
      </w:r>
    </w:p>
    <w:p>
      <w:pPr>
        <w:pStyle w:val="yDefpara"/>
      </w:pPr>
      <w:r>
        <w:tab/>
        <w:t>(b)</w:t>
      </w:r>
      <w:r>
        <w:tab/>
        <w:t xml:space="preserve">operated by a local government under the </w:t>
      </w:r>
      <w:r>
        <w:rPr>
          <w:i/>
        </w:rPr>
        <w:t>Caravan Parks and Camping Grounds Act 1995</w:t>
      </w:r>
      <w:r>
        <w:t>; or</w:t>
      </w:r>
    </w:p>
    <w:p>
      <w:pPr>
        <w:pStyle w:val="yDefpara"/>
      </w:pPr>
      <w:r>
        <w:tab/>
        <w:t>(c)</w:t>
      </w:r>
      <w:r>
        <w:tab/>
        <w:t>operated by a public sector body;</w:t>
      </w:r>
    </w:p>
    <w:p>
      <w:pPr>
        <w:pStyle w:val="yDefstart"/>
        <w:rPr>
          <w:iCs/>
        </w:rPr>
      </w:pPr>
      <w:r>
        <w:rPr>
          <w:b/>
        </w:rPr>
        <w:lastRenderedPageBreak/>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tab/>
      </w:r>
      <w:r>
        <w:rPr>
          <w:rStyle w:val="CharDefText"/>
        </w:rPr>
        <w:t>DVO</w:t>
      </w:r>
      <w:r>
        <w:t xml:space="preserve"> has the meaning given under the </w:t>
      </w:r>
      <w:r>
        <w:rPr>
          <w:i/>
        </w:rPr>
        <w:t>Domestic Violence Orders (National Recognition) Act 2017</w:t>
      </w:r>
      <w:r>
        <w:t xml:space="preserve"> section 4(1);</w:t>
      </w:r>
    </w:p>
    <w:p>
      <w:pPr>
        <w:pStyle w:val="y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yDefstart"/>
      </w:pPr>
      <w:r>
        <w:tab/>
      </w:r>
      <w:r>
        <w:rPr>
          <w:rStyle w:val="CharDefText"/>
        </w:rPr>
        <w:t>family violence</w:t>
      </w:r>
      <w:r>
        <w:t xml:space="preserve"> has the meaning given in the </w:t>
      </w:r>
      <w:r>
        <w:rPr>
          <w:i/>
        </w:rPr>
        <w:t>Restraining Orders Act 1997</w:t>
      </w:r>
      <w:r>
        <w:t xml:space="preserve"> section 5A(1);</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residential park, or an area within a residential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lastRenderedPageBreak/>
        <w:tab/>
      </w:r>
      <w:r>
        <w:rPr>
          <w:rStyle w:val="CharDefText"/>
        </w:rPr>
        <w:t>notice of termination</w:t>
      </w:r>
      <w:r>
        <w:t xml:space="preserve"> means a notice to terminate a long</w:t>
      </w:r>
      <w:r>
        <w:noBreakHyphen/>
        <w:t>stay agreement, or an interest in the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lastRenderedPageBreak/>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Defstart"/>
      </w:pPr>
      <w:r>
        <w:tab/>
      </w:r>
      <w:r>
        <w:rPr>
          <w:rStyle w:val="CharDefText"/>
        </w:rPr>
        <w:t>residential park</w:t>
      </w:r>
      <w:r>
        <w:t xml:space="preserve"> has the meaning given in section 5B;</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lastRenderedPageBreak/>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 and</w:t>
      </w:r>
    </w:p>
    <w:p>
      <w:pPr>
        <w:pStyle w:val="yDefpara"/>
      </w:pPr>
      <w:r>
        <w:tab/>
        <w:t>(b)</w:t>
      </w:r>
      <w:r>
        <w:tab/>
        <w:t>in relation to a notice of termination given under section 44(1) — the day specified in the notice as the day on which the tenant intends to give vacant possession of the agreed premises to the park operator; and</w:t>
      </w:r>
    </w:p>
    <w:p>
      <w:pPr>
        <w:pStyle w:val="yDefpara"/>
      </w:pPr>
      <w:r>
        <w:tab/>
        <w:t>(c)</w:t>
      </w:r>
      <w:r>
        <w:tab/>
        <w:t>in relation to a notice of termination given under section 45(3) — the day specified in the notice as the day on which the agreement is to be terminated; and</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pStyle w:val="yFootnotesection"/>
      </w:pPr>
      <w:r>
        <w:tab/>
        <w:t>[Glossary amended: No. 19 of 2010 s. 51; No. 60 of 2011 s. 107; No. 23 of 2014 s. 85; No. 3 of 2019 s. 38; No. 28 of 2020 s. 86.]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204" w:name="_Toc89182263"/>
      <w:bookmarkStart w:id="205" w:name="_Toc89242389"/>
      <w:r>
        <w:lastRenderedPageBreak/>
        <w:t>Notes</w:t>
      </w:r>
      <w:bookmarkEnd w:id="204"/>
      <w:bookmarkEnd w:id="205"/>
    </w:p>
    <w:p>
      <w:pPr>
        <w:pStyle w:val="nStatement"/>
      </w:pPr>
      <w:r>
        <w:t xml:space="preserve">This is a compilation of the </w:t>
      </w:r>
      <w:r>
        <w:rPr>
          <w:i/>
          <w:noProof/>
        </w:rPr>
        <w:t>Residential Parks (Long-stay Tenants)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6" w:name="_Toc89242390"/>
      <w:r>
        <w:t>Compilation table</w:t>
      </w:r>
      <w:bookmarkEnd w:id="20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4"/>
        <w:gridCol w:w="1120"/>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Cs/>
                <w:highlight w:val="yellow"/>
              </w:rPr>
            </w:pPr>
            <w:r>
              <w:rPr>
                <w:i/>
                <w:noProof/>
                <w:snapToGrid w:val="0"/>
              </w:rPr>
              <w:t>Residential Parks (Long</w:t>
            </w:r>
            <w:r>
              <w:rPr>
                <w:i/>
                <w:noProof/>
                <w:snapToGrid w:val="0"/>
              </w:rPr>
              <w:noBreakHyphen/>
              <w:t>stay Tenants) Act 2006</w:t>
            </w:r>
          </w:p>
        </w:tc>
        <w:tc>
          <w:tcPr>
            <w:tcW w:w="1134" w:type="dxa"/>
            <w:tcBorders>
              <w:top w:val="single" w:sz="8" w:space="0" w:color="auto"/>
            </w:tcBorders>
          </w:tcPr>
          <w:p>
            <w:pPr>
              <w:pStyle w:val="nTable"/>
              <w:spacing w:after="40"/>
            </w:pPr>
            <w:r>
              <w:t>32 of 2006</w:t>
            </w:r>
          </w:p>
        </w:tc>
        <w:tc>
          <w:tcPr>
            <w:tcW w:w="1134" w:type="dxa"/>
            <w:gridSpan w:val="2"/>
            <w:tcBorders>
              <w:top w:val="single" w:sz="8" w:space="0" w:color="auto"/>
            </w:tcBorders>
          </w:tcPr>
          <w:p>
            <w:pPr>
              <w:pStyle w:val="nTable"/>
              <w:spacing w:after="40"/>
            </w:pPr>
            <w:r>
              <w:t>4 Jul 2006</w:t>
            </w:r>
          </w:p>
        </w:tc>
        <w:tc>
          <w:tcPr>
            <w:tcW w:w="2552" w:type="dxa"/>
            <w:tcBorders>
              <w:top w:val="single" w:sz="8" w:space="0" w:color="auto"/>
            </w:tcBorders>
          </w:tcPr>
          <w:p>
            <w:pPr>
              <w:pStyle w:val="nTable"/>
              <w:spacing w:after="40"/>
            </w:pPr>
            <w:r>
              <w:t>s. 1 and 2: 4 Jul 2006;</w:t>
            </w:r>
            <w:r>
              <w:br/>
              <w:t xml:space="preserve">Act other than s. 1 and 2: 3 Aug 2007 (see s. 2 and </w:t>
            </w:r>
            <w:r>
              <w:rPr>
                <w:i/>
                <w:iCs/>
              </w:rPr>
              <w:t>Gazette</w:t>
            </w:r>
            <w:r>
              <w:t xml:space="preserve"> 1 Aug 2007 p. 3835)</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 xml:space="preserve">Financial Legislation Amendment and Repeal Act 2006 </w:t>
            </w:r>
            <w:r>
              <w:rPr>
                <w:iCs/>
                <w:noProof/>
                <w:snapToGrid w:val="0"/>
              </w:rPr>
              <w:t>s. 4</w:t>
            </w:r>
          </w:p>
        </w:tc>
        <w:tc>
          <w:tcPr>
            <w:tcW w:w="1134" w:type="dxa"/>
          </w:tcPr>
          <w:p>
            <w:pPr>
              <w:pStyle w:val="nTable"/>
              <w:spacing w:after="40"/>
            </w:pPr>
            <w:r>
              <w:t>77 of 2006</w:t>
            </w:r>
          </w:p>
        </w:tc>
        <w:tc>
          <w:tcPr>
            <w:tcW w:w="1134" w:type="dxa"/>
            <w:gridSpan w:val="2"/>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c>
          <w:tcPr>
            <w:tcW w:w="2268" w:type="dxa"/>
          </w:tcPr>
          <w:p>
            <w:pPr>
              <w:pStyle w:val="nTable"/>
              <w:spacing w:after="40"/>
              <w:rPr>
                <w:noProof/>
                <w:snapToGrid w:val="0"/>
              </w:rPr>
            </w:pPr>
            <w:r>
              <w:rPr>
                <w:i/>
                <w:noProof/>
                <w:snapToGrid w:val="0"/>
              </w:rPr>
              <w:t>Standardisation of Formatting Act 2010</w:t>
            </w:r>
            <w:r>
              <w:rPr>
                <w:i/>
                <w:iCs/>
                <w:noProof/>
                <w:snapToGrid w:val="0"/>
              </w:rPr>
              <w:t xml:space="preserve"> </w:t>
            </w:r>
            <w:r>
              <w:rPr>
                <w:noProof/>
                <w:snapToGrid w:val="0"/>
              </w:rPr>
              <w:t>s. 51</w:t>
            </w:r>
          </w:p>
        </w:tc>
        <w:tc>
          <w:tcPr>
            <w:tcW w:w="1134" w:type="dxa"/>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snapToGrid w:val="0"/>
              </w:rPr>
              <w:t xml:space="preserve">Residential Tenancies Amendment Act 2011 </w:t>
            </w:r>
            <w:r>
              <w:rPr>
                <w:snapToGrid w:val="0"/>
              </w:rPr>
              <w:t>Pt. 5 Div. 5</w:t>
            </w:r>
          </w:p>
        </w:tc>
        <w:tc>
          <w:tcPr>
            <w:tcW w:w="1134" w:type="dxa"/>
          </w:tcPr>
          <w:p>
            <w:pPr>
              <w:pStyle w:val="nTable"/>
              <w:spacing w:after="40"/>
              <w:rPr>
                <w:snapToGrid w:val="0"/>
              </w:rPr>
            </w:pPr>
            <w:r>
              <w:rPr>
                <w:snapToGrid w:val="0"/>
              </w:rPr>
              <w:t>60 of 2011</w:t>
            </w:r>
          </w:p>
        </w:tc>
        <w:tc>
          <w:tcPr>
            <w:tcW w:w="1134" w:type="dxa"/>
            <w:gridSpan w:val="2"/>
          </w:tcPr>
          <w:p>
            <w:pPr>
              <w:pStyle w:val="nTable"/>
              <w:spacing w:after="40"/>
              <w:rPr>
                <w:snapToGrid w:val="0"/>
              </w:rPr>
            </w:pPr>
            <w:r>
              <w:t>14 Dec 2011</w:t>
            </w:r>
          </w:p>
        </w:tc>
        <w:tc>
          <w:tcPr>
            <w:tcW w:w="2552" w:type="dxa"/>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blPrEx>
          <w:tblBorders>
            <w:top w:val="none" w:sz="0" w:space="0" w:color="auto"/>
            <w:bottom w:val="none" w:sz="0" w:space="0" w:color="auto"/>
            <w:insideH w:val="none" w:sz="0" w:space="0" w:color="auto"/>
          </w:tblBorders>
        </w:tblPrEx>
        <w:tc>
          <w:tcPr>
            <w:tcW w:w="7088" w:type="dxa"/>
            <w:gridSpan w:val="5"/>
            <w:shd w:val="clear" w:color="auto" w:fill="auto"/>
          </w:tcPr>
          <w:p>
            <w:pPr>
              <w:pStyle w:val="nTable"/>
              <w:spacing w:after="40"/>
              <w:rPr>
                <w:snapToGrid w:val="0"/>
              </w:rPr>
            </w:pPr>
            <w:r>
              <w:rPr>
                <w:b/>
                <w:snapToGrid w:val="0"/>
              </w:rPr>
              <w:t xml:space="preserve">Reprint 1: The </w:t>
            </w:r>
            <w:r>
              <w:rPr>
                <w:b/>
                <w:i/>
                <w:snapToGrid w:val="0"/>
              </w:rPr>
              <w:t>Residential Parks (Long-stay Tenants) Act 2006</w:t>
            </w:r>
            <w:r>
              <w:rPr>
                <w:b/>
                <w:snapToGrid w:val="0"/>
              </w:rPr>
              <w:t xml:space="preserve"> as at 6 Sep 2013</w:t>
            </w:r>
            <w:r>
              <w:rPr>
                <w:snapToGrid w:val="0"/>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227</w:t>
            </w:r>
            <w:r>
              <w:rPr>
                <w:snapToGrid w:val="0"/>
                <w:vertAlign w:val="superscript"/>
              </w:rPr>
              <w:t> </w:t>
            </w: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20" w:type="dxa"/>
            <w:tcBorders>
              <w:top w:val="nil"/>
              <w:left w:val="nil"/>
              <w:bottom w:val="nil"/>
              <w:right w:val="nil"/>
            </w:tcBorders>
            <w:shd w:val="clear" w:color="auto" w:fill="auto"/>
          </w:tcPr>
          <w:p>
            <w:pPr>
              <w:pStyle w:val="nTable"/>
              <w:spacing w:after="40"/>
            </w:pPr>
            <w:r>
              <w:t>3 Sep 2012</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 Jul 2014 (see s. 2(b) and </w:t>
            </w:r>
            <w:r>
              <w:rPr>
                <w:i/>
                <w:snapToGrid w:val="0"/>
              </w:rPr>
              <w:t xml:space="preserve">Gazette </w:t>
            </w:r>
            <w:r>
              <w:rPr>
                <w:snapToGrid w:val="0"/>
              </w:rPr>
              <w:t>14 Nov 2013 p. 5028)</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Consumer Protection Legislation Amendment Act 2014</w:t>
            </w:r>
            <w:r>
              <w:rPr>
                <w:snapToGrid w:val="0"/>
              </w:rPr>
              <w:t xml:space="preserve"> Pt. 11</w:t>
            </w: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23 of 2014</w:t>
            </w:r>
          </w:p>
        </w:tc>
        <w:tc>
          <w:tcPr>
            <w:tcW w:w="1120" w:type="dxa"/>
            <w:tcBorders>
              <w:top w:val="nil"/>
              <w:left w:val="nil"/>
              <w:bottom w:val="nil"/>
              <w:right w:val="nil"/>
            </w:tcBorders>
            <w:shd w:val="clear" w:color="auto" w:fill="auto"/>
          </w:tcPr>
          <w:p>
            <w:pPr>
              <w:pStyle w:val="nTable"/>
              <w:spacing w:after="40"/>
            </w:pPr>
            <w:r>
              <w:rPr>
                <w:snapToGrid w:val="0"/>
              </w:rPr>
              <w:t>9 Oct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rPr>
              <w:t xml:space="preserve">Residential Tenancies Legislation Amendment (Family Violence) Act 2019 </w:t>
            </w:r>
            <w:r>
              <w:t>Pt. 3</w:t>
            </w:r>
          </w:p>
        </w:tc>
        <w:tc>
          <w:tcPr>
            <w:tcW w:w="1148" w:type="dxa"/>
            <w:gridSpan w:val="2"/>
            <w:tcBorders>
              <w:top w:val="nil"/>
              <w:left w:val="nil"/>
              <w:bottom w:val="nil"/>
              <w:right w:val="nil"/>
            </w:tcBorders>
            <w:shd w:val="clear" w:color="auto" w:fill="auto"/>
          </w:tcPr>
          <w:p>
            <w:pPr>
              <w:pStyle w:val="nTable"/>
              <w:spacing w:after="40"/>
              <w:rPr>
                <w:snapToGrid w:val="0"/>
              </w:rPr>
            </w:pPr>
            <w:r>
              <w:t>3 of 2019</w:t>
            </w:r>
          </w:p>
        </w:tc>
        <w:tc>
          <w:tcPr>
            <w:tcW w:w="1120" w:type="dxa"/>
            <w:tcBorders>
              <w:top w:val="nil"/>
              <w:left w:val="nil"/>
              <w:bottom w:val="nil"/>
              <w:right w:val="nil"/>
            </w:tcBorders>
            <w:shd w:val="clear" w:color="auto" w:fill="auto"/>
          </w:tcPr>
          <w:p>
            <w:pPr>
              <w:pStyle w:val="nTable"/>
              <w:spacing w:after="40"/>
              <w:rPr>
                <w:snapToGrid w:val="0"/>
              </w:rPr>
            </w:pPr>
            <w:r>
              <w:t>26 Feb 2019</w:t>
            </w:r>
          </w:p>
        </w:tc>
        <w:tc>
          <w:tcPr>
            <w:tcW w:w="2552" w:type="dxa"/>
            <w:tcBorders>
              <w:top w:val="nil"/>
              <w:left w:val="nil"/>
              <w:bottom w:val="nil"/>
            </w:tcBorders>
            <w:shd w:val="clear" w:color="auto" w:fill="auto"/>
          </w:tcPr>
          <w:p>
            <w:pPr>
              <w:pStyle w:val="nTable"/>
              <w:spacing w:after="40"/>
              <w:rPr>
                <w:snapToGrid w:val="0"/>
              </w:rPr>
            </w:pPr>
            <w:r>
              <w:t xml:space="preserve">15 Apr 2019 (see s. 2(b) and </w:t>
            </w:r>
            <w:r>
              <w:rPr>
                <w:i/>
              </w:rPr>
              <w:t>Gazette</w:t>
            </w:r>
            <w:r>
              <w:t xml:space="preserve"> 9 Apr 2019 p. 1041-2)</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single" w:sz="8" w:space="0" w:color="auto"/>
              <w:right w:val="nil"/>
            </w:tcBorders>
            <w:shd w:val="clear" w:color="auto" w:fill="auto"/>
          </w:tcPr>
          <w:p>
            <w:pPr>
              <w:pStyle w:val="nTable"/>
              <w:spacing w:after="40"/>
            </w:pPr>
            <w:r>
              <w:rPr>
                <w:i/>
              </w:rPr>
              <w:t>Residential Parks (Long</w:t>
            </w:r>
            <w:r>
              <w:rPr>
                <w:i/>
              </w:rPr>
              <w:noBreakHyphen/>
              <w:t xml:space="preserve"> stay Tenants) Amendment Act 2020</w:t>
            </w:r>
            <w:r>
              <w:t xml:space="preserve"> s. 3, 6, 80-83 and 86</w:t>
            </w:r>
          </w:p>
        </w:tc>
        <w:tc>
          <w:tcPr>
            <w:tcW w:w="1148" w:type="dxa"/>
            <w:gridSpan w:val="2"/>
            <w:tcBorders>
              <w:top w:val="nil"/>
              <w:left w:val="nil"/>
              <w:bottom w:val="single" w:sz="8" w:space="0" w:color="auto"/>
              <w:right w:val="nil"/>
            </w:tcBorders>
            <w:shd w:val="clear" w:color="auto" w:fill="auto"/>
          </w:tcPr>
          <w:p>
            <w:pPr>
              <w:pStyle w:val="nTable"/>
              <w:spacing w:after="40"/>
            </w:pPr>
            <w:r>
              <w:t>28 of 2020</w:t>
            </w:r>
          </w:p>
        </w:tc>
        <w:tc>
          <w:tcPr>
            <w:tcW w:w="1120" w:type="dxa"/>
            <w:tcBorders>
              <w:top w:val="nil"/>
              <w:left w:val="nil"/>
              <w:bottom w:val="single" w:sz="8" w:space="0" w:color="auto"/>
              <w:right w:val="nil"/>
            </w:tcBorders>
            <w:shd w:val="clear" w:color="auto" w:fill="auto"/>
          </w:tcPr>
          <w:p>
            <w:pPr>
              <w:pStyle w:val="nTable"/>
              <w:spacing w:after="40"/>
            </w:pPr>
            <w:r>
              <w:t>9 Jul 2020</w:t>
            </w:r>
          </w:p>
        </w:tc>
        <w:tc>
          <w:tcPr>
            <w:tcW w:w="2552" w:type="dxa"/>
            <w:tcBorders>
              <w:top w:val="nil"/>
              <w:left w:val="nil"/>
              <w:bottom w:val="single" w:sz="8" w:space="0" w:color="auto"/>
            </w:tcBorders>
            <w:shd w:val="clear" w:color="auto" w:fill="auto"/>
          </w:tcPr>
          <w:p>
            <w:pPr>
              <w:pStyle w:val="nTable"/>
              <w:spacing w:after="40"/>
            </w:pPr>
            <w:r>
              <w:t>s. 3 and 80: 10 Jul 2020 (see s. 2(1)(b));</w:t>
            </w:r>
            <w:r>
              <w:br/>
              <w:t>s. 6, 81</w:t>
            </w:r>
            <w:r>
              <w:noBreakHyphen/>
              <w:t>83 and 86: 30 Sep 2020 (see s. 2(1)(c) and SL 2020/174 cl. 2)</w:t>
            </w:r>
          </w:p>
        </w:tc>
      </w:tr>
    </w:tbl>
    <w:p>
      <w:pPr>
        <w:pStyle w:val="nHeading3"/>
      </w:pPr>
      <w:bookmarkStart w:id="207" w:name="_Toc89242391"/>
      <w:r>
        <w:lastRenderedPageBreak/>
        <w:t>Uncommenced provisions table</w:t>
      </w:r>
      <w:bookmarkEnd w:id="20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c>
          <w:tcPr>
            <w:tcW w:w="2268" w:type="dxa"/>
          </w:tcPr>
          <w:p>
            <w:pPr>
              <w:pStyle w:val="nTable"/>
              <w:spacing w:after="40"/>
            </w:pPr>
            <w:r>
              <w:rPr>
                <w:i/>
              </w:rPr>
              <w:t>Residential Parks (Long</w:t>
            </w:r>
            <w:r>
              <w:rPr>
                <w:i/>
              </w:rPr>
              <w:noBreakHyphen/>
              <w:t xml:space="preserve"> stay Tenants) Amendment Act 2020</w:t>
            </w:r>
            <w:r>
              <w:t xml:space="preserve"> Pt. 2 (other than s. 3, 6, 80-83 and 86)</w:t>
            </w:r>
          </w:p>
        </w:tc>
        <w:tc>
          <w:tcPr>
            <w:tcW w:w="1134" w:type="dxa"/>
          </w:tcPr>
          <w:p>
            <w:pPr>
              <w:pStyle w:val="nTable"/>
              <w:spacing w:after="40"/>
            </w:pPr>
            <w:r>
              <w:t>28 of 2020</w:t>
            </w:r>
          </w:p>
        </w:tc>
        <w:tc>
          <w:tcPr>
            <w:tcW w:w="1134" w:type="dxa"/>
          </w:tcPr>
          <w:p>
            <w:pPr>
              <w:pStyle w:val="nTable"/>
              <w:spacing w:after="40"/>
            </w:pPr>
            <w:r>
              <w:t>9 Jul 2020</w:t>
            </w:r>
          </w:p>
        </w:tc>
        <w:tc>
          <w:tcPr>
            <w:tcW w:w="2552" w:type="dxa"/>
          </w:tcPr>
          <w:p>
            <w:pPr>
              <w:pStyle w:val="nTable"/>
              <w:spacing w:after="40"/>
            </w:pPr>
            <w:r>
              <w:t>31 Jan 2022 (see s. 2(1)(c) and SL 2021/195 cl. 2)</w:t>
            </w:r>
          </w:p>
        </w:tc>
      </w:tr>
    </w:tbl>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209" w:name="_Toc89182266"/>
      <w:bookmarkStart w:id="210" w:name="_Toc89242392"/>
      <w:r>
        <w:rPr>
          <w:sz w:val="28"/>
        </w:rPr>
        <w:lastRenderedPageBreak/>
        <w:t>Defined terms</w:t>
      </w:r>
      <w:bookmarkEnd w:id="209"/>
      <w:bookmarkEnd w:id="2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goods</w:t>
      </w:r>
      <w:r>
        <w:tab/>
        <w:t>Gl.</w:t>
      </w:r>
    </w:p>
    <w:p>
      <w:pPr>
        <w:pStyle w:val="DefinedTerms"/>
      </w:pPr>
      <w:r>
        <w:t>ADI</w:t>
      </w:r>
      <w:r>
        <w:tab/>
        <w:t>Gl.</w:t>
      </w:r>
    </w:p>
    <w:p>
      <w:pPr>
        <w:pStyle w:val="DefinedTerms"/>
      </w:pPr>
      <w:r>
        <w:t>ADI account</w:t>
      </w:r>
      <w:r>
        <w:tab/>
        <w:t>Gl.</w:t>
      </w:r>
    </w:p>
    <w:p>
      <w:pPr>
        <w:pStyle w:val="DefinedTerms"/>
      </w:pPr>
      <w:r>
        <w:t>agreed premises</w:t>
      </w:r>
      <w:r>
        <w:tab/>
        <w:t>Gl.</w:t>
      </w:r>
    </w:p>
    <w:p>
      <w:pPr>
        <w:pStyle w:val="DefinedTerms"/>
      </w:pPr>
      <w:r>
        <w:t>agreement</w:t>
      </w:r>
      <w:r>
        <w:tab/>
        <w:t>Gl.</w:t>
      </w:r>
    </w:p>
    <w:p>
      <w:pPr>
        <w:pStyle w:val="DefinedTerms"/>
      </w:pPr>
      <w:r>
        <w:t>application period</w:t>
      </w:r>
      <w:r>
        <w:tab/>
        <w:t>98(1)</w:t>
      </w:r>
    </w:p>
    <w:p>
      <w:pPr>
        <w:pStyle w:val="DefinedTerms"/>
      </w:pPr>
      <w:r>
        <w:t>auditor</w:t>
      </w:r>
      <w:r>
        <w:tab/>
        <w:t>93(8)</w:t>
      </w:r>
    </w:p>
    <w:p>
      <w:pPr>
        <w:pStyle w:val="DefinedTerms"/>
      </w:pPr>
      <w:r>
        <w:t>authorised financial institution</w:t>
      </w:r>
      <w:r>
        <w:tab/>
        <w:t>Gl.</w:t>
      </w:r>
    </w:p>
    <w:p>
      <w:pPr>
        <w:pStyle w:val="DefinedTerms"/>
      </w:pPr>
      <w:r>
        <w:t>bond administrator</w:t>
      </w:r>
      <w:r>
        <w:tab/>
        <w:t>Gl.</w:t>
      </w:r>
    </w:p>
    <w:p>
      <w:pPr>
        <w:pStyle w:val="DefinedTerms"/>
      </w:pPr>
      <w:r>
        <w:t>caravan</w:t>
      </w:r>
      <w:r>
        <w:tab/>
        <w:t>98(1)</w:t>
      </w:r>
    </w:p>
    <w:p>
      <w:pPr>
        <w:pStyle w:val="DefinedTerms"/>
      </w:pPr>
      <w:r>
        <w:t>caravan park</w:t>
      </w:r>
      <w:r>
        <w:tab/>
        <w:t>Gl.</w:t>
      </w:r>
    </w:p>
    <w:p>
      <w:pPr>
        <w:pStyle w:val="DefinedTerms"/>
      </w:pPr>
      <w:r>
        <w:t>commencement day</w:t>
      </w:r>
      <w:r>
        <w:tab/>
        <w:t>98(1)</w:t>
      </w:r>
    </w:p>
    <w:p>
      <w:pPr>
        <w:pStyle w:val="DefinedTerms"/>
      </w:pPr>
      <w:r>
        <w:t>Commissioner</w:t>
      </w:r>
      <w:r>
        <w:tab/>
        <w:t>Gl.</w:t>
      </w:r>
    </w:p>
    <w:p>
      <w:pPr>
        <w:pStyle w:val="DefinedTerms"/>
      </w:pPr>
      <w:r>
        <w:t>co</w:t>
      </w:r>
      <w:r>
        <w:noBreakHyphen/>
        <w:t>tenant</w:t>
      </w:r>
      <w:r>
        <w:tab/>
        <w:t>45B(1)</w:t>
      </w:r>
    </w:p>
    <w:p>
      <w:pPr>
        <w:pStyle w:val="DefinedTerms"/>
      </w:pPr>
      <w:r>
        <w:t>default notice</w:t>
      </w:r>
      <w:r>
        <w:tab/>
        <w:t>Gl.</w:t>
      </w:r>
    </w:p>
    <w:p>
      <w:pPr>
        <w:pStyle w:val="DefinedTerms"/>
      </w:pPr>
      <w:r>
        <w:t>Department</w:t>
      </w:r>
      <w:r>
        <w:tab/>
        <w:t>Gl.</w:t>
      </w:r>
    </w:p>
    <w:p>
      <w:pPr>
        <w:pStyle w:val="DefinedTerms"/>
      </w:pPr>
      <w:r>
        <w:t>DVO</w:t>
      </w:r>
      <w:r>
        <w:tab/>
        <w:t>Gl.</w:t>
      </w:r>
    </w:p>
    <w:p>
      <w:pPr>
        <w:pStyle w:val="DefinedTerms"/>
      </w:pPr>
      <w:r>
        <w:t>excluded tenant</w:t>
      </w:r>
      <w:r>
        <w:tab/>
        <w:t>74B(1)</w:t>
      </w:r>
    </w:p>
    <w:p>
      <w:pPr>
        <w:pStyle w:val="DefinedTerms"/>
      </w:pPr>
      <w:r>
        <w:t>executive officer</w:t>
      </w:r>
      <w:r>
        <w:tab/>
        <w:t>84(3)</w:t>
      </w:r>
    </w:p>
    <w:p>
      <w:pPr>
        <w:pStyle w:val="DefinedTerms"/>
      </w:pPr>
      <w:r>
        <w:t>existing fixed term long</w:t>
      </w:r>
      <w:r>
        <w:noBreakHyphen/>
        <w:t>stay agreement</w:t>
      </w:r>
      <w:r>
        <w:tab/>
        <w:t>6(7)</w:t>
      </w:r>
    </w:p>
    <w:p>
      <w:pPr>
        <w:pStyle w:val="DefinedTerms"/>
      </w:pPr>
      <w:r>
        <w:t>existing periodic long</w:t>
      </w:r>
      <w:r>
        <w:noBreakHyphen/>
        <w:t>stay agreement</w:t>
      </w:r>
      <w:r>
        <w:tab/>
        <w:t>6(7)</w:t>
      </w:r>
    </w:p>
    <w:p>
      <w:pPr>
        <w:pStyle w:val="DefinedTerms"/>
      </w:pPr>
      <w:r>
        <w:t>Family Court injunction</w:t>
      </w:r>
      <w:r>
        <w:tab/>
        <w:t>Gl.</w:t>
      </w:r>
    </w:p>
    <w:p>
      <w:pPr>
        <w:pStyle w:val="DefinedTerms"/>
      </w:pPr>
      <w:r>
        <w:t>family violence</w:t>
      </w:r>
      <w:r>
        <w:tab/>
        <w:t>Gl.</w:t>
      </w:r>
    </w:p>
    <w:p>
      <w:pPr>
        <w:pStyle w:val="DefinedTerms"/>
      </w:pPr>
      <w:r>
        <w:t>family violence order</w:t>
      </w:r>
      <w:r>
        <w:tab/>
        <w:t>74B(1)</w:t>
      </w:r>
    </w:p>
    <w:p>
      <w:pPr>
        <w:pStyle w:val="DefinedTerms"/>
      </w:pPr>
      <w:r>
        <w:t>impediment</w:t>
      </w:r>
      <w:r>
        <w:tab/>
        <w:t>Sch. 1 cl. 2(2)</w:t>
      </w:r>
    </w:p>
    <w:p>
      <w:pPr>
        <w:pStyle w:val="DefinedTerms"/>
      </w:pPr>
      <w:r>
        <w:t>information</w:t>
      </w:r>
      <w:r>
        <w:tab/>
        <w:t>87(3)</w:t>
      </w:r>
    </w:p>
    <w:p>
      <w:pPr>
        <w:pStyle w:val="DefinedTerms"/>
      </w:pPr>
      <w:r>
        <w:t>key bond</w:t>
      </w:r>
      <w:r>
        <w:tab/>
        <w:t>Gl.</w:t>
      </w:r>
    </w:p>
    <w:p>
      <w:pPr>
        <w:pStyle w:val="DefinedTerms"/>
      </w:pPr>
      <w:r>
        <w:t>lifestyle village</w:t>
      </w:r>
      <w:r>
        <w:tab/>
        <w:t>Gl.</w:t>
      </w:r>
    </w:p>
    <w:p>
      <w:pPr>
        <w:pStyle w:val="DefinedTerms"/>
      </w:pPr>
      <w:r>
        <w:t>long</w:t>
      </w:r>
      <w:r>
        <w:noBreakHyphen/>
        <w:t>stay agreement</w:t>
      </w:r>
      <w:r>
        <w:tab/>
        <w:t>5(1), Gl.</w:t>
      </w:r>
    </w:p>
    <w:p>
      <w:pPr>
        <w:pStyle w:val="DefinedTerms"/>
      </w:pPr>
      <w:r>
        <w:t>long</w:t>
      </w:r>
      <w:r>
        <w:noBreakHyphen/>
        <w:t>stay site</w:t>
      </w:r>
      <w:r>
        <w:tab/>
        <w:t>Gl.</w:t>
      </w:r>
    </w:p>
    <w:p>
      <w:pPr>
        <w:pStyle w:val="DefinedTerms"/>
      </w:pPr>
      <w:r>
        <w:t>long</w:t>
      </w:r>
      <w:r>
        <w:noBreakHyphen/>
        <w:t>stay tenant</w:t>
      </w:r>
      <w:r>
        <w:tab/>
        <w:t>Gl.</w:t>
      </w:r>
    </w:p>
    <w:p>
      <w:pPr>
        <w:pStyle w:val="DefinedTerms"/>
      </w:pPr>
      <w:r>
        <w:t>make</w:t>
      </w:r>
      <w:r>
        <w:tab/>
        <w:t>Gl.</w:t>
      </w:r>
    </w:p>
    <w:p>
      <w:pPr>
        <w:pStyle w:val="DefinedTerms"/>
      </w:pPr>
      <w:r>
        <w:t>notice of termination</w:t>
      </w:r>
      <w:r>
        <w:tab/>
        <w:t>Gl.</w:t>
      </w:r>
    </w:p>
    <w:p>
      <w:pPr>
        <w:pStyle w:val="DefinedTerms"/>
      </w:pPr>
      <w:r>
        <w:t>on</w:t>
      </w:r>
      <w:r>
        <w:noBreakHyphen/>
        <w:t>site home</w:t>
      </w:r>
      <w:r>
        <w:tab/>
        <w:t>Gl.</w:t>
      </w:r>
    </w:p>
    <w:p>
      <w:pPr>
        <w:pStyle w:val="DefinedTerms"/>
      </w:pPr>
      <w:r>
        <w:t>on</w:t>
      </w:r>
      <w:r>
        <w:noBreakHyphen/>
        <w:t>site home agreement</w:t>
      </w:r>
      <w:r>
        <w:tab/>
        <w:t>Gl.</w:t>
      </w:r>
    </w:p>
    <w:p>
      <w:pPr>
        <w:pStyle w:val="DefinedTerms"/>
      </w:pPr>
      <w:r>
        <w:t>original party</w:t>
      </w:r>
      <w:r>
        <w:tab/>
        <w:t>78, 79(1)</w:t>
      </w:r>
    </w:p>
    <w:p>
      <w:pPr>
        <w:pStyle w:val="DefinedTerms"/>
      </w:pPr>
      <w:r>
        <w:t>park operator</w:t>
      </w:r>
      <w:r>
        <w:tab/>
        <w:t>Gl.</w:t>
      </w:r>
    </w:p>
    <w:p>
      <w:pPr>
        <w:pStyle w:val="DefinedTerms"/>
      </w:pPr>
      <w:r>
        <w:t>park premises</w:t>
      </w:r>
      <w:r>
        <w:tab/>
        <w:t>Gl.</w:t>
      </w:r>
    </w:p>
    <w:p>
      <w:pPr>
        <w:pStyle w:val="DefinedTerms"/>
      </w:pPr>
      <w:r>
        <w:t>park resident</w:t>
      </w:r>
      <w:r>
        <w:tab/>
        <w:t>61(3)</w:t>
      </w:r>
    </w:p>
    <w:p>
      <w:pPr>
        <w:pStyle w:val="DefinedTerms"/>
      </w:pPr>
      <w:r>
        <w:t>park rules</w:t>
      </w:r>
      <w:r>
        <w:tab/>
        <w:t>Gl.</w:t>
      </w:r>
    </w:p>
    <w:p>
      <w:pPr>
        <w:pStyle w:val="DefinedTerms"/>
      </w:pPr>
      <w:r>
        <w:lastRenderedPageBreak/>
        <w:t>period of notice</w:t>
      </w:r>
      <w:r>
        <w:tab/>
        <w:t>Gl.</w:t>
      </w:r>
    </w:p>
    <w:p>
      <w:pPr>
        <w:pStyle w:val="DefinedTerms"/>
      </w:pPr>
      <w:r>
        <w:t>periodic long</w:t>
      </w:r>
      <w:r>
        <w:noBreakHyphen/>
        <w:t>stay agreement</w:t>
      </w:r>
      <w:r>
        <w:tab/>
        <w:t>7(4)</w:t>
      </w:r>
    </w:p>
    <w:p>
      <w:pPr>
        <w:pStyle w:val="DefinedTerms"/>
      </w:pPr>
      <w:r>
        <w:t>pet bond</w:t>
      </w:r>
      <w:r>
        <w:tab/>
        <w:t>Gl.</w:t>
      </w:r>
    </w:p>
    <w:p>
      <w:pPr>
        <w:pStyle w:val="DefinedTerms"/>
      </w:pPr>
      <w:r>
        <w:t>prescribed alterations</w:t>
      </w:r>
      <w:r>
        <w:tab/>
        <w:t>Sch. 1 cl. 14(4)</w:t>
      </w:r>
    </w:p>
    <w:p>
      <w:pPr>
        <w:pStyle w:val="DefinedTerms"/>
      </w:pPr>
      <w:r>
        <w:t>protected tenant</w:t>
      </w:r>
      <w:r>
        <w:tab/>
        <w:t>74B(1)</w:t>
      </w:r>
    </w:p>
    <w:p>
      <w:pPr>
        <w:pStyle w:val="DefinedTerms"/>
      </w:pPr>
      <w:r>
        <w:t>public sector body</w:t>
      </w:r>
      <w:r>
        <w:tab/>
        <w:t>Gl.</w:t>
      </w:r>
    </w:p>
    <w:p>
      <w:pPr>
        <w:pStyle w:val="DefinedTerms"/>
      </w:pPr>
      <w:r>
        <w:t>real estate agent</w:t>
      </w:r>
      <w:r>
        <w:tab/>
        <w:t>Gl.</w:t>
      </w:r>
    </w:p>
    <w:p>
      <w:pPr>
        <w:pStyle w:val="DefinedTerms"/>
      </w:pPr>
      <w:r>
        <w:t>relocatable home</w:t>
      </w:r>
      <w:r>
        <w:tab/>
        <w:t>Gl.</w:t>
      </w:r>
    </w:p>
    <w:p>
      <w:pPr>
        <w:pStyle w:val="DefinedTerms"/>
      </w:pPr>
      <w:r>
        <w:t>rent</w:t>
      </w:r>
      <w:r>
        <w:tab/>
        <w:t>Gl.</w:t>
      </w:r>
    </w:p>
    <w:p>
      <w:pPr>
        <w:pStyle w:val="DefinedTerms"/>
      </w:pPr>
      <w:r>
        <w:t>Rental Accommodation Account</w:t>
      </w:r>
      <w:r>
        <w:tab/>
        <w:t>Gl.</w:t>
      </w:r>
    </w:p>
    <w:p>
      <w:pPr>
        <w:pStyle w:val="DefinedTerms"/>
      </w:pPr>
      <w:r>
        <w:t>residential park</w:t>
      </w:r>
      <w:r>
        <w:tab/>
        <w:t>Gl.</w:t>
      </w:r>
    </w:p>
    <w:p>
      <w:pPr>
        <w:pStyle w:val="DefinedTerms"/>
      </w:pPr>
      <w:r>
        <w:t>residential park tenancy agreement</w:t>
      </w:r>
      <w:r>
        <w:tab/>
        <w:t>Gl.</w:t>
      </w:r>
    </w:p>
    <w:p>
      <w:pPr>
        <w:pStyle w:val="DefinedTerms"/>
      </w:pPr>
      <w:r>
        <w:t>retired person</w:t>
      </w:r>
      <w:r>
        <w:tab/>
        <w:t>Gl.</w:t>
      </w:r>
    </w:p>
    <w:p>
      <w:pPr>
        <w:pStyle w:val="DefinedTerms"/>
      </w:pPr>
      <w:r>
        <w:t>security bond</w:t>
      </w:r>
      <w:r>
        <w:tab/>
        <w:t>Gl.</w:t>
      </w:r>
    </w:p>
    <w:p>
      <w:pPr>
        <w:pStyle w:val="DefinedTerms"/>
      </w:pPr>
      <w:r>
        <w:t>selling agency agreement</w:t>
      </w:r>
      <w:r>
        <w:tab/>
        <w:t>Gl.</w:t>
      </w:r>
    </w:p>
    <w:p>
      <w:pPr>
        <w:pStyle w:val="DefinedTerms"/>
      </w:pPr>
      <w:r>
        <w:t>shared premises</w:t>
      </w:r>
      <w:r>
        <w:tab/>
        <w:t>Gl.</w:t>
      </w:r>
    </w:p>
    <w:p>
      <w:pPr>
        <w:pStyle w:val="DefinedTerms"/>
      </w:pPr>
      <w:r>
        <w:t>site</w:t>
      </w:r>
      <w:r>
        <w:tab/>
        <w:t>Gl.</w:t>
      </w:r>
    </w:p>
    <w:p>
      <w:pPr>
        <w:pStyle w:val="DefinedTerms"/>
      </w:pPr>
      <w:r>
        <w:t>site</w:t>
      </w:r>
      <w:r>
        <w:noBreakHyphen/>
        <w:t>only agreement</w:t>
      </w:r>
      <w:r>
        <w:tab/>
        <w:t>Gl.</w:t>
      </w:r>
    </w:p>
    <w:p>
      <w:pPr>
        <w:pStyle w:val="DefinedTerms"/>
      </w:pPr>
      <w:r>
        <w:t>specified day</w:t>
      </w:r>
      <w:r>
        <w:tab/>
        <w:t>Gl.</w:t>
      </w:r>
    </w:p>
    <w:p>
      <w:pPr>
        <w:pStyle w:val="DefinedTerms"/>
      </w:pPr>
      <w:r>
        <w:t>tenancy</w:t>
      </w:r>
      <w:r>
        <w:tab/>
        <w:t>Gl.</w:t>
      </w:r>
    </w:p>
    <w:p>
      <w:pPr>
        <w:pStyle w:val="DefinedTerms"/>
      </w:pPr>
      <w:r>
        <w:t>tenancy bond account</w:t>
      </w:r>
      <w:r>
        <w:tab/>
        <w:t>Gl.</w:t>
      </w:r>
    </w:p>
    <w:p>
      <w:pPr>
        <w:pStyle w:val="DefinedTerms"/>
      </w:pPr>
      <w:r>
        <w:t>tenancy period</w:t>
      </w:r>
      <w:r>
        <w:tab/>
        <w:t>Gl.</w:t>
      </w:r>
    </w:p>
    <w:p>
      <w:pPr>
        <w:pStyle w:val="DefinedTerms"/>
      </w:pPr>
      <w:r>
        <w:t>tenant</w:t>
      </w:r>
      <w:r>
        <w:tab/>
        <w:t>Gl.</w:t>
      </w:r>
    </w:p>
    <w:p>
      <w:pPr>
        <w:pStyle w:val="DefinedTerms"/>
      </w:pPr>
      <w:r>
        <w:t>terminating tenant</w:t>
      </w:r>
      <w:r>
        <w:tab/>
        <w:t>74A(1)</w:t>
      </w:r>
    </w:p>
    <w:p>
      <w:pPr>
        <w:pStyle w:val="DefinedTerms"/>
      </w:pPr>
      <w:r>
        <w:t>working day</w:t>
      </w:r>
      <w:r>
        <w:tab/>
        <w:t>Gl.</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xcvi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0" w:name="Schedule"/>
    <w:bookmarkEnd w:id="2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Terms of long-stay agreements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Terms of long-stay agreements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1" w:name="DefinedTerms"/>
    <w:bookmarkEnd w:id="21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2" w:name="Coversheet"/>
    <w:bookmarkEnd w:id="2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ED6914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30161749"/>
    <w:docVar w:name="WAFER_20140129115137" w:val="RemoveTocBookmarks,RemoveUnusedBookmarks,RemoveLanguageTags,UsedStyles,ResetPageSize,UpdateArrangement"/>
    <w:docVar w:name="WAFER_20140129115137_GUID" w:val="6801493d-d5f0-4039-b45b-336043b7ec0f"/>
    <w:docVar w:name="WAFER_20140129130355" w:val="RemoveTocBookmarks,RunningHeaders"/>
    <w:docVar w:name="WAFER_20140129130355_GUID" w:val="e6ff9acc-8883-43ca-89bc-bea848837a63"/>
    <w:docVar w:name="WAFER_20140617111139" w:val="RemoveTocBookmarks,RemoveUnusedBookmarks,RemoveLanguageTags,UsedStyles,ResetPageSize,UpdateArrangement"/>
    <w:docVar w:name="WAFER_20140617111139_GUID" w:val="43e4a56d-5564-41ef-9ac6-15ead622cce8"/>
    <w:docVar w:name="WAFER_20141015123153" w:val="RemoveTocBookmarks,RemoveUnusedBookmarks,RemoveLanguageTags,UsedStyles,ResetPageSize,UpdateArrangement"/>
    <w:docVar w:name="WAFER_20141015123153_GUID" w:val="71883a46-d6e7-4eb0-931c-23f27b32d44a"/>
    <w:docVar w:name="WAFER_20141119103454" w:val="RemoveTocBookmarks,RunningHeaders"/>
    <w:docVar w:name="WAFER_20141119103454_GUID" w:val="d87198dd-97df-4dac-9f41-2fb59d72b76e"/>
    <w:docVar w:name="WAFER_20150710142409" w:val="ResetPageSize,UpdateArrangement,UpdateNTable"/>
    <w:docVar w:name="WAFER_20150710142409_GUID" w:val="3bd28d92-3756-4d83-89a2-973243e03088"/>
    <w:docVar w:name="WAFER_20151111175526" w:val="UpdateStyles,UsedStyles"/>
    <w:docVar w:name="WAFER_20151111175526_GUID" w:val="944619b1-c372-4adc-9b5e-b5a8a0f1097c"/>
    <w:docVar w:name="WAFER_20190227083717" w:val="RemoveTocBookmarks,RemoveUnusedBookmarks,RemoveLanguageTags,UpdateStyles,UsedStyles,ResetPageSize"/>
    <w:docVar w:name="WAFER_20190227083717_GUID" w:val="5a73b9d5-7944-47c7-9308-23e39fd9c6a2"/>
    <w:docVar w:name="WAFER_20190408130747" w:val="RemoveTocBookmarks,RemoveUnusedBookmarks,RemoveLanguageTags,ResetPageSize,RunningHeaders,UpdateStyles,UsedStyles"/>
    <w:docVar w:name="WAFER_20190408130747_GUID" w:val="5ebedf08-3125-4e9e-aa29-ec2bb662bd6b"/>
    <w:docVar w:name="WAFER_20200710090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639_GUID" w:val="9fb1f3a9-1c67-44e3-b375-3e299e429055"/>
    <w:docVar w:name="WAFER_20211130161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1749_GUID" w:val="05805229-81e4-4e0a-9ebc-50e378c47d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900F48F-7218-4624-9C00-B4176F86E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B9F5E-CBAC-4B92-85BA-C9DE2A28B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26144</Words>
  <Characters>125496</Characters>
  <Application>Microsoft Office Word</Application>
  <DocSecurity>0</DocSecurity>
  <Lines>3302</Lines>
  <Paragraphs>1872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2006 - 01-h0-01</dc:title>
  <dc:subject/>
  <dc:creator/>
  <cp:keywords/>
  <dc:description/>
  <cp:lastModifiedBy>Master Repository Process</cp:lastModifiedBy>
  <cp:revision>4</cp:revision>
  <cp:lastPrinted>2020-09-25T05:30:00Z</cp:lastPrinted>
  <dcterms:created xsi:type="dcterms:W3CDTF">2021-12-03T00:52:00Z</dcterms:created>
  <dcterms:modified xsi:type="dcterms:W3CDTF">2021-12-03T00:52:00Z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OwlsUID">
    <vt:i4>144132</vt:i4>
  </property>
  <property fmtid="{D5CDD505-2E9C-101B-9397-08002B2CF9AE}" pid="4" name="ReprintNo">
    <vt:lpwstr>1</vt:lpwstr>
  </property>
  <property fmtid="{D5CDD505-2E9C-101B-9397-08002B2CF9AE}" pid="5" name="ReprintedAsAt">
    <vt:filetime>2013-09-05T16:00:00Z</vt:filetime>
  </property>
  <property fmtid="{D5CDD505-2E9C-101B-9397-08002B2CF9AE}" pid="6" name="DocumentType">
    <vt:lpwstr>Act</vt:lpwstr>
  </property>
  <property fmtid="{D5CDD505-2E9C-101B-9397-08002B2CF9AE}" pid="7" name="AsAtDate">
    <vt:lpwstr>30 Sep 2020</vt:lpwstr>
  </property>
  <property fmtid="{D5CDD505-2E9C-101B-9397-08002B2CF9AE}" pid="8" name="Suffix">
    <vt:lpwstr>01-h0-01</vt:lpwstr>
  </property>
  <property fmtid="{D5CDD505-2E9C-101B-9397-08002B2CF9AE}" pid="9" name="CommencementDate">
    <vt:lpwstr>20200930</vt:lpwstr>
  </property>
</Properties>
</file>