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First Home Owner Grant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First Home Owner Grant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_Toc54192580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_Toc54192581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interested person</w:t>
      </w:r>
      <w:r>
        <w:tab/>
      </w:r>
      <w:r>
        <w:fldChar w:fldCharType="begin"/>
      </w:r>
      <w:r>
        <w:instrText xml:space="preserve"> PAGEREF _Toc54192582 \h </w:instrText>
      </w:r>
      <w:r>
        <w:fldChar w:fldCharType="separate"/>
      </w:r>
      <w:r>
        <w:t>1</w:t>
      </w:r>
      <w:r>
        <w:fldChar w:fldCharType="end"/>
      </w:r>
    </w:p>
    <w:p>
      <w:pPr>
        <w:pStyle w:val="TOC8"/>
        <w:rPr>
          <w:rFonts w:asciiTheme="minorHAnsi" w:eastAsiaTheme="minorEastAsia" w:hAnsiTheme="minorHAnsi" w:cstheme="minorBidi"/>
          <w:szCs w:val="22"/>
        </w:rPr>
      </w:pPr>
      <w:r>
        <w:t>4.</w:t>
      </w:r>
      <w:r>
        <w:tab/>
        <w:t>Interest of disabled person in home prescribed to be relevant interest (s. 6(1)(h))</w:t>
      </w:r>
      <w:r>
        <w:tab/>
      </w:r>
      <w:r>
        <w:fldChar w:fldCharType="begin"/>
      </w:r>
      <w:r>
        <w:instrText xml:space="preserve"> PAGEREF _Toc54192583 \h </w:instrText>
      </w:r>
      <w:r>
        <w:fldChar w:fldCharType="separate"/>
      </w:r>
      <w:r>
        <w:t>1</w:t>
      </w:r>
      <w:r>
        <w:fldChar w:fldCharType="end"/>
      </w:r>
    </w:p>
    <w:p>
      <w:pPr>
        <w:pStyle w:val="TOC8"/>
        <w:rPr>
          <w:rFonts w:asciiTheme="minorHAnsi" w:eastAsiaTheme="minorEastAsia" w:hAnsiTheme="minorHAnsi" w:cstheme="minorBidi"/>
          <w:szCs w:val="22"/>
        </w:rPr>
      </w:pPr>
      <w:r>
        <w:t>5.</w:t>
      </w:r>
      <w:r>
        <w:tab/>
        <w:t>Interest of occupier of home on primary production land prescribed to be relevant interest (s. 6(1)(h))</w:t>
      </w:r>
      <w:r>
        <w:tab/>
      </w:r>
      <w:r>
        <w:fldChar w:fldCharType="begin"/>
      </w:r>
      <w:r>
        <w:instrText xml:space="preserve"> PAGEREF _Toc54192584 \h </w:instrText>
      </w:r>
      <w:r>
        <w:fldChar w:fldCharType="separate"/>
      </w:r>
      <w:r>
        <w:t>2</w:t>
      </w:r>
      <w:r>
        <w:fldChar w:fldCharType="end"/>
      </w:r>
    </w:p>
    <w:p>
      <w:pPr>
        <w:pStyle w:val="TOC8"/>
        <w:rPr>
          <w:rFonts w:asciiTheme="minorHAnsi" w:eastAsiaTheme="minorEastAsia" w:hAnsiTheme="minorHAnsi" w:cstheme="minorBidi"/>
          <w:szCs w:val="22"/>
        </w:rPr>
      </w:pPr>
      <w:r>
        <w:t>7.</w:t>
      </w:r>
      <w:r>
        <w:tab/>
        <w:t>Certain owners of land excluded from the operation of s. 16(1)</w:t>
      </w:r>
      <w:r>
        <w:tab/>
      </w:r>
      <w:r>
        <w:fldChar w:fldCharType="begin"/>
      </w:r>
      <w:r>
        <w:instrText xml:space="preserve"> PAGEREF _Toc54192585 \h </w:instrText>
      </w:r>
      <w:r>
        <w:fldChar w:fldCharType="separate"/>
      </w:r>
      <w:r>
        <w:t>3</w:t>
      </w:r>
      <w:r>
        <w:fldChar w:fldCharType="end"/>
      </w:r>
    </w:p>
    <w:p>
      <w:pPr>
        <w:pStyle w:val="TOC8"/>
        <w:rPr>
          <w:rFonts w:asciiTheme="minorHAnsi" w:eastAsiaTheme="minorEastAsia" w:hAnsiTheme="minorHAnsi" w:cstheme="minorBidi"/>
          <w:szCs w:val="22"/>
        </w:rPr>
      </w:pPr>
      <w:r>
        <w:t>8.</w:t>
      </w:r>
      <w:r>
        <w:tab/>
        <w:t>Prescribed rates of interest (s. 30, 32 and 52)</w:t>
      </w:r>
      <w:r>
        <w:tab/>
      </w:r>
      <w:r>
        <w:fldChar w:fldCharType="begin"/>
      </w:r>
      <w:r>
        <w:instrText xml:space="preserve"> PAGEREF _Toc54192586 \h </w:instrText>
      </w:r>
      <w:r>
        <w:fldChar w:fldCharType="separate"/>
      </w:r>
      <w:r>
        <w:t>6</w:t>
      </w:r>
      <w:r>
        <w:fldChar w:fldCharType="end"/>
      </w:r>
    </w:p>
    <w:p>
      <w:pPr>
        <w:pStyle w:val="TOC8"/>
        <w:rPr>
          <w:rFonts w:asciiTheme="minorHAnsi" w:eastAsiaTheme="minorEastAsia" w:hAnsiTheme="minorHAnsi" w:cstheme="minorBidi"/>
          <w:szCs w:val="22"/>
        </w:rPr>
      </w:pPr>
      <w:r>
        <w:t>9.</w:t>
      </w:r>
      <w:r>
        <w:tab/>
        <w:t>Conditions to be included in administration agreements (s. 37(2))</w:t>
      </w:r>
      <w:r>
        <w:tab/>
      </w:r>
      <w:r>
        <w:fldChar w:fldCharType="begin"/>
      </w:r>
      <w:r>
        <w:instrText xml:space="preserve"> PAGEREF _Toc54192587 \h </w:instrText>
      </w:r>
      <w:r>
        <w:fldChar w:fldCharType="separate"/>
      </w:r>
      <w:r>
        <w:t>6</w:t>
      </w:r>
      <w:r>
        <w:fldChar w:fldCharType="end"/>
      </w:r>
    </w:p>
    <w:p>
      <w:pPr>
        <w:pStyle w:val="TOC8"/>
        <w:rPr>
          <w:rFonts w:asciiTheme="minorHAnsi" w:eastAsiaTheme="minorEastAsia" w:hAnsiTheme="minorHAnsi" w:cstheme="minorBidi"/>
          <w:szCs w:val="22"/>
        </w:rPr>
      </w:pPr>
      <w:r>
        <w:t>10.</w:t>
      </w:r>
      <w:r>
        <w:tab/>
        <w:t>Witness fees and expenses (s. 41(7))</w:t>
      </w:r>
      <w:r>
        <w:tab/>
      </w:r>
      <w:r>
        <w:fldChar w:fldCharType="begin"/>
      </w:r>
      <w:r>
        <w:instrText xml:space="preserve"> PAGEREF _Toc54192588 \h </w:instrText>
      </w:r>
      <w:r>
        <w:fldChar w:fldCharType="separate"/>
      </w:r>
      <w:r>
        <w:t>7</w:t>
      </w:r>
      <w:r>
        <w:fldChar w:fldCharType="end"/>
      </w:r>
    </w:p>
    <w:p>
      <w:pPr>
        <w:pStyle w:val="TOC8"/>
        <w:rPr>
          <w:rFonts w:asciiTheme="minorHAnsi" w:eastAsiaTheme="minorEastAsia" w:hAnsiTheme="minorHAnsi" w:cstheme="minorBidi"/>
          <w:szCs w:val="22"/>
        </w:rPr>
      </w:pPr>
      <w:r>
        <w:t>10A.</w:t>
      </w:r>
      <w:r>
        <w:tab/>
        <w:t>Prescribed service times (s. 62(3))</w:t>
      </w:r>
      <w:r>
        <w:tab/>
      </w:r>
      <w:r>
        <w:fldChar w:fldCharType="begin"/>
      </w:r>
      <w:r>
        <w:instrText xml:space="preserve"> PAGEREF _Toc54192589 \h </w:instrText>
      </w:r>
      <w:r>
        <w:fldChar w:fldCharType="separate"/>
      </w:r>
      <w:r>
        <w:t>8</w:t>
      </w:r>
      <w:r>
        <w:fldChar w:fldCharType="end"/>
      </w:r>
    </w:p>
    <w:p>
      <w:pPr>
        <w:pStyle w:val="TOC8"/>
        <w:rPr>
          <w:rFonts w:asciiTheme="minorHAnsi" w:eastAsiaTheme="minorEastAsia" w:hAnsiTheme="minorHAnsi" w:cstheme="minorBidi"/>
          <w:szCs w:val="22"/>
        </w:rPr>
      </w:pPr>
      <w:r>
        <w:t>11.</w:t>
      </w:r>
      <w:r>
        <w:tab/>
        <w:t>Authorised receipt and permitted disclosure of confidential information (s. 65(3))</w:t>
      </w:r>
      <w:r>
        <w:tab/>
      </w:r>
      <w:r>
        <w:fldChar w:fldCharType="begin"/>
      </w:r>
      <w:r>
        <w:instrText xml:space="preserve"> PAGEREF _Toc54192590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_Toc54192592 \h </w:instrText>
      </w:r>
      <w:r>
        <w:fldChar w:fldCharType="separate"/>
      </w:r>
      <w:r>
        <w:t>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_Toc54192593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First Home Owner Grant Act 2000</w:t>
      </w:r>
    </w:p>
    <w:p>
      <w:pPr>
        <w:pStyle w:val="NameofActReg"/>
      </w:pPr>
      <w:r>
        <w:t>First Home Owner Grant Regulations 2000</w:t>
      </w:r>
    </w:p>
    <w:p>
      <w:pPr>
        <w:pStyle w:val="Heading5"/>
      </w:pPr>
      <w:bookmarkStart w:id="3" w:name="_Toc54192580"/>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t>.</w:t>
      </w:r>
    </w:p>
    <w:p>
      <w:pPr>
        <w:pStyle w:val="Heading5"/>
        <w:rPr>
          <w:spacing w:val="-2"/>
        </w:rPr>
      </w:pPr>
      <w:bookmarkStart w:id="4" w:name="_Toc54192581"/>
      <w:r>
        <w:rPr>
          <w:rStyle w:val="CharSectno"/>
        </w:rPr>
        <w:t>2</w:t>
      </w:r>
      <w:r>
        <w:rPr>
          <w:spacing w:val="-2"/>
        </w:rPr>
        <w:t>.</w:t>
      </w:r>
      <w:r>
        <w:rPr>
          <w:spacing w:val="-2"/>
        </w:rPr>
        <w:tab/>
        <w:t>Commencement</w:t>
      </w:r>
      <w:bookmarkEnd w:id="4"/>
    </w:p>
    <w:p>
      <w:pPr>
        <w:pStyle w:val="Subsection"/>
      </w:pPr>
      <w:r>
        <w:rPr>
          <w:spacing w:val="-2"/>
        </w:rPr>
        <w:tab/>
      </w:r>
      <w:r>
        <w:rPr>
          <w:spacing w:val="-2"/>
        </w:rPr>
        <w:tab/>
        <w:t>These regulations come into operation on 1 July 2000</w:t>
      </w:r>
      <w:r>
        <w:t>.</w:t>
      </w:r>
    </w:p>
    <w:p>
      <w:pPr>
        <w:pStyle w:val="Heading5"/>
      </w:pPr>
      <w:bookmarkStart w:id="5" w:name="_Toc54192582"/>
      <w:r>
        <w:rPr>
          <w:rStyle w:val="CharSectno"/>
        </w:rPr>
        <w:t>3</w:t>
      </w:r>
      <w:r>
        <w:t>.</w:t>
      </w:r>
      <w:r>
        <w:tab/>
        <w:t>Term used: interested person</w:t>
      </w:r>
      <w:bookmarkEnd w:id="5"/>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6" w:name="_Toc54192583"/>
      <w:r>
        <w:rPr>
          <w:rStyle w:val="CharSectno"/>
        </w:rPr>
        <w:t>4</w:t>
      </w:r>
      <w:r>
        <w:t>.</w:t>
      </w:r>
      <w:r>
        <w:tab/>
        <w:t>Interest of disabled person in home prescribed to be relevant interest (s. 6(1)(h))</w:t>
      </w:r>
      <w:bookmarkEnd w:id="6"/>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7" w:name="_Toc54192584"/>
      <w:r>
        <w:rPr>
          <w:rStyle w:val="CharSectno"/>
        </w:rPr>
        <w:t>5</w:t>
      </w:r>
      <w:r>
        <w:t>.</w:t>
      </w:r>
      <w:r>
        <w:tab/>
        <w:t>Interest of occupier of home on primary production land prescribed to be relevant interest (s. 6(1)(h))</w:t>
      </w:r>
      <w:bookmarkEnd w:id="7"/>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Ednotesection"/>
      </w:pPr>
      <w:r>
        <w:t>[</w:t>
      </w:r>
      <w:r>
        <w:rPr>
          <w:b/>
        </w:rPr>
        <w:t>6</w:t>
      </w:r>
      <w:r>
        <w:t>.</w:t>
      </w:r>
      <w:r>
        <w:tab/>
        <w:t>Deleted: Gazette 29 Dec 2017 p. 6083.]</w:t>
      </w:r>
    </w:p>
    <w:p>
      <w:pPr>
        <w:pStyle w:val="Heading5"/>
      </w:pPr>
      <w:bookmarkStart w:id="8" w:name="_Toc54192585"/>
      <w:r>
        <w:rPr>
          <w:rStyle w:val="CharSectno"/>
        </w:rPr>
        <w:t>7</w:t>
      </w:r>
      <w:r>
        <w:t>.</w:t>
      </w:r>
      <w:r>
        <w:tab/>
        <w:t>Certain owners of land excluded from the operation of s. 16(1)</w:t>
      </w:r>
      <w:bookmarkEnd w:id="8"/>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 xml:space="preserve">it is proposed at the commencement date of the eligible transaction that the land on which the home is to be built will be the subject of a strata titles scheme registered under the </w:t>
      </w:r>
      <w:r>
        <w:rPr>
          <w:i/>
        </w:rPr>
        <w:t>Strata Titles Act 1985</w:t>
      </w:r>
      <w:r>
        <w:t>; and</w:t>
      </w:r>
    </w:p>
    <w:p>
      <w:pPr>
        <w:pStyle w:val="Indenta"/>
      </w:pPr>
      <w:r>
        <w:tab/>
        <w:t>(b)</w:t>
      </w:r>
      <w:r>
        <w:tab/>
        <w:t>the strata titles scheme is, or will be, registered as soon as practicable after the eligible transaction is completed; and</w:t>
      </w:r>
    </w:p>
    <w:p>
      <w:pPr>
        <w:pStyle w:val="Indenta"/>
      </w:pPr>
      <w:r>
        <w:tab/>
        <w:t>(c)</w:t>
      </w:r>
      <w:r>
        <w:tab/>
        <w:t>the person is not, or will not become, as a result of the registration of the strata titles scheme,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(2C)</w:t>
      </w:r>
      <w:r>
        <w:tab/>
        <w:t xml:space="preserve">A person is excluded from the operation of section 16(1) of the Act if — </w:t>
      </w:r>
    </w:p>
    <w:p>
      <w:pPr>
        <w:pStyle w:val="Indenta"/>
      </w:pPr>
      <w:r>
        <w:tab/>
        <w:t>(a)</w:t>
      </w:r>
      <w:r>
        <w:tab/>
        <w:t>the person is a guardian of a person under a legal disability; and</w:t>
      </w:r>
    </w:p>
    <w:p>
      <w:pPr>
        <w:pStyle w:val="Indenta"/>
      </w:pPr>
      <w:r>
        <w:tab/>
        <w:t>(b)</w:t>
      </w:r>
      <w:r>
        <w:tab/>
        <w:t>the person holds, or will hold, on completion of the transaction to which the application for a first home owner grant relates, the relevant interest as a trustee for the person under a legal disability.</w:t>
      </w:r>
    </w:p>
    <w:p>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pPr>
        <w:pStyle w:val="Indenta"/>
      </w:pPr>
      <w:r>
        <w:tab/>
        <w:t>(a)</w:t>
      </w:r>
      <w:r>
        <w:tab/>
        <w:t>there is at least one other interested person in relation to the application for a first home owner grant; and</w:t>
      </w:r>
    </w:p>
    <w:p>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non</w:t>
      </w:r>
      <w:r>
        <w:rPr>
          <w:rStyle w:val="CharDefText"/>
        </w:rPr>
        <w:noBreakHyphen/>
        <w:t>strata home unit</w:t>
      </w:r>
      <w:r>
        <w:t xml:space="preserve"> means a part of a building, being a building that —</w:t>
      </w:r>
    </w:p>
    <w:p>
      <w:pPr>
        <w:pStyle w:val="Defpara"/>
      </w:pPr>
      <w:r>
        <w:tab/>
        <w:t>(a)</w:t>
      </w:r>
      <w:r>
        <w:tab/>
        <w:t>contains 2 or more such parts, each of which is designed for use as a self</w:t>
      </w:r>
      <w:r>
        <w:noBreakHyphen/>
        <w:t>contained unit for living purposes; and</w:t>
      </w:r>
    </w:p>
    <w:p>
      <w:pPr>
        <w:pStyle w:val="Defpara"/>
      </w:pPr>
      <w:r>
        <w:tab/>
        <w:t>(b)</w:t>
      </w:r>
      <w:r>
        <w:tab/>
        <w:t xml:space="preserve">is erected on land that is owned by 2 or more persons as tenants in common, each of whom is — </w:t>
      </w:r>
    </w:p>
    <w:p>
      <w:pPr>
        <w:pStyle w:val="Defsubpara"/>
      </w:pPr>
      <w:r>
        <w:tab/>
        <w:t>(i)</w:t>
      </w:r>
      <w:r>
        <w:tab/>
        <w:t xml:space="preserve">the registered proprietor under the </w:t>
      </w:r>
      <w:r>
        <w:rPr>
          <w:i/>
        </w:rPr>
        <w:t>Transfer of Land Act 1893</w:t>
      </w:r>
      <w:r>
        <w:t xml:space="preserve"> of one or more undivided shares in the whole of the land; and</w:t>
      </w:r>
    </w:p>
    <w:p>
      <w:pPr>
        <w:pStyle w:val="Defsubpara"/>
      </w:pPr>
      <w:r>
        <w:tab/>
        <w:t>(ii)</w:t>
      </w:r>
      <w:r>
        <w:tab/>
        <w:t>lawfully entitled to the exclusive right to occupy a specified part of the building;</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pPr>
      <w:r>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pPr>
        <w:pStyle w:val="Indenta"/>
      </w:pPr>
      <w:r>
        <w:tab/>
        <w:t>(a)</w:t>
      </w:r>
      <w:r>
        <w:tab/>
        <w:t>that person or their predecessor in title has entered into an agreement with all other owners of undivided shares in the land or their predecessors in title; and</w:t>
      </w:r>
    </w:p>
    <w:p>
      <w:pPr>
        <w:pStyle w:val="Indenta"/>
      </w:pPr>
      <w:r>
        <w:tab/>
        <w:t>(b)</w:t>
      </w:r>
      <w:r>
        <w:tab/>
        <w:t>that agreement provides for them or their predecessor in title to have exclusive rights of occupation in relation to that specified part of the building (whether or not those rights are immediately exercisable).</w:t>
      </w:r>
    </w:p>
    <w:p>
      <w:pPr>
        <w:pStyle w:val="Footnotesection"/>
      </w:pPr>
      <w:r>
        <w:tab/>
        <w:t>[Regulation 7 amended: Gazette 22 Oct 2002 p. 5255-6; 11 Aug 2015 p. 3221</w:t>
      </w:r>
      <w:r>
        <w:noBreakHyphen/>
        <w:t>2; 29 Dec 2017 p. 6084</w:t>
      </w:r>
      <w:r>
        <w:noBreakHyphen/>
        <w:t>5; SL 2020/206 r. 11.]</w:t>
      </w:r>
    </w:p>
    <w:p>
      <w:pPr>
        <w:pStyle w:val="Heading5"/>
      </w:pPr>
      <w:bookmarkStart w:id="9" w:name="_Toc54192586"/>
      <w:r>
        <w:rPr>
          <w:rStyle w:val="CharSectno"/>
        </w:rPr>
        <w:t>8</w:t>
      </w:r>
      <w:r>
        <w:t>.</w:t>
      </w:r>
      <w:r>
        <w:tab/>
        <w:t>Prescribed rates of interest (s. 30, 32 and 52)</w:t>
      </w:r>
      <w:bookmarkEnd w:id="9"/>
    </w:p>
    <w:p>
      <w:pPr>
        <w:pStyle w:val="Subsection"/>
      </w:pPr>
      <w:r>
        <w:tab/>
        <w:t>(1)</w:t>
      </w:r>
      <w:r>
        <w:tab/>
        <w:t>The rate of interest for the purposes of section 30(3), (4)(d), (5)(c) and (6)(c) of the Act is 0.2% per annum.</w:t>
      </w:r>
    </w:p>
    <w:p>
      <w:pPr>
        <w:pStyle w:val="Subsection"/>
      </w:pPr>
      <w:r>
        <w:tab/>
        <w:t>(2)</w:t>
      </w:r>
      <w:r>
        <w:tab/>
        <w:t>The rate of interest for the purposes of section 32(2), (3)(d), (4)(c) and (5)(c) of the Act is 0.2% per annum.</w:t>
      </w:r>
    </w:p>
    <w:p>
      <w:pPr>
        <w:pStyle w:val="Subsection"/>
      </w:pPr>
      <w:r>
        <w:tab/>
        <w:t>(3)</w:t>
      </w:r>
      <w:r>
        <w:tab/>
        <w:t>The rate of interest for the purposes of section 52(3)(a) and (7) of the Act is 8.2% per annum.</w:t>
      </w:r>
    </w:p>
    <w:p>
      <w:pPr>
        <w:pStyle w:val="Footnotesection"/>
      </w:pPr>
      <w:r>
        <w:tab/>
        <w:t>[Regulation 8 inserted: Gazette 26 Jun 2015 p. 2278; amended: Gazette 11 Dec 2015 p. 4961; 29 Dec 2017 p. 6085; 28 Jun  2019 p. 2493; SL 2020/71 r. 4.]</w:t>
      </w:r>
    </w:p>
    <w:p>
      <w:pPr>
        <w:pStyle w:val="Heading5"/>
      </w:pPr>
      <w:bookmarkStart w:id="10" w:name="_Toc54192587"/>
      <w:r>
        <w:rPr>
          <w:rStyle w:val="CharSectno"/>
        </w:rPr>
        <w:t>9</w:t>
      </w:r>
      <w:r>
        <w:t>.</w:t>
      </w:r>
      <w:r>
        <w:tab/>
        <w:t>Conditions to be included in administration agreements (s. 37(2))</w:t>
      </w:r>
      <w:bookmarkEnd w:id="10"/>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Gazette 11 Aug 2015 p. 3222.]</w:t>
      </w:r>
    </w:p>
    <w:p>
      <w:pPr>
        <w:pStyle w:val="Heading5"/>
      </w:pPr>
      <w:bookmarkStart w:id="11" w:name="_Toc54192588"/>
      <w:r>
        <w:rPr>
          <w:rStyle w:val="CharSectno"/>
        </w:rPr>
        <w:t>10</w:t>
      </w:r>
      <w:r>
        <w:t>.</w:t>
      </w:r>
      <w:r>
        <w:tab/>
        <w:t>Witness fees and expenses (s. 41(7))</w:t>
      </w:r>
      <w:bookmarkEnd w:id="11"/>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Gazette 30 Jun 2003 p. 2602.]</w:t>
      </w:r>
    </w:p>
    <w:p>
      <w:pPr>
        <w:pStyle w:val="Heading5"/>
      </w:pPr>
      <w:bookmarkStart w:id="12" w:name="_Toc54192589"/>
      <w:r>
        <w:rPr>
          <w:rStyle w:val="CharSectno"/>
        </w:rPr>
        <w:t>10A</w:t>
      </w:r>
      <w:r>
        <w:t>.</w:t>
      </w:r>
      <w:r>
        <w:tab/>
        <w:t>Prescribed service times (s. 62(3))</w:t>
      </w:r>
      <w:bookmarkEnd w:id="12"/>
    </w:p>
    <w:p>
      <w:pPr>
        <w:pStyle w:val="Subsection"/>
      </w:pPr>
      <w:r>
        <w:tab/>
      </w:r>
      <w:r>
        <w:tab/>
        <w:t xml:space="preserve">For the purposes of section 62(3) of the Act, if a notice or other document is not served personally, the document is taken to be served — </w:t>
      </w:r>
    </w:p>
    <w:p>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pPr>
        <w:pStyle w:val="Indenta"/>
      </w:pPr>
      <w:r>
        <w:tab/>
        <w:t>(b)</w:t>
      </w:r>
      <w:r>
        <w:tab/>
        <w:t>if sent by post to an address outside the State but within Australia, on the 6</w:t>
      </w:r>
      <w:r>
        <w:rPr>
          <w:vertAlign w:val="superscript"/>
        </w:rPr>
        <w:t>th</w:t>
      </w:r>
      <w:r>
        <w:t xml:space="preserve"> business day following the day on which the document is sent to the person to whom it is addressed;</w:t>
      </w:r>
    </w:p>
    <w:p>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pPr>
        <w:pStyle w:val="Indenta"/>
      </w:pPr>
      <w:r>
        <w:tab/>
        <w:t>(d)</w:t>
      </w:r>
      <w:r>
        <w:tab/>
        <w:t>in any other case, on the business day following the day on which the document is sent to, left for, or otherwise communicated to, the person to whom it is addressed.</w:t>
      </w:r>
    </w:p>
    <w:p>
      <w:pPr>
        <w:pStyle w:val="Footnotesection"/>
      </w:pPr>
      <w:r>
        <w:tab/>
        <w:t>[Regulation 10A inserted: Gazette 29 Dec 2017 p. 6086.]</w:t>
      </w:r>
    </w:p>
    <w:p>
      <w:pPr>
        <w:pStyle w:val="Heading5"/>
      </w:pPr>
      <w:bookmarkStart w:id="13" w:name="_Toc54192590"/>
      <w:r>
        <w:rPr>
          <w:rStyle w:val="CharSectno"/>
        </w:rPr>
        <w:t>11</w:t>
      </w:r>
      <w:r>
        <w:t>.</w:t>
      </w:r>
      <w:r>
        <w:tab/>
        <w:t>Authorised receipt and permitted disclosure of confidential information (s. 65(3))</w:t>
      </w:r>
      <w:bookmarkEnd w:id="13"/>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1</w:t>
      </w:r>
      <w:r>
        <w:t>;</w:t>
      </w:r>
    </w:p>
    <w:p>
      <w:pPr>
        <w:pStyle w:val="Indenta"/>
        <w:keepNext/>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Gazette 24 Jul 2001 p. 3732; Act No. 74 of 2004 s. 70;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4" w:name="_Toc54097910"/>
      <w:bookmarkStart w:id="15" w:name="_Toc54098835"/>
      <w:bookmarkStart w:id="16" w:name="_Toc54192591"/>
      <w:r>
        <w:t>Notes</w:t>
      </w:r>
      <w:bookmarkEnd w:id="14"/>
      <w:bookmarkEnd w:id="15"/>
      <w:bookmarkEnd w:id="16"/>
    </w:p>
    <w:p>
      <w:pPr>
        <w:pStyle w:val="nStatement"/>
      </w:pPr>
      <w:r>
        <w:t xml:space="preserve">This is a compilation of the </w:t>
      </w:r>
      <w:r>
        <w:rPr>
          <w:i/>
          <w:noProof/>
        </w:rPr>
        <w:t>First Home Owner Grant Regulations</w:t>
      </w:r>
      <w:r>
        <w:t> </w:t>
      </w:r>
      <w:r>
        <w:rPr>
          <w:i/>
          <w:noProof/>
        </w:rPr>
        <w:t>2000</w:t>
      </w:r>
      <w:r>
        <w:t xml:space="preserve"> and includes amendments made by other written laws. For provisions that have come into operation, and for information about any reprints, see the compilation table. </w:t>
      </w:r>
    </w:p>
    <w:p>
      <w:pPr>
        <w:pStyle w:val="nHeading3"/>
      </w:pPr>
      <w:bookmarkStart w:id="17" w:name="_Toc54192592"/>
      <w: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rPr>
          <w:cantSplit/>
        </w:trP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rPr>
          <w:cantSplit/>
        </w:trP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rPr>
          <w:cantSplit/>
        </w:trP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(Western Australia)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rPr>
          <w:cantSplit/>
        </w:trP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rPr>
          <w:cantSplit/>
        </w:trP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rPr>
          <w:cantSplit/>
        </w:trP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2011</w:t>
            </w:r>
          </w:p>
        </w:tc>
        <w:tc>
          <w:tcPr>
            <w:tcW w:w="1276" w:type="dxa"/>
          </w:tcPr>
          <w:p>
            <w:pPr>
              <w:pStyle w:val="nTable"/>
              <w:spacing w:after="40"/>
            </w:pPr>
            <w:r>
              <w:t>9 Sep 2011 p. 3684</w:t>
            </w:r>
            <w:r>
              <w:noBreakHyphen/>
              <w:t>5</w:t>
            </w:r>
          </w:p>
        </w:tc>
        <w:tc>
          <w:tcPr>
            <w:tcW w:w="2693" w:type="dxa"/>
          </w:tcPr>
          <w:p>
            <w:pPr>
              <w:pStyle w:val="nTable"/>
              <w:spacing w:after="40"/>
            </w:pPr>
            <w:r>
              <w:t>r. 1 and 2: 9 Sep 2011 (see r. 2(a));</w:t>
            </w:r>
            <w:r>
              <w:br/>
              <w:t>Regulations other than r. 1 and 2: 10 Sep 2011 (see r. 2(b))</w:t>
            </w:r>
          </w:p>
        </w:tc>
      </w:tr>
      <w:tr>
        <w:trPr>
          <w:cantSplit/>
        </w:trPr>
        <w:tc>
          <w:tcPr>
            <w:tcW w:w="3119" w:type="dxa"/>
          </w:tcPr>
          <w:p>
            <w:pPr>
              <w:pStyle w:val="nTable"/>
              <w:spacing w:after="40"/>
              <w:rPr>
                <w:i/>
              </w:rPr>
            </w:pPr>
            <w:r>
              <w:rPr>
                <w:i/>
              </w:rPr>
              <w:t>First Home Owner Grant Amendment Regulations 2013</w:t>
            </w:r>
          </w:p>
        </w:tc>
        <w:tc>
          <w:tcPr>
            <w:tcW w:w="1276" w:type="dxa"/>
          </w:tcPr>
          <w:p>
            <w:pPr>
              <w:pStyle w:val="nTable"/>
              <w:spacing w:after="40"/>
            </w:pPr>
            <w:r>
              <w:t>17 May 2013 p. 1986</w:t>
            </w:r>
          </w:p>
        </w:tc>
        <w:tc>
          <w:tcPr>
            <w:tcW w:w="2693" w:type="dxa"/>
          </w:tcPr>
          <w:p>
            <w:pPr>
              <w:pStyle w:val="nTable"/>
              <w:spacing w:after="40"/>
            </w:pPr>
            <w:r>
              <w:rPr>
                <w:snapToGrid w:val="0"/>
                <w:spacing w:val="-2"/>
              </w:rPr>
              <w:t>r. 1 and 2: 17 May 2013 (see r. 2(a));</w:t>
            </w:r>
            <w:r>
              <w:rPr>
                <w:snapToGrid w:val="0"/>
                <w:spacing w:val="-2"/>
              </w:rPr>
              <w:br/>
              <w:t>Regulations other than r. 1 and 2: 18 May 2013 (see r. 2(b))</w:t>
            </w:r>
          </w:p>
        </w:tc>
      </w:tr>
      <w:tr>
        <w:trPr>
          <w:cantSplit/>
        </w:trPr>
        <w:tc>
          <w:tcPr>
            <w:tcW w:w="3119" w:type="dxa"/>
          </w:tcPr>
          <w:p>
            <w:pPr>
              <w:pStyle w:val="nTable"/>
              <w:spacing w:after="40"/>
            </w:pPr>
            <w:r>
              <w:rPr>
                <w:i/>
              </w:rPr>
              <w:t xml:space="preserve">First Home Owner Grant Amendment Regulations (No. 2) 2013 </w:t>
            </w:r>
          </w:p>
        </w:tc>
        <w:tc>
          <w:tcPr>
            <w:tcW w:w="1276" w:type="dxa"/>
          </w:tcPr>
          <w:p>
            <w:pPr>
              <w:pStyle w:val="nTable"/>
              <w:spacing w:after="40"/>
            </w:pPr>
            <w:r>
              <w:t>17 Dec 2013 p. 6239</w:t>
            </w:r>
            <w:r>
              <w:noBreakHyphen/>
              <w:t>40</w:t>
            </w:r>
          </w:p>
        </w:tc>
        <w:tc>
          <w:tcPr>
            <w:tcW w:w="2693" w:type="dxa"/>
          </w:tcPr>
          <w:p>
            <w:pPr>
              <w:pStyle w:val="nTable"/>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rPr>
          <w:cantSplit/>
        </w:trPr>
        <w:tc>
          <w:tcPr>
            <w:tcW w:w="3119" w:type="dxa"/>
          </w:tcPr>
          <w:p>
            <w:pPr>
              <w:pStyle w:val="nTable"/>
              <w:spacing w:after="40"/>
              <w:rPr>
                <w:i/>
              </w:rPr>
            </w:pPr>
            <w:r>
              <w:rPr>
                <w:i/>
              </w:rPr>
              <w:t>First Home Owner Grant Amendment Regulations 2015</w:t>
            </w:r>
          </w:p>
        </w:tc>
        <w:tc>
          <w:tcPr>
            <w:tcW w:w="1276" w:type="dxa"/>
          </w:tcPr>
          <w:p>
            <w:pPr>
              <w:pStyle w:val="nTable"/>
              <w:spacing w:after="40"/>
            </w:pPr>
            <w:r>
              <w:t>26 Jun 2015 p. 2277</w:t>
            </w:r>
            <w:r>
              <w:noBreakHyphen/>
              <w:t>8</w:t>
            </w:r>
          </w:p>
        </w:tc>
        <w:tc>
          <w:tcPr>
            <w:tcW w:w="2693" w:type="dxa"/>
          </w:tcPr>
          <w:p>
            <w:pPr>
              <w:pStyle w:val="nTable"/>
              <w:spacing w:after="40"/>
              <w:rPr>
                <w:snapToGrid w:val="0"/>
                <w:spacing w:val="-2"/>
              </w:rPr>
            </w:pPr>
            <w:r>
              <w:rPr>
                <w:snapToGrid w:val="0"/>
                <w:spacing w:val="-2"/>
              </w:rPr>
              <w:t>r. 1 and 2: 26 Jun 2015 (see r. 2(a));</w:t>
            </w:r>
            <w:r>
              <w:rPr>
                <w:snapToGrid w:val="0"/>
                <w:spacing w:val="-2"/>
              </w:rPr>
              <w:br/>
              <w:t>Regulations other than r. 1 and 2: 1 Jul 2015 (see r. 2(b))</w:t>
            </w:r>
          </w:p>
        </w:tc>
      </w:tr>
      <w:tr>
        <w:trPr>
          <w:cantSplit/>
        </w:trPr>
        <w:tc>
          <w:tcPr>
            <w:tcW w:w="3119" w:type="dxa"/>
          </w:tcPr>
          <w:p>
            <w:pPr>
              <w:pStyle w:val="nTable"/>
              <w:spacing w:after="40"/>
              <w:rPr>
                <w:i/>
              </w:rPr>
            </w:pPr>
            <w:r>
              <w:rPr>
                <w:i/>
              </w:rPr>
              <w:t>First Home Owner Grant Amendment Regulations (No. 2) 2015</w:t>
            </w:r>
          </w:p>
        </w:tc>
        <w:tc>
          <w:tcPr>
            <w:tcW w:w="1276" w:type="dxa"/>
          </w:tcPr>
          <w:p>
            <w:pPr>
              <w:pStyle w:val="nTable"/>
              <w:spacing w:after="40"/>
            </w:pPr>
            <w:r>
              <w:t>11 Aug 2015 p. 3221</w:t>
            </w:r>
            <w:r>
              <w:noBreakHyphen/>
              <w:t>2</w:t>
            </w:r>
          </w:p>
        </w:tc>
        <w:tc>
          <w:tcPr>
            <w:tcW w:w="2693" w:type="dxa"/>
          </w:tcPr>
          <w:p>
            <w:pPr>
              <w:pStyle w:val="nTable"/>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rPr>
          <w:cantSplit/>
        </w:trPr>
        <w:tc>
          <w:tcPr>
            <w:tcW w:w="3119" w:type="dxa"/>
          </w:tcPr>
          <w:p>
            <w:pPr>
              <w:pStyle w:val="nTable"/>
              <w:spacing w:after="40"/>
              <w:rPr>
                <w:i/>
              </w:rPr>
            </w:pPr>
            <w:r>
              <w:rPr>
                <w:i/>
              </w:rPr>
              <w:t>First Home Owner Grant Amendment Regulations (No. 3) 2015</w:t>
            </w:r>
          </w:p>
        </w:tc>
        <w:tc>
          <w:tcPr>
            <w:tcW w:w="1276" w:type="dxa"/>
          </w:tcPr>
          <w:p>
            <w:pPr>
              <w:pStyle w:val="nTable"/>
              <w:spacing w:after="40"/>
            </w:pPr>
            <w:r>
              <w:t>11 Dec 2015 p. 4961</w:t>
            </w:r>
          </w:p>
        </w:tc>
        <w:tc>
          <w:tcPr>
            <w:tcW w:w="2693" w:type="dxa"/>
          </w:tcPr>
          <w:p>
            <w:pPr>
              <w:pStyle w:val="nTable"/>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rPr>
          <w:cantSplit/>
        </w:trPr>
        <w:tc>
          <w:tcPr>
            <w:tcW w:w="3119" w:type="dxa"/>
          </w:tcPr>
          <w:p>
            <w:pPr>
              <w:pStyle w:val="nTable"/>
              <w:spacing w:after="40"/>
              <w:rPr>
                <w:i/>
              </w:rPr>
            </w:pPr>
            <w:r>
              <w:rPr>
                <w:i/>
              </w:rPr>
              <w:t>First Home Owner Grant Amendment Regulations 2017</w:t>
            </w:r>
          </w:p>
        </w:tc>
        <w:tc>
          <w:tcPr>
            <w:tcW w:w="1276" w:type="dxa"/>
          </w:tcPr>
          <w:p>
            <w:pPr>
              <w:pStyle w:val="nTable"/>
              <w:spacing w:after="40"/>
            </w:pPr>
            <w:r>
              <w:t>29 Dec 2017 p. 6083</w:t>
            </w:r>
            <w:r>
              <w:noBreakHyphen/>
              <w:t>6</w:t>
            </w:r>
          </w:p>
        </w:tc>
        <w:tc>
          <w:tcPr>
            <w:tcW w:w="2693" w:type="dxa"/>
          </w:tcPr>
          <w:p>
            <w:pPr>
              <w:pStyle w:val="nTable"/>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r>
        <w:trPr>
          <w:cantSplit/>
        </w:trPr>
        <w:tc>
          <w:tcPr>
            <w:tcW w:w="3119" w:type="dxa"/>
          </w:tcPr>
          <w:p>
            <w:pPr>
              <w:pStyle w:val="nTable"/>
              <w:spacing w:after="40"/>
              <w:rPr>
                <w:i/>
              </w:rPr>
            </w:pPr>
            <w:r>
              <w:rPr>
                <w:i/>
              </w:rPr>
              <w:t xml:space="preserve">Finance Regulations Amendment (Interest Rates) Regulations 2019 </w:t>
            </w:r>
            <w:r>
              <w:t>Pt. 2</w:t>
            </w:r>
          </w:p>
        </w:tc>
        <w:tc>
          <w:tcPr>
            <w:tcW w:w="1276" w:type="dxa"/>
          </w:tcPr>
          <w:p>
            <w:pPr>
              <w:pStyle w:val="nTable"/>
              <w:spacing w:after="40"/>
            </w:pPr>
            <w:r>
              <w:t>28 Jun 2019 p. 2492</w:t>
            </w:r>
            <w:r>
              <w:noBreakHyphen/>
              <w:t>3</w:t>
            </w:r>
          </w:p>
        </w:tc>
        <w:tc>
          <w:tcPr>
            <w:tcW w:w="2693" w:type="dxa"/>
          </w:tcPr>
          <w:p>
            <w:pPr>
              <w:pStyle w:val="nTable"/>
              <w:spacing w:after="40"/>
              <w:rPr>
                <w:snapToGrid w:val="0"/>
                <w:spacing w:val="-2"/>
              </w:rPr>
            </w:pPr>
            <w:r>
              <w:t>1 Jul 2019</w:t>
            </w:r>
            <w:r>
              <w:rPr>
                <w:snapToGrid w:val="0"/>
                <w:spacing w:val="-2"/>
              </w:rPr>
              <w:t xml:space="preserve"> (see r. 2(b))</w:t>
            </w:r>
          </w:p>
        </w:tc>
      </w:tr>
      <w:tr>
        <w:trPr>
          <w:cantSplit/>
        </w:trPr>
        <w:tc>
          <w:tcPr>
            <w:tcW w:w="3119" w:type="dxa"/>
          </w:tcPr>
          <w:p>
            <w:pPr>
              <w:pStyle w:val="nTable"/>
              <w:spacing w:after="40"/>
              <w:rPr>
                <w:i/>
              </w:rPr>
            </w:pPr>
            <w:r>
              <w:rPr>
                <w:i/>
              </w:rPr>
              <w:t>Finance Regulations Amendment (Interest Rates) Regulations 2020</w:t>
            </w:r>
            <w:r>
              <w:t xml:space="preserve"> Pt. 2</w:t>
            </w:r>
          </w:p>
        </w:tc>
        <w:tc>
          <w:tcPr>
            <w:tcW w:w="1276" w:type="dxa"/>
          </w:tcPr>
          <w:p>
            <w:pPr>
              <w:pStyle w:val="nTable"/>
              <w:spacing w:after="40"/>
            </w:pPr>
            <w:r>
              <w:t>SL 2020/71 9 Jun 2020</w:t>
            </w:r>
          </w:p>
        </w:tc>
        <w:tc>
          <w:tcPr>
            <w:tcW w:w="2693" w:type="dxa"/>
          </w:tcPr>
          <w:p>
            <w:pPr>
              <w:pStyle w:val="nTable"/>
              <w:spacing w:after="40"/>
            </w:pPr>
            <w:r>
              <w:t>1 Jul 2020 (see r. 2(b))</w:t>
            </w:r>
          </w:p>
        </w:tc>
      </w:tr>
      <w:tr>
        <w:trPr>
          <w:cantSplit/>
        </w:trPr>
        <w:tc>
          <w:tcPr>
            <w:tcW w:w="3119" w:type="dxa"/>
            <w:tcBorders>
              <w:bottom w:val="single" w:sz="4" w:space="0" w:color="auto"/>
            </w:tcBorders>
          </w:tcPr>
          <w:p>
            <w:pPr>
              <w:pStyle w:val="nTable"/>
              <w:spacing w:after="40"/>
            </w:pPr>
            <w:r>
              <w:rPr>
                <w:i/>
              </w:rPr>
              <w:t>Finance Regulations Amendment Regulations 2020</w:t>
            </w:r>
            <w:r>
              <w:t xml:space="preserve"> Pt. 4</w:t>
            </w:r>
          </w:p>
        </w:tc>
        <w:tc>
          <w:tcPr>
            <w:tcW w:w="1276" w:type="dxa"/>
            <w:tcBorders>
              <w:bottom w:val="single" w:sz="4" w:space="0" w:color="auto"/>
            </w:tcBorders>
          </w:tcPr>
          <w:p>
            <w:pPr>
              <w:pStyle w:val="nTable"/>
              <w:spacing w:after="40"/>
            </w:pPr>
            <w:r>
              <w:t>SL 2020/206 23 Oct 2020</w:t>
            </w:r>
          </w:p>
        </w:tc>
        <w:tc>
          <w:tcPr>
            <w:tcW w:w="2693" w:type="dxa"/>
            <w:tcBorders>
              <w:bottom w:val="single" w:sz="4" w:space="0" w:color="auto"/>
            </w:tcBorders>
          </w:tcPr>
          <w:p>
            <w:pPr>
              <w:pStyle w:val="nTable"/>
              <w:spacing w:after="40"/>
            </w:pPr>
            <w:r>
              <w:t>24 Oct 2020 (see r. 2(b))</w:t>
            </w:r>
          </w:p>
        </w:tc>
      </w:tr>
    </w:tbl>
    <w:p>
      <w:pPr>
        <w:pStyle w:val="nHeading3"/>
      </w:pPr>
      <w:bookmarkStart w:id="18" w:name="_Toc54192593"/>
      <w:r>
        <w:t>Other notes</w:t>
      </w:r>
      <w:bookmarkEnd w:id="18"/>
    </w:p>
    <w:p>
      <w:pPr>
        <w:pStyle w:val="nNote"/>
      </w:pPr>
      <w:r>
        <w:rPr>
          <w:vertAlign w:val="superscript"/>
        </w:rPr>
        <w:t>1</w:t>
      </w:r>
      <w:r>
        <w:rPr>
          <w:vertAlign w:val="superscript"/>
        </w:rPr>
        <w:tab/>
      </w:r>
      <w:r>
        <w:t xml:space="preserve">Repealed by the </w:t>
      </w:r>
      <w:r>
        <w:rPr>
          <w:i/>
        </w:rPr>
        <w:t>Tax and Superannuation Laws Amendment (2015 Measures No. 1) Act 2015</w:t>
      </w:r>
      <w:r>
        <w:t xml:space="preserve"> Sch. 1, Part 1.</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20" w:name="_Toc54192594"/>
      <w:r>
        <w:rPr>
          <w:sz w:val="28"/>
        </w:rPr>
        <w:t>Defined terms</w:t>
      </w:r>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affairs</w:t>
      </w:r>
      <w:r>
        <w:tab/>
        <w:t>11(3)</w:t>
      </w:r>
    </w:p>
    <w:p>
      <w:pPr>
        <w:pStyle w:val="DefinedTerms"/>
      </w:pPr>
      <w:r>
        <w:t>appropriate publication</w:t>
      </w:r>
      <w:r>
        <w:tab/>
        <w:t>10(3)</w:t>
      </w:r>
    </w:p>
    <w:p>
      <w:pPr>
        <w:pStyle w:val="DefinedTerms"/>
      </w:pPr>
      <w:r>
        <w:t>confidential information</w:t>
      </w:r>
      <w:r>
        <w:tab/>
        <w:t>11(3)</w:t>
      </w:r>
    </w:p>
    <w:p>
      <w:pPr>
        <w:pStyle w:val="DefinedTerms"/>
      </w:pPr>
      <w:r>
        <w:t>co</w:t>
      </w:r>
      <w:r>
        <w:noBreakHyphen/>
        <w:t>owner</w:t>
      </w:r>
      <w:r>
        <w:tab/>
        <w:t>7(2D)</w:t>
      </w:r>
    </w:p>
    <w:p>
      <w:pPr>
        <w:pStyle w:val="DefinedTerms"/>
      </w:pPr>
      <w:r>
        <w:t>delegate</w:t>
      </w:r>
      <w:r>
        <w:tab/>
        <w:t>9(1)</w:t>
      </w:r>
    </w:p>
    <w:p>
      <w:pPr>
        <w:pStyle w:val="DefinedTerms"/>
      </w:pPr>
      <w:r>
        <w:t>interested person</w:t>
      </w:r>
      <w:r>
        <w:tab/>
        <w:t>3</w:t>
      </w:r>
    </w:p>
    <w:p>
      <w:pPr>
        <w:pStyle w:val="DefinedTerms"/>
      </w:pPr>
      <w:r>
        <w:t>new home</w:t>
      </w:r>
      <w:r>
        <w:tab/>
        <w:t>7(2b)</w:t>
      </w:r>
    </w:p>
    <w:p>
      <w:pPr>
        <w:pStyle w:val="DefinedTerms"/>
      </w:pPr>
      <w:r>
        <w:t>non</w:t>
      </w:r>
      <w:r>
        <w:noBreakHyphen/>
        <w:t>strata home unit</w:t>
      </w:r>
      <w:r>
        <w:tab/>
        <w:t>7(4)</w:t>
      </w:r>
    </w:p>
    <w:p>
      <w:pPr>
        <w:pStyle w:val="DefinedTerms"/>
      </w:pPr>
      <w:r>
        <w:t>Nyamba Buru Yawuru Ltd</w:t>
      </w:r>
      <w:r>
        <w:tab/>
        <w:t>7(4)</w:t>
      </w:r>
    </w:p>
    <w:p>
      <w:pPr>
        <w:pStyle w:val="DefinedTerms"/>
      </w:pPr>
      <w:r>
        <w:t>primary production business</w:t>
      </w:r>
      <w:r>
        <w:tab/>
        <w:t>5(2)</w:t>
      </w:r>
    </w:p>
    <w:p>
      <w:pPr>
        <w:pStyle w:val="DefinedTerms"/>
      </w:pPr>
      <w:r>
        <w:t>protected web site</w:t>
      </w:r>
      <w:r>
        <w:tab/>
        <w:t>11(3)</w:t>
      </w:r>
    </w:p>
    <w:p>
      <w:pPr>
        <w:pStyle w:val="DefinedTerms"/>
      </w:pPr>
      <w:r>
        <w:t>records</w:t>
      </w:r>
      <w:r>
        <w:tab/>
        <w:t>9(4)</w:t>
      </w:r>
    </w:p>
    <w:p>
      <w:pPr>
        <w:pStyle w:val="DefinedTerms"/>
      </w:pPr>
      <w:r>
        <w:t>State Housing Commission</w:t>
      </w:r>
      <w:r>
        <w:tab/>
        <w:t>7(4)</w:t>
      </w:r>
    </w:p>
    <w:p>
      <w:pPr>
        <w:pStyle w:val="DefinedTerms"/>
      </w:pPr>
      <w:r>
        <w:t>witness</w:t>
      </w:r>
      <w:r>
        <w:tab/>
        <w:t>10(1)</w:t>
      </w:r>
    </w:p>
    <w:p>
      <w:pPr>
        <w:pStyle w:val="DefinedTerms"/>
      </w:pPr>
      <w:r>
        <w:t>Yawuru Home Ownership Project</w:t>
      </w:r>
      <w:r>
        <w:tab/>
        <w:t>7(4)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5A7EFA"/>
    <w:lvl w:ilvl="0">
      <w:start w:val="1"/>
      <w:numFmt w:val="decimal"/>
      <w:lvlText w:val="%1."/>
      <w:lvlJc w:val="left"/>
      <w:pPr>
        <w:tabs>
          <w:tab w:val="num" w:pos="1492"/>
        </w:tabs>
        <w:ind w:left="1492" w:hanging="360"/>
      </w:pPr>
    </w:lvl>
  </w:abstractNum>
  <w:abstractNum w:abstractNumId="1">
    <w:nsid w:val="FFFFFF7D"/>
    <w:multiLevelType w:val="singleLevel"/>
    <w:tmpl w:val="9E464FFC"/>
    <w:lvl w:ilvl="0">
      <w:start w:val="1"/>
      <w:numFmt w:val="decimal"/>
      <w:lvlText w:val="%1."/>
      <w:lvlJc w:val="left"/>
      <w:pPr>
        <w:tabs>
          <w:tab w:val="num" w:pos="1209"/>
        </w:tabs>
        <w:ind w:left="1209" w:hanging="360"/>
      </w:pPr>
    </w:lvl>
  </w:abstractNum>
  <w:abstractNum w:abstractNumId="2">
    <w:nsid w:val="FFFFFF7E"/>
    <w:multiLevelType w:val="singleLevel"/>
    <w:tmpl w:val="9E54705A"/>
    <w:lvl w:ilvl="0">
      <w:start w:val="1"/>
      <w:numFmt w:val="decimal"/>
      <w:lvlText w:val="%1."/>
      <w:lvlJc w:val="left"/>
      <w:pPr>
        <w:tabs>
          <w:tab w:val="num" w:pos="926"/>
        </w:tabs>
        <w:ind w:left="926" w:hanging="360"/>
      </w:pPr>
    </w:lvl>
  </w:abstractNum>
  <w:abstractNum w:abstractNumId="3">
    <w:nsid w:val="FFFFFF7F"/>
    <w:multiLevelType w:val="singleLevel"/>
    <w:tmpl w:val="98C2E14C"/>
    <w:lvl w:ilvl="0">
      <w:start w:val="1"/>
      <w:numFmt w:val="decimal"/>
      <w:lvlText w:val="%1."/>
      <w:lvlJc w:val="left"/>
      <w:pPr>
        <w:tabs>
          <w:tab w:val="num" w:pos="643"/>
        </w:tabs>
        <w:ind w:left="643" w:hanging="360"/>
      </w:pPr>
    </w:lvl>
  </w:abstractNum>
  <w:abstractNum w:abstractNumId="4">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20ECDCC"/>
    <w:lvl w:ilvl="0">
      <w:start w:val="1"/>
      <w:numFmt w:val="decimal"/>
      <w:lvlText w:val="%1."/>
      <w:lvlJc w:val="left"/>
      <w:pPr>
        <w:tabs>
          <w:tab w:val="num" w:pos="360"/>
        </w:tabs>
        <w:ind w:left="360" w:hanging="360"/>
      </w:pPr>
    </w:lvl>
  </w:abstractNum>
  <w:abstractNum w:abstractNumId="9">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20145019"/>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 w:name="WAFER_20190624161847" w:val="RemoveTocBookmarks,RemoveUnusedBookmarks,RemoveLanguageTags,ResetPageSize,RunningHeaders,UpdateStyles,UsedStyles"/>
    <w:docVar w:name="WAFER_20190624161847_GUID" w:val="769a6900-d3fd-4909-a9eb-f3502972bb6a"/>
    <w:docVar w:name="WAFER_20200514092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4092554_GUID" w:val="89a8123e-a54e-46ae-8e7b-62c5b05d1095"/>
    <w:docVar w:name="WAFER_20200617154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54921_GUID" w:val="5dfe1403-fb9a-4675-a68d-438e498b3a15"/>
    <w:docVar w:name="WAFER_20201020145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45019_GUID" w:val="aa4c5e3e-81cc-43c6-ad41-422b63048d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3585</Words>
  <Characters>16816</Characters>
  <Application>Microsoft Office Word</Application>
  <DocSecurity>0</DocSecurity>
  <Lines>542</Lines>
  <Paragraphs>295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2000 - 03-f0-00</dc:title>
  <dc:subject/>
  <dc:creator/>
  <cp:keywords/>
  <dc:description/>
  <cp:lastModifiedBy>svcMRProcess</cp:lastModifiedBy>
  <cp:revision>4</cp:revision>
  <cp:lastPrinted>2019-01-18T03:31:00Z</cp:lastPrinted>
  <dcterms:created xsi:type="dcterms:W3CDTF">2020-10-22T06:53:00Z</dcterms:created>
  <dcterms:modified xsi:type="dcterms:W3CDTF">2020-10-22T06:53:00Z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AsAtDate">
    <vt:lpwstr>24 Oct 2020</vt:lpwstr>
  </property>
  <property fmtid="{D5CDD505-2E9C-101B-9397-08002B2CF9AE}" pid="8" name="Suffix">
    <vt:lpwstr>03-f0-00</vt:lpwstr>
  </property>
  <property fmtid="{D5CDD505-2E9C-101B-9397-08002B2CF9AE}" pid="9" name="CommencementDate">
    <vt:lpwstr>20201024</vt:lpwstr>
  </property>
</Properties>
</file>