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_Toc54106115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_Toc54106116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_Toc54106117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_Toc54106118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_Toc54106119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_Toc54106120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_Toc54106121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_Toc54106122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_Toc54106123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_Toc54106124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_Toc54106125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_Toc54106126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_Toc54106127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_Toc54106128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keepNext w:val="0"/>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keepNext w:val="0"/>
        <w:tabs>
          <w:tab w:val="right" w:leader="dot" w:pos="7077"/>
        </w:tabs>
        <w:rPr>
          <w:rFonts w:asciiTheme="minorHAnsi" w:eastAsiaTheme="minorEastAsia" w:hAnsiTheme="minorHAnsi" w:cstheme="minorBidi"/>
          <w:b w:val="0"/>
          <w:sz w:val="22"/>
          <w:szCs w:val="22"/>
        </w:rPr>
      </w:pPr>
      <w:r>
        <w:t>Division 1 — Procedures</w:t>
      </w:r>
    </w:p>
    <w:p>
      <w:pPr>
        <w:pStyle w:val="TOC6"/>
        <w:keepNext w:val="0"/>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keepNext w:val="0"/>
        <w:tabs>
          <w:tab w:val="right" w:leader="dot" w:pos="7077"/>
        </w:tabs>
        <w:rPr>
          <w:rFonts w:asciiTheme="minorHAnsi" w:eastAsiaTheme="minorEastAsia" w:hAnsiTheme="minorHAnsi" w:cstheme="minorBidi"/>
          <w:b w:val="0"/>
          <w:szCs w:val="22"/>
        </w:rPr>
      </w:pPr>
      <w:r>
        <w:t>Part 2 — Medical procedures</w:t>
      </w:r>
    </w:p>
    <w:p>
      <w:pPr>
        <w:pStyle w:val="TOC4"/>
        <w:keepNext w:val="0"/>
        <w:tabs>
          <w:tab w:val="right" w:leader="dot" w:pos="7077"/>
        </w:tabs>
        <w:rPr>
          <w:rFonts w:asciiTheme="minorHAnsi" w:eastAsiaTheme="minorEastAsia" w:hAnsiTheme="minorHAnsi" w:cstheme="minorBidi"/>
          <w:b w:val="0"/>
          <w:szCs w:val="22"/>
        </w:rPr>
      </w:pPr>
      <w:r>
        <w:t>Part 3 — Diagnostic Imaging Services</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2 — Scale of fees: physiotherapists</w:t>
      </w:r>
    </w:p>
    <w:p>
      <w:pPr>
        <w:pStyle w:val="TOC4"/>
        <w:keepNext w:val="0"/>
        <w:tabs>
          <w:tab w:val="right" w:leader="dot" w:pos="7077"/>
        </w:tabs>
        <w:rPr>
          <w:rFonts w:asciiTheme="minorHAnsi" w:eastAsiaTheme="minorEastAsia" w:hAnsiTheme="minorHAnsi" w:cstheme="minorBidi"/>
          <w:b w:val="0"/>
          <w:szCs w:val="22"/>
        </w:rPr>
      </w:pPr>
      <w:r>
        <w:t>Part 1 — General</w:t>
      </w:r>
    </w:p>
    <w:p>
      <w:pPr>
        <w:pStyle w:val="TOC4"/>
        <w:keepNext w:val="0"/>
        <w:tabs>
          <w:tab w:val="right" w:leader="dot" w:pos="7077"/>
        </w:tabs>
        <w:rPr>
          <w:rFonts w:asciiTheme="minorHAnsi" w:eastAsiaTheme="minorEastAsia" w:hAnsiTheme="minorHAnsi" w:cstheme="minorBidi"/>
          <w:b w:val="0"/>
          <w:szCs w:val="22"/>
        </w:rPr>
      </w:pPr>
      <w:r>
        <w:t>Part 2 — 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_Toc54106147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_Toc54106148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_Toc54106149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54104344"/>
      <w:bookmarkStart w:id="4" w:name="_Toc54106115"/>
      <w:r>
        <w:rPr>
          <w:rStyle w:val="CharSectno"/>
        </w:rPr>
        <w:t>1</w:t>
      </w:r>
      <w:r>
        <w:rPr>
          <w:snapToGrid w:val="0"/>
        </w:rPr>
        <w:t>.</w:t>
      </w:r>
      <w:r>
        <w:rPr>
          <w:snapToGrid w:val="0"/>
        </w:rPr>
        <w:tab/>
        <w:t>Citation</w:t>
      </w:r>
      <w:bookmarkEnd w:id="3"/>
      <w:bookmarkEnd w:id="4"/>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5" w:name="_Toc54104345"/>
      <w:bookmarkStart w:id="6" w:name="_Toc54106116"/>
      <w:r>
        <w:rPr>
          <w:rStyle w:val="CharSectno"/>
        </w:rPr>
        <w:t>2</w:t>
      </w:r>
      <w:r>
        <w:rPr>
          <w:snapToGrid w:val="0"/>
        </w:rPr>
        <w:t>.</w:t>
      </w:r>
      <w:r>
        <w:rPr>
          <w:snapToGrid w:val="0"/>
        </w:rPr>
        <w:tab/>
        <w:t>Scales of fees — medical specialists and other medical practitioners</w:t>
      </w:r>
      <w:bookmarkEnd w:id="5"/>
      <w:bookmarkEnd w:id="6"/>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2019.</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w:t>
      </w:r>
    </w:p>
    <w:p>
      <w:pPr>
        <w:pStyle w:val="Heading5"/>
        <w:rPr>
          <w:snapToGrid w:val="0"/>
        </w:rPr>
      </w:pPr>
      <w:bookmarkStart w:id="7" w:name="_Toc54104346"/>
      <w:bookmarkStart w:id="8" w:name="_Toc54106117"/>
      <w:r>
        <w:rPr>
          <w:rStyle w:val="CharSectno"/>
        </w:rPr>
        <w:t>3</w:t>
      </w:r>
      <w:r>
        <w:rPr>
          <w:snapToGrid w:val="0"/>
        </w:rPr>
        <w:t>.</w:t>
      </w:r>
      <w:r>
        <w:rPr>
          <w:snapToGrid w:val="0"/>
        </w:rPr>
        <w:tab/>
        <w:t>Scale of fees — physiotherapists</w:t>
      </w:r>
      <w:bookmarkEnd w:id="7"/>
      <w:bookmarkEnd w:id="8"/>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9" w:name="_Toc54104347"/>
      <w:bookmarkStart w:id="10" w:name="_Toc54106118"/>
      <w:r>
        <w:rPr>
          <w:rStyle w:val="CharSectno"/>
        </w:rPr>
        <w:t>4</w:t>
      </w:r>
      <w:r>
        <w:rPr>
          <w:snapToGrid w:val="0"/>
        </w:rPr>
        <w:t>.</w:t>
      </w:r>
      <w:r>
        <w:rPr>
          <w:snapToGrid w:val="0"/>
        </w:rPr>
        <w:tab/>
        <w:t>Scale of fees — chiropractors</w:t>
      </w:r>
      <w:bookmarkEnd w:id="9"/>
      <w:bookmarkEnd w:id="10"/>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1" w:name="_Toc54104348"/>
      <w:bookmarkStart w:id="12" w:name="_Toc54106119"/>
      <w:r>
        <w:rPr>
          <w:rStyle w:val="CharSectno"/>
        </w:rPr>
        <w:t>5</w:t>
      </w:r>
      <w:r>
        <w:rPr>
          <w:snapToGrid w:val="0"/>
        </w:rPr>
        <w:t>.</w:t>
      </w:r>
      <w:r>
        <w:rPr>
          <w:snapToGrid w:val="0"/>
        </w:rPr>
        <w:tab/>
        <w:t>Scale of fees — occupational therapists</w:t>
      </w:r>
      <w:bookmarkEnd w:id="11"/>
      <w:bookmarkEnd w:id="12"/>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3" w:name="_Toc54104349"/>
      <w:bookmarkStart w:id="14" w:name="_Toc54106120"/>
      <w:r>
        <w:rPr>
          <w:rStyle w:val="CharSectno"/>
        </w:rPr>
        <w:t>6</w:t>
      </w:r>
      <w:r>
        <w:t>.</w:t>
      </w:r>
      <w:r>
        <w:tab/>
        <w:t>Scale of fees — clinical psychologists</w:t>
      </w:r>
      <w:bookmarkEnd w:id="13"/>
      <w:bookmarkEnd w:id="14"/>
    </w:p>
    <w:p>
      <w:pPr>
        <w:pStyle w:val="Subsection"/>
      </w:pPr>
      <w:r>
        <w:tab/>
        <w:t>(1)</w:t>
      </w:r>
      <w:r>
        <w:tab/>
        <w:t>Under section 292(2)(a)(vi) of the Act, the hourly rate of $253.70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w:t>
      </w:r>
    </w:p>
    <w:p>
      <w:pPr>
        <w:pStyle w:val="Heading5"/>
      </w:pPr>
      <w:bookmarkStart w:id="15" w:name="_Toc54104350"/>
      <w:bookmarkStart w:id="16" w:name="_Toc54106121"/>
      <w:r>
        <w:rPr>
          <w:rStyle w:val="CharSectno"/>
        </w:rPr>
        <w:t>6A</w:t>
      </w:r>
      <w:r>
        <w:t>.</w:t>
      </w:r>
      <w:r>
        <w:tab/>
        <w:t>Scale of fees — counselling psychology</w:t>
      </w:r>
      <w:bookmarkEnd w:id="15"/>
      <w:bookmarkEnd w:id="16"/>
    </w:p>
    <w:p>
      <w:pPr>
        <w:pStyle w:val="Subsection"/>
      </w:pPr>
      <w:r>
        <w:tab/>
      </w:r>
      <w:r>
        <w:tab/>
        <w:t>Under section 292(2)(a)(viii) of the Act, the hourly rate of $253.70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w:t>
      </w:r>
    </w:p>
    <w:p>
      <w:pPr>
        <w:pStyle w:val="Heading5"/>
        <w:rPr>
          <w:snapToGrid w:val="0"/>
        </w:rPr>
      </w:pPr>
      <w:bookmarkStart w:id="17" w:name="_Toc54104351"/>
      <w:bookmarkStart w:id="18" w:name="_Toc54106122"/>
      <w:r>
        <w:rPr>
          <w:rStyle w:val="CharSectno"/>
        </w:rPr>
        <w:t>7</w:t>
      </w:r>
      <w:r>
        <w:rPr>
          <w:snapToGrid w:val="0"/>
        </w:rPr>
        <w:t>.</w:t>
      </w:r>
      <w:r>
        <w:rPr>
          <w:snapToGrid w:val="0"/>
        </w:rPr>
        <w:tab/>
        <w:t>Scale of fees — speech pathologists</w:t>
      </w:r>
      <w:bookmarkEnd w:id="17"/>
      <w:bookmarkEnd w:id="18"/>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9" w:name="_Toc54104352"/>
      <w:bookmarkStart w:id="20" w:name="_Toc54106123"/>
      <w:r>
        <w:rPr>
          <w:rStyle w:val="CharSectno"/>
        </w:rPr>
        <w:t>7A</w:t>
      </w:r>
      <w:r>
        <w:t>.</w:t>
      </w:r>
      <w:r>
        <w:tab/>
        <w:t>Scale of fees — osteopaths</w:t>
      </w:r>
      <w:bookmarkEnd w:id="19"/>
      <w:bookmarkEnd w:id="20"/>
    </w:p>
    <w:p>
      <w:pPr>
        <w:pStyle w:val="Subsection"/>
      </w:pPr>
      <w:r>
        <w:tab/>
      </w:r>
      <w:r>
        <w:tab/>
        <w:t xml:space="preserve">Under section 292(2)(a)(viii) of the Act, the amount of $80.25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w:t>
      </w:r>
    </w:p>
    <w:p>
      <w:pPr>
        <w:pStyle w:val="Heading5"/>
      </w:pPr>
      <w:bookmarkStart w:id="21" w:name="_Toc54104353"/>
      <w:bookmarkStart w:id="22" w:name="_Toc54106124"/>
      <w:r>
        <w:rPr>
          <w:rStyle w:val="CharSectno"/>
        </w:rPr>
        <w:t>7B</w:t>
      </w:r>
      <w:r>
        <w:t>.</w:t>
      </w:r>
      <w:r>
        <w:tab/>
        <w:t>Scale of fees — exercise physiologists</w:t>
      </w:r>
      <w:bookmarkEnd w:id="21"/>
      <w:bookmarkEnd w:id="2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23" w:name="_Toc54104354"/>
      <w:bookmarkStart w:id="24" w:name="_Toc54106125"/>
      <w:r>
        <w:rPr>
          <w:rStyle w:val="CharSectno"/>
        </w:rPr>
        <w:t>7C</w:t>
      </w:r>
      <w:r>
        <w:t>.</w:t>
      </w:r>
      <w:r>
        <w:tab/>
        <w:t>Scale of fees — acupuncturists</w:t>
      </w:r>
      <w:bookmarkEnd w:id="23"/>
      <w:bookmarkEnd w:id="24"/>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$78.30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w:t>
      </w:r>
    </w:p>
    <w:p>
      <w:pPr>
        <w:pStyle w:val="Heading5"/>
        <w:rPr>
          <w:snapToGrid w:val="0"/>
        </w:rPr>
      </w:pPr>
      <w:bookmarkStart w:id="25" w:name="_Toc54104355"/>
      <w:bookmarkStart w:id="26" w:name="_Toc54106126"/>
      <w:r>
        <w:rPr>
          <w:rStyle w:val="CharSectno"/>
        </w:rPr>
        <w:t>8</w:t>
      </w:r>
      <w:r>
        <w:rPr>
          <w:snapToGrid w:val="0"/>
        </w:rPr>
        <w:t>.</w:t>
      </w:r>
      <w:r>
        <w:rPr>
          <w:snapToGrid w:val="0"/>
        </w:rPr>
        <w:tab/>
        <w:t>Scale of fees — vocational rehabilitation providers</w:t>
      </w:r>
      <w:bookmarkEnd w:id="25"/>
      <w:bookmarkEnd w:id="26"/>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$189.30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w:t>
      </w:r>
    </w:p>
    <w:p>
      <w:pPr>
        <w:pStyle w:val="Heading5"/>
      </w:pPr>
      <w:bookmarkStart w:id="27" w:name="_Toc54104356"/>
      <w:bookmarkStart w:id="28" w:name="_Toc54106127"/>
      <w:r>
        <w:rPr>
          <w:rStyle w:val="CharSectno"/>
        </w:rPr>
        <w:t>9</w:t>
      </w:r>
      <w:r>
        <w:t>.</w:t>
      </w:r>
      <w:r>
        <w:tab/>
        <w:t>Scale of maximum fees — approved medical specialists</w:t>
      </w:r>
      <w:bookmarkEnd w:id="27"/>
      <w:bookmarkEnd w:id="28"/>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29" w:name="_Toc54104357"/>
      <w:bookmarkStart w:id="30" w:name="_Toc54106128"/>
      <w:r>
        <w:rPr>
          <w:rStyle w:val="CharSectno"/>
        </w:rPr>
        <w:t>10</w:t>
      </w:r>
      <w:r>
        <w:t>.</w:t>
      </w:r>
      <w:r>
        <w:tab/>
        <w:t>Effect of GST</w:t>
      </w:r>
      <w:bookmarkEnd w:id="29"/>
      <w:bookmarkEnd w:id="30"/>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1" w:name="_Toc54101474"/>
      <w:bookmarkStart w:id="32" w:name="_Toc54103126"/>
      <w:bookmarkStart w:id="33" w:name="_Toc54103382"/>
      <w:bookmarkStart w:id="34" w:name="_Toc54103453"/>
      <w:bookmarkStart w:id="35" w:name="_Toc54103911"/>
      <w:bookmarkStart w:id="36" w:name="_Toc54104269"/>
      <w:bookmarkStart w:id="37" w:name="_Toc54104358"/>
      <w:bookmarkStart w:id="38" w:name="_Toc54104814"/>
      <w:bookmarkStart w:id="39" w:name="_Toc54104961"/>
      <w:bookmarkStart w:id="40" w:name="_Toc54105991"/>
      <w:bookmarkStart w:id="41" w:name="_Toc54106129"/>
      <w:r>
        <w:rPr>
          <w:rStyle w:val="CharSchNo"/>
        </w:rPr>
        <w:t>Schedule 1</w:t>
      </w:r>
      <w:r>
        <w:t> — </w:t>
      </w:r>
      <w:r>
        <w:rPr>
          <w:rStyle w:val="CharSchText"/>
        </w:rPr>
        <w:t>Scale of fees: medical specialists and other medical practitioners</w:t>
      </w:r>
      <w:bookmarkEnd w:id="31"/>
      <w:bookmarkEnd w:id="32"/>
      <w:bookmarkEnd w:id="33"/>
      <w:bookmarkEnd w:id="34"/>
      <w:bookmarkEnd w:id="35"/>
      <w:bookmarkEnd w:id="36"/>
      <w:bookmarkEnd w:id="37"/>
      <w:bookmarkEnd w:id="38"/>
      <w:bookmarkEnd w:id="39"/>
      <w:bookmarkEnd w:id="40"/>
      <w:bookmarkEnd w:id="41"/>
    </w:p>
    <w:p>
      <w:pPr>
        <w:pStyle w:val="yShoulderClause"/>
      </w:pPr>
      <w:r>
        <w:t>[r. 2]</w:t>
      </w:r>
    </w:p>
    <w:p>
      <w:pPr>
        <w:pStyle w:val="yFootnoteheading"/>
      </w:pPr>
      <w:r>
        <w:tab/>
        <w:t>[Heading inserted: Gazette 16 Oct 2015 p. 4077.]</w:t>
      </w:r>
    </w:p>
    <w:p>
      <w:pPr>
        <w:pStyle w:val="yHeading3"/>
      </w:pPr>
      <w:bookmarkStart w:id="42" w:name="_Toc54101475"/>
      <w:bookmarkStart w:id="43" w:name="_Toc54103127"/>
      <w:bookmarkStart w:id="44" w:name="_Toc54103383"/>
      <w:bookmarkStart w:id="45" w:name="_Toc54103454"/>
      <w:bookmarkStart w:id="46" w:name="_Toc54103912"/>
      <w:bookmarkStart w:id="47" w:name="_Toc54104270"/>
      <w:bookmarkStart w:id="48" w:name="_Toc54104359"/>
      <w:bookmarkStart w:id="49" w:name="_Toc54104815"/>
      <w:bookmarkStart w:id="50" w:name="_Toc54104962"/>
      <w:bookmarkStart w:id="51" w:name="_Toc54105992"/>
      <w:bookmarkStart w:id="52" w:name="_Toc54106130"/>
      <w:r>
        <w:rPr>
          <w:rStyle w:val="CharSDivNo"/>
        </w:rPr>
        <w:t>Part 1</w:t>
      </w:r>
      <w:r>
        <w:t> — </w:t>
      </w:r>
      <w:r>
        <w:rPr>
          <w:rStyle w:val="CharSDivText"/>
        </w:rPr>
        <w:t>Medical specialists and other medical practitioners</w:t>
      </w:r>
      <w:bookmarkEnd w:id="42"/>
      <w:bookmarkEnd w:id="43"/>
      <w:bookmarkEnd w:id="44"/>
      <w:bookmarkEnd w:id="45"/>
      <w:bookmarkEnd w:id="46"/>
      <w:bookmarkEnd w:id="47"/>
      <w:bookmarkEnd w:id="48"/>
      <w:bookmarkEnd w:id="49"/>
      <w:bookmarkEnd w:id="50"/>
      <w:bookmarkEnd w:id="51"/>
      <w:bookmarkEnd w:id="52"/>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$78.90</w:t>
            </w:r>
          </w:p>
        </w:tc>
      </w:tr>
      <w:tr>
        <w:tc>
          <w:tcPr>
            <w:tcW w:w="5245" w:type="dxa"/>
          </w:tcPr>
          <w:p>
            <w:pPr>
              <w:pStyle w:val="yTableNAm"/>
            </w:pPr>
            <w:r>
              <w:tab/>
              <w:t>Extended Service (Level C)</w:t>
            </w:r>
          </w:p>
        </w:tc>
        <w:tc>
          <w:tcPr>
            <w:tcW w:w="1134" w:type="dxa"/>
          </w:tcPr>
          <w:p>
            <w:pPr>
              <w:pStyle w:val="yTableNAm"/>
              <w:jc w:val="right"/>
              <w:rPr>
                <w:szCs w:val="22"/>
              </w:rPr>
            </w:pPr>
            <w:r>
              <w:rPr>
                <w:szCs w:val="22"/>
              </w:rPr>
              <w:t>$144.10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$221.35</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$47.05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$61.30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$118.35</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$179.05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$242.60</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$59.20</w:t>
            </w:r>
          </w:p>
        </w:tc>
      </w:tr>
      <w:tr>
        <w:tc>
          <w:tcPr>
            <w:tcW w:w="5245" w:type="dxa"/>
          </w:tcPr>
          <w:p>
            <w:pPr>
              <w:pStyle w:val="yTableNAm"/>
            </w:pPr>
            <w:r>
              <w:tab/>
              <w:t>Specific Service (Level B)</w:t>
            </w:r>
          </w:p>
        </w:tc>
        <w:tc>
          <w:tcPr>
            <w:tcW w:w="1134" w:type="dxa"/>
          </w:tcPr>
          <w:p>
            <w:pPr>
              <w:pStyle w:val="yTableNAm"/>
              <w:jc w:val="right"/>
              <w:rPr>
                <w:szCs w:val="22"/>
              </w:rPr>
            </w:pPr>
            <w:r>
              <w:rPr>
                <w:szCs w:val="22"/>
              </w:rPr>
              <w:t>$118.35</w:t>
            </w:r>
          </w:p>
        </w:tc>
      </w:tr>
      <w:tr>
        <w:tc>
          <w:tcPr>
            <w:tcW w:w="5245" w:type="dxa"/>
          </w:tcPr>
          <w:p>
            <w:pPr>
              <w:pStyle w:val="yTableNAm"/>
            </w:pPr>
            <w:r>
              <w:tab/>
              <w:t>Extended Service (Level C)</w:t>
            </w:r>
          </w:p>
        </w:tc>
        <w:tc>
          <w:tcPr>
            <w:tcW w:w="1134" w:type="dxa"/>
          </w:tcPr>
          <w:p>
            <w:pPr>
              <w:pStyle w:val="yTableNAm"/>
              <w:jc w:val="right"/>
              <w:rPr>
                <w:szCs w:val="22"/>
              </w:rPr>
            </w:pPr>
            <w:r>
              <w:rPr>
                <w:szCs w:val="22"/>
              </w:rPr>
              <w:t>$215.45</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$333.60</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$93.75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$101.70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$157.55</w:t>
            </w:r>
          </w:p>
        </w:tc>
      </w:tr>
      <w:tr>
        <w:tc>
          <w:tcPr>
            <w:tcW w:w="5245" w:type="dxa"/>
          </w:tcPr>
          <w:p>
            <w:pPr>
              <w:pStyle w:val="yTableNAm"/>
            </w:pPr>
            <w:r>
              <w:tab/>
              <w:t>more than 30 minutes</w:t>
            </w:r>
          </w:p>
        </w:tc>
        <w:tc>
          <w:tcPr>
            <w:tcW w:w="1134" w:type="dxa"/>
          </w:tcPr>
          <w:p>
            <w:pPr>
              <w:pStyle w:val="yTableNAm"/>
              <w:jc w:val="right"/>
              <w:rPr>
                <w:szCs w:val="22"/>
              </w:rPr>
            </w:pPr>
            <w:r>
              <w:rPr>
                <w:szCs w:val="22"/>
              </w:rPr>
              <w:t>$215.45</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$98.70</w:t>
            </w:r>
          </w:p>
        </w:tc>
      </w:tr>
      <w:tr>
        <w:tc>
          <w:tcPr>
            <w:tcW w:w="5245" w:type="dxa"/>
          </w:tcPr>
          <w:p>
            <w:pPr>
              <w:pStyle w:val="yTableNAm"/>
            </w:pPr>
            <w:r>
              <w:tab/>
              <w:t>Specific Service (Level B)</w:t>
            </w:r>
          </w:p>
        </w:tc>
        <w:tc>
          <w:tcPr>
            <w:tcW w:w="1134" w:type="dxa"/>
          </w:tcPr>
          <w:p>
            <w:pPr>
              <w:pStyle w:val="yTableNAm"/>
              <w:jc w:val="right"/>
            </w:pPr>
            <w:r>
              <w:rPr>
                <w:szCs w:val="22"/>
              </w:rPr>
              <w:t>$134.90</w:t>
            </w:r>
          </w:p>
        </w:tc>
      </w:tr>
      <w:tr>
        <w:tc>
          <w:tcPr>
            <w:tcW w:w="5245" w:type="dxa"/>
          </w:tcPr>
          <w:p>
            <w:pPr>
              <w:pStyle w:val="yTableNAm"/>
            </w:pPr>
            <w:r>
              <w:tab/>
              <w:t>Extended Service (Level C)</w:t>
            </w:r>
          </w:p>
        </w:tc>
        <w:tc>
          <w:tcPr>
            <w:tcW w:w="1134" w:type="dxa"/>
          </w:tcPr>
          <w:p>
            <w:pPr>
              <w:pStyle w:val="yTableNAm"/>
              <w:jc w:val="right"/>
            </w:pPr>
            <w:r>
              <w:rPr>
                <w:szCs w:val="22"/>
              </w:rPr>
              <w:t>$200.15</w:t>
            </w:r>
          </w:p>
        </w:tc>
      </w:tr>
      <w:tr>
        <w:tc>
          <w:tcPr>
            <w:tcW w:w="5245" w:type="dxa"/>
          </w:tcPr>
          <w:p>
            <w:pPr>
              <w:pStyle w:val="yTableNAm"/>
            </w:pPr>
            <w:r>
              <w:tab/>
              <w:t>Comprehensive Service (Level D)</w:t>
            </w:r>
          </w:p>
        </w:tc>
        <w:tc>
          <w:tcPr>
            <w:tcW w:w="1134" w:type="dxa"/>
          </w:tcPr>
          <w:p>
            <w:pPr>
              <w:pStyle w:val="yTableNAm"/>
              <w:jc w:val="right"/>
            </w:pPr>
            <w:r>
              <w:rPr>
                <w:szCs w:val="22"/>
              </w:rPr>
              <w:t>$278.95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$118.35</w:t>
            </w:r>
          </w:p>
        </w:tc>
      </w:tr>
      <w:tr>
        <w:tc>
          <w:tcPr>
            <w:tcW w:w="5245" w:type="dxa"/>
          </w:tcPr>
          <w:p>
            <w:pPr>
              <w:pStyle w:val="yTableNAm"/>
            </w:pPr>
            <w:r>
              <w:tab/>
              <w:t>Specific Service (Level B)</w:t>
            </w:r>
          </w:p>
        </w:tc>
        <w:tc>
          <w:tcPr>
            <w:tcW w:w="1134" w:type="dxa"/>
          </w:tcPr>
          <w:p>
            <w:pPr>
              <w:pStyle w:val="yTableNAm"/>
              <w:jc w:val="right"/>
            </w:pPr>
            <w:r>
              <w:rPr>
                <w:szCs w:val="22"/>
              </w:rPr>
              <w:t>176.00</w:t>
            </w:r>
          </w:p>
        </w:tc>
      </w:tr>
      <w:tr>
        <w:tc>
          <w:tcPr>
            <w:tcW w:w="5245" w:type="dxa"/>
          </w:tcPr>
          <w:p>
            <w:pPr>
              <w:pStyle w:val="yTableNAm"/>
            </w:pPr>
            <w:r>
              <w:tab/>
              <w:t>Extended Service (Level C)</w:t>
            </w:r>
          </w:p>
        </w:tc>
        <w:tc>
          <w:tcPr>
            <w:tcW w:w="1134" w:type="dxa"/>
          </w:tcPr>
          <w:p>
            <w:pPr>
              <w:pStyle w:val="yTableNAm"/>
              <w:jc w:val="right"/>
            </w:pPr>
            <w:r>
              <w:rPr>
                <w:szCs w:val="22"/>
              </w:rPr>
              <w:t>$269.95</w:t>
            </w:r>
          </w:p>
        </w:tc>
      </w:tr>
      <w:tr>
        <w:tc>
          <w:tcPr>
            <w:tcW w:w="5245" w:type="dxa"/>
          </w:tcPr>
          <w:p>
            <w:pPr>
              <w:pStyle w:val="yTableNAm"/>
            </w:pPr>
            <w:r>
              <w:tab/>
              <w:t>Comprehensive Service (Level D)</w:t>
            </w:r>
          </w:p>
        </w:tc>
        <w:tc>
          <w:tcPr>
            <w:tcW w:w="1134" w:type="dxa"/>
          </w:tcPr>
          <w:p>
            <w:pPr>
              <w:pStyle w:val="yTableNAm"/>
              <w:jc w:val="right"/>
            </w:pPr>
            <w:r>
              <w:rPr>
                <w:szCs w:val="22"/>
              </w:rPr>
              <w:t>$394.30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$26.25</w:t>
            </w:r>
          </w:p>
        </w:tc>
      </w:tr>
      <w:tr>
        <w:tc>
          <w:tcPr>
            <w:tcW w:w="5245" w:type="dxa"/>
          </w:tcPr>
          <w:p>
            <w:pPr>
              <w:pStyle w:val="yTableNAm"/>
            </w:pPr>
            <w:r>
              <w:tab/>
              <w:t>more than 5 minutes to 15 minutes</w:t>
            </w:r>
          </w:p>
        </w:tc>
        <w:tc>
          <w:tcPr>
            <w:tcW w:w="1134" w:type="dxa"/>
          </w:tcPr>
          <w:p>
            <w:pPr>
              <w:pStyle w:val="yTableNAm"/>
              <w:jc w:val="right"/>
            </w:pPr>
            <w:r>
              <w:rPr>
                <w:szCs w:val="22"/>
              </w:rPr>
              <w:t>$33.00</w:t>
            </w:r>
          </w:p>
        </w:tc>
      </w:tr>
      <w:tr>
        <w:tc>
          <w:tcPr>
            <w:tcW w:w="5245" w:type="dxa"/>
          </w:tcPr>
          <w:p>
            <w:pPr>
              <w:pStyle w:val="yTableNAm"/>
            </w:pPr>
            <w:r>
              <w:tab/>
              <w:t>more than 15 minutes to 30 minutes</w:t>
            </w:r>
          </w:p>
        </w:tc>
        <w:tc>
          <w:tcPr>
            <w:tcW w:w="1134" w:type="dxa"/>
          </w:tcPr>
          <w:p>
            <w:pPr>
              <w:pStyle w:val="yTableNAm"/>
              <w:jc w:val="right"/>
            </w:pPr>
            <w:r>
              <w:rPr>
                <w:szCs w:val="22"/>
              </w:rPr>
              <w:t>$69.00</w:t>
            </w:r>
          </w:p>
        </w:tc>
      </w:tr>
      <w:tr>
        <w:tc>
          <w:tcPr>
            <w:tcW w:w="5245" w:type="dxa"/>
          </w:tcPr>
          <w:p>
            <w:pPr>
              <w:pStyle w:val="yTableNAm"/>
            </w:pPr>
            <w:r>
              <w:tab/>
              <w:t>more than 30 minutes</w:t>
            </w:r>
          </w:p>
        </w:tc>
        <w:tc>
          <w:tcPr>
            <w:tcW w:w="1134" w:type="dxa"/>
          </w:tcPr>
          <w:p>
            <w:pPr>
              <w:pStyle w:val="yTableNAm"/>
              <w:jc w:val="right"/>
            </w:pPr>
            <w:r>
              <w:rPr>
                <w:szCs w:val="22"/>
              </w:rPr>
              <w:t>$103.40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$296.65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$5.35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$299.50</w:t>
            </w:r>
          </w:p>
        </w:tc>
      </w:tr>
      <w:tr>
        <w:tc>
          <w:tcPr>
            <w:tcW w:w="5245" w:type="dxa"/>
          </w:tcPr>
          <w:p>
            <w:pPr>
              <w:pStyle w:val="yTableNAm"/>
            </w:pPr>
            <w:r>
              <w:t>subsequent attendances</w:t>
            </w:r>
          </w:p>
        </w:tc>
        <w:tc>
          <w:tcPr>
            <w:tcW w:w="1134" w:type="dxa"/>
          </w:tcPr>
          <w:p>
            <w:pPr>
              <w:pStyle w:val="yTableNAm"/>
              <w:jc w:val="right"/>
            </w:pPr>
            <w:r>
              <w:rPr>
                <w:szCs w:val="22"/>
              </w:rPr>
              <w:t>$149.75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$358.50</w:t>
            </w:r>
          </w:p>
        </w:tc>
      </w:tr>
      <w:tr>
        <w:tc>
          <w:tcPr>
            <w:tcW w:w="5245" w:type="dxa"/>
          </w:tcPr>
          <w:p>
            <w:pPr>
              <w:pStyle w:val="yTableNAm"/>
            </w:pPr>
            <w:r>
              <w:t>subsequent attendances</w:t>
            </w:r>
          </w:p>
        </w:tc>
        <w:tc>
          <w:tcPr>
            <w:tcW w:w="1134" w:type="dxa"/>
          </w:tcPr>
          <w:p>
            <w:pPr>
              <w:pStyle w:val="yTableNAm"/>
              <w:jc w:val="right"/>
            </w:pPr>
            <w:r>
              <w:rPr>
                <w:szCs w:val="22"/>
              </w:rPr>
              <w:t>$206.80</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$299.50</w:t>
            </w:r>
          </w:p>
        </w:tc>
      </w:tr>
      <w:tr>
        <w:tc>
          <w:tcPr>
            <w:tcW w:w="5245" w:type="dxa"/>
          </w:tcPr>
          <w:p>
            <w:pPr>
              <w:pStyle w:val="yTableNAm"/>
            </w:pPr>
            <w:r>
              <w:t>subsequent attendances</w:t>
            </w:r>
          </w:p>
        </w:tc>
        <w:tc>
          <w:tcPr>
            <w:tcW w:w="1134" w:type="dxa"/>
          </w:tcPr>
          <w:p>
            <w:pPr>
              <w:pStyle w:val="yTableNAm"/>
              <w:jc w:val="right"/>
            </w:pPr>
            <w:r>
              <w:rPr>
                <w:szCs w:val="22"/>
              </w:rPr>
              <w:t>$149.75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$358.50</w:t>
            </w:r>
          </w:p>
        </w:tc>
      </w:tr>
      <w:tr>
        <w:tc>
          <w:tcPr>
            <w:tcW w:w="5245" w:type="dxa"/>
          </w:tcPr>
          <w:p>
            <w:pPr>
              <w:pStyle w:val="yTableNAm"/>
            </w:pPr>
            <w:r>
              <w:t>subsequent attendances</w:t>
            </w:r>
          </w:p>
        </w:tc>
        <w:tc>
          <w:tcPr>
            <w:tcW w:w="1134" w:type="dxa"/>
          </w:tcPr>
          <w:p>
            <w:pPr>
              <w:pStyle w:val="yTableNAm"/>
              <w:jc w:val="right"/>
            </w:pPr>
            <w:r>
              <w:rPr>
                <w:szCs w:val="22"/>
              </w:rPr>
              <w:t>$206.80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$304.35</w:t>
            </w:r>
          </w:p>
        </w:tc>
      </w:tr>
      <w:tr>
        <w:tc>
          <w:tcPr>
            <w:tcW w:w="5245" w:type="dxa"/>
          </w:tcPr>
          <w:p>
            <w:pPr>
              <w:pStyle w:val="yTableNAm"/>
            </w:pPr>
            <w:r>
              <w:t>subsequent attendances</w:t>
            </w:r>
          </w:p>
        </w:tc>
        <w:tc>
          <w:tcPr>
            <w:tcW w:w="1134" w:type="dxa"/>
          </w:tcPr>
          <w:p>
            <w:pPr>
              <w:pStyle w:val="yTableNAm"/>
              <w:jc w:val="right"/>
            </w:pPr>
            <w:r>
              <w:rPr>
                <w:szCs w:val="22"/>
              </w:rPr>
              <w:t>$149.75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$358.50</w:t>
            </w:r>
          </w:p>
        </w:tc>
      </w:tr>
      <w:tr>
        <w:tc>
          <w:tcPr>
            <w:tcW w:w="5245" w:type="dxa"/>
          </w:tcPr>
          <w:p>
            <w:pPr>
              <w:pStyle w:val="yTableNAm"/>
            </w:pPr>
            <w:r>
              <w:t>subsequent attendances</w:t>
            </w:r>
          </w:p>
        </w:tc>
        <w:tc>
          <w:tcPr>
            <w:tcW w:w="1134" w:type="dxa"/>
          </w:tcPr>
          <w:p>
            <w:pPr>
              <w:pStyle w:val="yTableNAm"/>
              <w:jc w:val="right"/>
            </w:pPr>
            <w:r>
              <w:rPr>
                <w:szCs w:val="22"/>
              </w:rPr>
              <w:t>$206.80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$39.35</w:t>
            </w:r>
          </w:p>
        </w:tc>
      </w:tr>
      <w:tr>
        <w:tc>
          <w:tcPr>
            <w:tcW w:w="5245" w:type="dxa"/>
          </w:tcPr>
          <w:p>
            <w:pPr>
              <w:pStyle w:val="yTableNAm"/>
            </w:pPr>
            <w:r>
              <w:tab/>
              <w:t>more than 5 minutes to 15 minutes</w:t>
            </w:r>
          </w:p>
        </w:tc>
        <w:tc>
          <w:tcPr>
            <w:tcW w:w="1134" w:type="dxa"/>
          </w:tcPr>
          <w:p>
            <w:pPr>
              <w:pStyle w:val="yTableNAm"/>
              <w:jc w:val="right"/>
            </w:pPr>
            <w:r>
              <w:rPr>
                <w:szCs w:val="22"/>
              </w:rPr>
              <w:t>$48.40</w:t>
            </w:r>
          </w:p>
        </w:tc>
      </w:tr>
      <w:tr>
        <w:tc>
          <w:tcPr>
            <w:tcW w:w="5245" w:type="dxa"/>
          </w:tcPr>
          <w:p>
            <w:pPr>
              <w:pStyle w:val="yTableNAm"/>
            </w:pPr>
            <w:r>
              <w:tab/>
              <w:t>more than 15 minutes to 30 minutes</w:t>
            </w:r>
          </w:p>
        </w:tc>
        <w:tc>
          <w:tcPr>
            <w:tcW w:w="1134" w:type="dxa"/>
          </w:tcPr>
          <w:p>
            <w:pPr>
              <w:pStyle w:val="yTableNAm"/>
              <w:jc w:val="right"/>
            </w:pPr>
            <w:r>
              <w:rPr>
                <w:szCs w:val="22"/>
              </w:rPr>
              <w:t>$101.25</w:t>
            </w:r>
          </w:p>
        </w:tc>
      </w:tr>
      <w:tr>
        <w:tc>
          <w:tcPr>
            <w:tcW w:w="5245" w:type="dxa"/>
          </w:tcPr>
          <w:p>
            <w:pPr>
              <w:pStyle w:val="yTableNAm"/>
            </w:pPr>
            <w:r>
              <w:tab/>
              <w:t>more than 30 minutes</w:t>
            </w:r>
          </w:p>
        </w:tc>
        <w:tc>
          <w:tcPr>
            <w:tcW w:w="1134" w:type="dxa"/>
          </w:tcPr>
          <w:p>
            <w:pPr>
              <w:pStyle w:val="yTableNAm"/>
              <w:jc w:val="right"/>
            </w:pPr>
            <w:r>
              <w:rPr>
                <w:szCs w:val="22"/>
              </w:rPr>
              <w:t>$152.90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$439.80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$5.35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$87.85</w:t>
            </w:r>
          </w:p>
        </w:tc>
      </w:tr>
      <w:tr>
        <w:tc>
          <w:tcPr>
            <w:tcW w:w="5245" w:type="dxa"/>
          </w:tcPr>
          <w:p>
            <w:pPr>
              <w:pStyle w:val="yTableNAm"/>
            </w:pPr>
            <w:r>
              <w:tab/>
              <w:t>more than 15 minutes to 30 minutes</w:t>
            </w:r>
          </w:p>
        </w:tc>
        <w:tc>
          <w:tcPr>
            <w:tcW w:w="1134" w:type="dxa"/>
          </w:tcPr>
          <w:p>
            <w:pPr>
              <w:pStyle w:val="yTableNAm"/>
              <w:jc w:val="right"/>
            </w:pPr>
            <w:r>
              <w:rPr>
                <w:szCs w:val="22"/>
              </w:rPr>
              <w:t>$175.20</w:t>
            </w:r>
          </w:p>
        </w:tc>
      </w:tr>
      <w:tr>
        <w:tc>
          <w:tcPr>
            <w:tcW w:w="5245" w:type="dxa"/>
          </w:tcPr>
          <w:p>
            <w:pPr>
              <w:pStyle w:val="yTableNAm"/>
            </w:pPr>
            <w:r>
              <w:tab/>
              <w:t>more than 30 minutes to 45 minutes</w:t>
            </w:r>
          </w:p>
        </w:tc>
        <w:tc>
          <w:tcPr>
            <w:tcW w:w="1134" w:type="dxa"/>
          </w:tcPr>
          <w:p>
            <w:pPr>
              <w:pStyle w:val="yTableNAm"/>
              <w:jc w:val="right"/>
            </w:pPr>
            <w:r>
              <w:rPr>
                <w:szCs w:val="22"/>
              </w:rPr>
              <w:t>$262.45</w:t>
            </w:r>
          </w:p>
        </w:tc>
      </w:tr>
      <w:tr>
        <w:tc>
          <w:tcPr>
            <w:tcW w:w="5245" w:type="dxa"/>
          </w:tcPr>
          <w:p>
            <w:pPr>
              <w:pStyle w:val="yTableNAm"/>
            </w:pPr>
            <w:r>
              <w:tab/>
              <w:t>more than 45 minutes to 60 minutes</w:t>
            </w:r>
          </w:p>
        </w:tc>
        <w:tc>
          <w:tcPr>
            <w:tcW w:w="1134" w:type="dxa"/>
          </w:tcPr>
          <w:p>
            <w:pPr>
              <w:pStyle w:val="yTableNAm"/>
              <w:jc w:val="right"/>
            </w:pPr>
            <w:r>
              <w:rPr>
                <w:szCs w:val="22"/>
              </w:rPr>
              <w:t>$351.15</w:t>
            </w:r>
          </w:p>
        </w:tc>
      </w:tr>
      <w:tr>
        <w:tc>
          <w:tcPr>
            <w:tcW w:w="5245" w:type="dxa"/>
          </w:tcPr>
          <w:p>
            <w:pPr>
              <w:pStyle w:val="yTableNAm"/>
            </w:pPr>
            <w:r>
              <w:tab/>
              <w:t>more than 60 minutes to 75 minutes</w:t>
            </w:r>
          </w:p>
        </w:tc>
        <w:tc>
          <w:tcPr>
            <w:tcW w:w="1134" w:type="dxa"/>
          </w:tcPr>
          <w:p>
            <w:pPr>
              <w:pStyle w:val="yTableNAm"/>
              <w:jc w:val="right"/>
            </w:pPr>
            <w:r>
              <w:rPr>
                <w:szCs w:val="22"/>
              </w:rPr>
              <w:t>$397.35</w:t>
            </w:r>
          </w:p>
        </w:tc>
      </w:tr>
      <w:tr>
        <w:tc>
          <w:tcPr>
            <w:tcW w:w="5245" w:type="dxa"/>
          </w:tcPr>
          <w:p>
            <w:pPr>
              <w:pStyle w:val="yTableNAm"/>
            </w:pPr>
            <w:r>
              <w:tab/>
              <w:t>more than 75 minutes</w:t>
            </w:r>
          </w:p>
        </w:tc>
        <w:tc>
          <w:tcPr>
            <w:tcW w:w="1134" w:type="dxa"/>
          </w:tcPr>
          <w:p>
            <w:pPr>
              <w:pStyle w:val="yTableNAm"/>
              <w:jc w:val="right"/>
            </w:pPr>
            <w:r>
              <w:rPr>
                <w:szCs w:val="22"/>
              </w:rPr>
              <w:t>$443.50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$144.20</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$232.85</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$317.75</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$406.50</w:t>
            </w:r>
          </w:p>
        </w:tc>
      </w:tr>
      <w:tr>
        <w:trPr>
          <w:cantSplit/>
        </w:trPr>
        <w:tc>
          <w:tcPr>
            <w:tcW w:w="5245" w:type="dxa"/>
          </w:tcPr>
          <w:p>
            <w:pPr>
              <w:pStyle w:val="yTableNAm"/>
            </w:pPr>
            <w:r>
              <w:tab/>
              <w:t>more than 75 minutes</w:t>
            </w:r>
          </w:p>
        </w:tc>
        <w:tc>
          <w:tcPr>
            <w:tcW w:w="1134" w:type="dxa"/>
          </w:tcPr>
          <w:p>
            <w:pPr>
              <w:pStyle w:val="yTableNAm"/>
              <w:jc w:val="right"/>
            </w:pPr>
            <w:r>
              <w:rPr>
                <w:szCs w:val="22"/>
              </w:rPr>
              <w:t>$489.90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$116.60</w:t>
            </w:r>
          </w:p>
        </w:tc>
      </w:tr>
      <w:tr>
        <w:trPr>
          <w:cantSplit/>
        </w:trPr>
        <w:tc>
          <w:tcPr>
            <w:tcW w:w="5245" w:type="dxa"/>
          </w:tcPr>
          <w:p>
            <w:pPr>
              <w:pStyle w:val="yTableNAm"/>
            </w:pPr>
            <w:r>
              <w:tab/>
              <w:t>more than 45 minutes</w:t>
            </w:r>
          </w:p>
        </w:tc>
        <w:tc>
          <w:tcPr>
            <w:tcW w:w="1134" w:type="dxa"/>
          </w:tcPr>
          <w:p>
            <w:pPr>
              <w:pStyle w:val="yTableNAm"/>
              <w:jc w:val="right"/>
            </w:pPr>
            <w:r>
              <w:rPr>
                <w:szCs w:val="22"/>
              </w:rPr>
              <w:t>$254.35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$439.80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rPr>
                <w:b/>
              </w:rPr>
            </w:pPr>
            <w:r>
              <w:rPr>
                <w:szCs w:val="22"/>
              </w:rPr>
              <w:t>$5.35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$170.25</w:t>
            </w:r>
          </w:p>
        </w:tc>
      </w:tr>
      <w:tr>
        <w:tc>
          <w:tcPr>
            <w:tcW w:w="5245" w:type="dxa"/>
          </w:tcPr>
          <w:p>
            <w:pPr>
              <w:pStyle w:val="yTableNAm"/>
            </w:pPr>
            <w:r>
              <w:t>subsequent attendances</w:t>
            </w:r>
          </w:p>
        </w:tc>
        <w:tc>
          <w:tcPr>
            <w:tcW w:w="1134" w:type="dxa"/>
          </w:tcPr>
          <w:p>
            <w:pPr>
              <w:pStyle w:val="yTableNAm"/>
              <w:jc w:val="right"/>
            </w:pPr>
            <w:r>
              <w:rPr>
                <w:szCs w:val="22"/>
              </w:rPr>
              <w:t>$88.80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$229.35</w:t>
            </w:r>
          </w:p>
        </w:tc>
      </w:tr>
      <w:tr>
        <w:tc>
          <w:tcPr>
            <w:tcW w:w="5245" w:type="dxa"/>
          </w:tcPr>
          <w:p>
            <w:pPr>
              <w:pStyle w:val="yTableNAm"/>
            </w:pPr>
            <w:r>
              <w:t>subsequent attendances</w:t>
            </w:r>
          </w:p>
        </w:tc>
        <w:tc>
          <w:tcPr>
            <w:tcW w:w="1134" w:type="dxa"/>
          </w:tcPr>
          <w:p>
            <w:pPr>
              <w:pStyle w:val="yTableNAm"/>
              <w:jc w:val="right"/>
            </w:pPr>
            <w:r>
              <w:rPr>
                <w:szCs w:val="22"/>
              </w:rPr>
              <w:t>$146.30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$170.25</w:t>
            </w:r>
          </w:p>
        </w:tc>
      </w:tr>
      <w:tr>
        <w:tc>
          <w:tcPr>
            <w:tcW w:w="5245" w:type="dxa"/>
          </w:tcPr>
          <w:p>
            <w:pPr>
              <w:pStyle w:val="yTableNAm"/>
            </w:pPr>
            <w:r>
              <w:t>subsequent attendances</w:t>
            </w:r>
          </w:p>
        </w:tc>
        <w:tc>
          <w:tcPr>
            <w:tcW w:w="1134" w:type="dxa"/>
          </w:tcPr>
          <w:p>
            <w:pPr>
              <w:pStyle w:val="yTableNAm"/>
              <w:jc w:val="right"/>
            </w:pPr>
            <w:r>
              <w:rPr>
                <w:szCs w:val="22"/>
              </w:rPr>
              <w:t>$88.80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$229.05</w:t>
            </w:r>
          </w:p>
        </w:tc>
      </w:tr>
      <w:tr>
        <w:tc>
          <w:tcPr>
            <w:tcW w:w="5245" w:type="dxa"/>
          </w:tcPr>
          <w:p>
            <w:pPr>
              <w:pStyle w:val="yTableNAm"/>
            </w:pPr>
            <w:r>
              <w:t>subsequent attendances</w:t>
            </w:r>
          </w:p>
        </w:tc>
        <w:tc>
          <w:tcPr>
            <w:tcW w:w="1134" w:type="dxa"/>
          </w:tcPr>
          <w:p>
            <w:pPr>
              <w:pStyle w:val="yTableNAm"/>
              <w:jc w:val="right"/>
            </w:pPr>
            <w:r>
              <w:rPr>
                <w:szCs w:val="22"/>
              </w:rPr>
              <w:t>$146.00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$39.35</w:t>
            </w:r>
          </w:p>
        </w:tc>
      </w:tr>
      <w:tr>
        <w:tc>
          <w:tcPr>
            <w:tcW w:w="5245" w:type="dxa"/>
          </w:tcPr>
          <w:p>
            <w:pPr>
              <w:pStyle w:val="yTableNAm"/>
            </w:pPr>
            <w:r>
              <w:tab/>
              <w:t>more than 5 minutes to 15 minutes</w:t>
            </w:r>
          </w:p>
        </w:tc>
        <w:tc>
          <w:tcPr>
            <w:tcW w:w="1134" w:type="dxa"/>
          </w:tcPr>
          <w:p>
            <w:pPr>
              <w:pStyle w:val="yTableNAm"/>
              <w:jc w:val="right"/>
            </w:pPr>
            <w:r>
              <w:rPr>
                <w:szCs w:val="22"/>
              </w:rPr>
              <w:t>$48.40</w:t>
            </w:r>
          </w:p>
        </w:tc>
      </w:tr>
      <w:tr>
        <w:tc>
          <w:tcPr>
            <w:tcW w:w="5245" w:type="dxa"/>
          </w:tcPr>
          <w:p>
            <w:pPr>
              <w:pStyle w:val="yTableNAm"/>
            </w:pPr>
            <w:r>
              <w:tab/>
              <w:t>more than 15 minutes to 30 minutes</w:t>
            </w:r>
          </w:p>
        </w:tc>
        <w:tc>
          <w:tcPr>
            <w:tcW w:w="1134" w:type="dxa"/>
          </w:tcPr>
          <w:p>
            <w:pPr>
              <w:pStyle w:val="yTableNAm"/>
              <w:jc w:val="right"/>
            </w:pPr>
            <w:r>
              <w:rPr>
                <w:szCs w:val="22"/>
              </w:rPr>
              <w:t>$101.25</w:t>
            </w:r>
          </w:p>
        </w:tc>
      </w:tr>
      <w:tr>
        <w:tc>
          <w:tcPr>
            <w:tcW w:w="5245" w:type="dxa"/>
          </w:tcPr>
          <w:p>
            <w:pPr>
              <w:pStyle w:val="yTableNAm"/>
            </w:pPr>
            <w:r>
              <w:tab/>
              <w:t>more than 30 minutes</w:t>
            </w:r>
          </w:p>
        </w:tc>
        <w:tc>
          <w:tcPr>
            <w:tcW w:w="1134" w:type="dxa"/>
          </w:tcPr>
          <w:p>
            <w:pPr>
              <w:pStyle w:val="yTableNAm"/>
              <w:jc w:val="right"/>
            </w:pPr>
            <w:r>
              <w:rPr>
                <w:szCs w:val="22"/>
              </w:rPr>
              <w:t>$152.90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$439.80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pPr>
            <w:r>
              <w:rPr>
                <w:szCs w:val="22"/>
              </w:rPr>
              <w:t>$5.35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tcPr>
          <w:p>
            <w:pPr>
              <w:pStyle w:val="yTableNAm"/>
              <w:jc w:val="right"/>
            </w:pPr>
            <w:r>
              <w:rPr>
                <w:szCs w:val="22"/>
              </w:rPr>
              <w:t>$88.55</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53" w:name="_Toc54101476"/>
      <w:bookmarkStart w:id="54" w:name="_Toc54103128"/>
      <w:bookmarkStart w:id="55" w:name="_Toc54103384"/>
      <w:bookmarkStart w:id="56" w:name="_Toc54103455"/>
      <w:bookmarkStart w:id="57" w:name="_Toc54103913"/>
      <w:bookmarkStart w:id="58" w:name="_Toc54104271"/>
      <w:bookmarkStart w:id="59" w:name="_Toc54104360"/>
      <w:bookmarkStart w:id="60" w:name="_Toc54104816"/>
      <w:bookmarkStart w:id="61" w:name="_Toc54104963"/>
      <w:bookmarkStart w:id="62" w:name="_Toc54105993"/>
      <w:bookmarkStart w:id="63" w:name="_Toc54106131"/>
      <w:r>
        <w:t>Division 1 — Procedures</w:t>
      </w:r>
      <w:bookmarkEnd w:id="53"/>
      <w:bookmarkEnd w:id="54"/>
      <w:bookmarkEnd w:id="55"/>
      <w:bookmarkEnd w:id="56"/>
      <w:bookmarkEnd w:id="57"/>
      <w:bookmarkEnd w:id="58"/>
      <w:bookmarkEnd w:id="59"/>
      <w:bookmarkEnd w:id="60"/>
      <w:bookmarkEnd w:id="61"/>
      <w:bookmarkEnd w:id="62"/>
      <w:bookmarkEnd w:id="63"/>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keepNext/>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64" w:name="_Toc54101477"/>
      <w:bookmarkStart w:id="65" w:name="_Toc54103129"/>
      <w:bookmarkStart w:id="66" w:name="_Toc54103385"/>
      <w:bookmarkStart w:id="67" w:name="_Toc54103456"/>
      <w:bookmarkStart w:id="68" w:name="_Toc54103914"/>
      <w:bookmarkStart w:id="69" w:name="_Toc54104272"/>
      <w:bookmarkStart w:id="70" w:name="_Toc54104361"/>
      <w:bookmarkStart w:id="71" w:name="_Toc54104817"/>
      <w:bookmarkStart w:id="72" w:name="_Toc54104964"/>
      <w:bookmarkStart w:id="73" w:name="_Toc54105994"/>
      <w:bookmarkStart w:id="74" w:name="_Toc54106132"/>
      <w:r>
        <w:t>Division 2 — Therapeutic and diagnostic services</w:t>
      </w:r>
      <w:bookmarkEnd w:id="64"/>
      <w:bookmarkEnd w:id="65"/>
      <w:bookmarkEnd w:id="66"/>
      <w:bookmarkEnd w:id="67"/>
      <w:bookmarkEnd w:id="68"/>
      <w:bookmarkEnd w:id="69"/>
      <w:bookmarkEnd w:id="70"/>
      <w:bookmarkEnd w:id="71"/>
      <w:bookmarkEnd w:id="72"/>
      <w:bookmarkEnd w:id="73"/>
      <w:bookmarkEnd w:id="74"/>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keepNext/>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keepNext/>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 22 Oct 2019 p. 3734</w:t>
      </w:r>
      <w:r>
        <w:noBreakHyphen/>
        <w:t>6.]</w:t>
      </w:r>
    </w:p>
    <w:p>
      <w:pPr>
        <w:pStyle w:val="yHeading3"/>
        <w:tabs>
          <w:tab w:val="left" w:pos="993"/>
        </w:tabs>
        <w:ind w:left="992" w:hanging="992"/>
      </w:pPr>
      <w:bookmarkStart w:id="75" w:name="_Toc54101478"/>
      <w:bookmarkStart w:id="76" w:name="_Toc54103130"/>
      <w:bookmarkStart w:id="77" w:name="_Toc54103386"/>
      <w:bookmarkStart w:id="78" w:name="_Toc54103457"/>
      <w:bookmarkStart w:id="79" w:name="_Toc54103915"/>
      <w:bookmarkStart w:id="80" w:name="_Toc54104273"/>
      <w:bookmarkStart w:id="81" w:name="_Toc54104362"/>
      <w:bookmarkStart w:id="82" w:name="_Toc54104818"/>
      <w:bookmarkStart w:id="83" w:name="_Toc54104965"/>
      <w:bookmarkStart w:id="84" w:name="_Toc54105995"/>
      <w:bookmarkStart w:id="85" w:name="_Toc54106133"/>
      <w:r>
        <w:rPr>
          <w:rStyle w:val="CharSDivNo"/>
        </w:rPr>
        <w:t>Part 2</w:t>
      </w:r>
      <w:r>
        <w:t> — </w:t>
      </w:r>
      <w:r>
        <w:rPr>
          <w:rStyle w:val="CharSDivText"/>
        </w:rPr>
        <w:t>Medical procedures</w:t>
      </w:r>
      <w:bookmarkEnd w:id="75"/>
      <w:bookmarkEnd w:id="76"/>
      <w:bookmarkEnd w:id="77"/>
      <w:bookmarkEnd w:id="78"/>
      <w:bookmarkEnd w:id="79"/>
      <w:bookmarkEnd w:id="80"/>
      <w:bookmarkEnd w:id="81"/>
      <w:bookmarkEnd w:id="82"/>
      <w:bookmarkEnd w:id="83"/>
      <w:bookmarkEnd w:id="84"/>
      <w:bookmarkEnd w:id="85"/>
    </w:p>
    <w:p>
      <w:pPr>
        <w:pStyle w:val="yFootnoteheading"/>
        <w:keepNext/>
        <w:spacing w:after="60"/>
      </w:pPr>
      <w:r>
        <w:tab/>
        <w:t>[Heading inserted: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t>$65.75</w:t>
            </w:r>
          </w:p>
        </w:tc>
      </w:tr>
      <w:tr>
        <w:trPr>
          <w:cantSplit/>
        </w:trPr>
        <w:tc>
          <w:tcPr>
            <w:tcW w:w="5670" w:type="dxa"/>
          </w:tcPr>
          <w:p>
            <w:pPr>
              <w:pStyle w:val="yTableNAm"/>
            </w:pPr>
            <w:r>
              <w:t>Localised burns, including dressing of, under general anaesthetic</w:t>
            </w:r>
          </w:p>
        </w:tc>
        <w:tc>
          <w:tcPr>
            <w:tcW w:w="1134" w:type="dxa"/>
          </w:tcPr>
          <w:p>
            <w:pPr>
              <w:pStyle w:val="yTableNAm"/>
            </w:pPr>
            <w:r>
              <w:br/>
              <w:t>$186.95</w:t>
            </w:r>
          </w:p>
        </w:tc>
      </w:tr>
      <w:tr>
        <w:trPr>
          <w:cantSplit/>
        </w:trPr>
        <w:tc>
          <w:tcPr>
            <w:tcW w:w="5670" w:type="dxa"/>
          </w:tcPr>
          <w:p>
            <w:pPr>
              <w:pStyle w:val="yTableNAm"/>
            </w:pPr>
            <w:r>
              <w:t>Extensive burns</w:t>
            </w:r>
          </w:p>
        </w:tc>
        <w:tc>
          <w:tcPr>
            <w:tcW w:w="1134" w:type="dxa"/>
          </w:tcPr>
          <w:p>
            <w:pPr>
              <w:pStyle w:val="yTableNAm"/>
            </w:pPr>
            <w:r>
              <w:t>$113.50</w:t>
            </w:r>
          </w:p>
        </w:tc>
      </w:tr>
      <w:tr>
        <w:trPr>
          <w:cantSplit/>
        </w:trPr>
        <w:tc>
          <w:tcPr>
            <w:tcW w:w="5670" w:type="dxa"/>
          </w:tcPr>
          <w:p>
            <w:pPr>
              <w:pStyle w:val="yTableNAm"/>
            </w:pPr>
            <w:r>
              <w:t>Extensive burns, including dressing of, under general anaesthetic</w:t>
            </w:r>
          </w:p>
        </w:tc>
        <w:tc>
          <w:tcPr>
            <w:tcW w:w="1134" w:type="dxa"/>
          </w:tcPr>
          <w:p>
            <w:pPr>
              <w:pStyle w:val="yTableNAm"/>
            </w:pPr>
            <w:r>
              <w:br/>
              <w:t>$395.80</w:t>
            </w:r>
          </w:p>
        </w:tc>
      </w:tr>
      <w:tr>
        <w:trPr>
          <w:cantSplit/>
        </w:trPr>
        <w:tc>
          <w:tcPr>
            <w:tcW w:w="5670" w:type="dxa"/>
          </w:tcPr>
          <w:p>
            <w:pPr>
              <w:pStyle w:val="yTableNAm"/>
            </w:pPr>
            <w:r>
              <w:t>Dressing of wounds, under general anaesthetic</w:t>
            </w:r>
          </w:p>
        </w:tc>
        <w:tc>
          <w:tcPr>
            <w:tcW w:w="1134" w:type="dxa"/>
          </w:tcPr>
          <w:p>
            <w:pPr>
              <w:pStyle w:val="yTableNAm"/>
            </w:pPr>
            <w:r>
              <w:t>$186.95</w:t>
            </w:r>
          </w:p>
        </w:tc>
      </w:tr>
      <w:tr>
        <w:trPr>
          <w:cantSplit/>
        </w:trPr>
        <w:tc>
          <w:tcPr>
            <w:tcW w:w="5670" w:type="dxa"/>
          </w:tcPr>
          <w:p>
            <w:pPr>
              <w:pStyle w:val="yTableNAm"/>
            </w:pPr>
            <w:r>
              <w:t>Acupuncture, including consultation</w:t>
            </w:r>
          </w:p>
        </w:tc>
        <w:tc>
          <w:tcPr>
            <w:tcW w:w="1134" w:type="dxa"/>
          </w:tcPr>
          <w:p>
            <w:pPr>
              <w:pStyle w:val="yTableNAm"/>
            </w:pPr>
            <w:r>
              <w:t>$87.25</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t>$352.65</w:t>
            </w:r>
          </w:p>
        </w:tc>
      </w:tr>
      <w:tr>
        <w:trPr>
          <w:cantSplit/>
        </w:trPr>
        <w:tc>
          <w:tcPr>
            <w:tcW w:w="5670" w:type="dxa"/>
          </w:tcPr>
          <w:p>
            <w:pPr>
              <w:pStyle w:val="yTableNAm"/>
            </w:pPr>
            <w:r>
              <w:t>Elbow, by open reduction</w:t>
            </w:r>
          </w:p>
        </w:tc>
        <w:tc>
          <w:tcPr>
            <w:tcW w:w="1134" w:type="dxa"/>
          </w:tcPr>
          <w:p>
            <w:pPr>
              <w:pStyle w:val="yTableNAm"/>
            </w:pPr>
            <w:r>
              <w:t>$467.75</w:t>
            </w:r>
          </w:p>
        </w:tc>
      </w:tr>
      <w:tr>
        <w:trPr>
          <w:cantSplit/>
        </w:trPr>
        <w:tc>
          <w:tcPr>
            <w:tcW w:w="5670" w:type="dxa"/>
          </w:tcPr>
          <w:p>
            <w:pPr>
              <w:pStyle w:val="yTableNAm"/>
            </w:pPr>
            <w:r>
              <w:t>Interphalangeal joint, by closed reduction</w:t>
            </w:r>
          </w:p>
        </w:tc>
        <w:tc>
          <w:tcPr>
            <w:tcW w:w="1134" w:type="dxa"/>
          </w:tcPr>
          <w:p>
            <w:pPr>
              <w:pStyle w:val="yTableNAm"/>
            </w:pPr>
            <w:r>
              <w:t>$151.20</w:t>
            </w:r>
          </w:p>
        </w:tc>
      </w:tr>
      <w:tr>
        <w:trPr>
          <w:cantSplit/>
        </w:trPr>
        <w:tc>
          <w:tcPr>
            <w:tcW w:w="5670" w:type="dxa"/>
          </w:tcPr>
          <w:p>
            <w:pPr>
              <w:pStyle w:val="yTableNAm"/>
            </w:pPr>
            <w:r>
              <w:t>Interphalangeal joint, by open reduction</w:t>
            </w:r>
          </w:p>
        </w:tc>
        <w:tc>
          <w:tcPr>
            <w:tcW w:w="1134" w:type="dxa"/>
          </w:tcPr>
          <w:p>
            <w:pPr>
              <w:pStyle w:val="yTableNAm"/>
            </w:pPr>
            <w:r>
              <w:t>$201.50</w:t>
            </w:r>
          </w:p>
        </w:tc>
      </w:tr>
      <w:tr>
        <w:trPr>
          <w:cantSplit/>
        </w:trPr>
        <w:tc>
          <w:tcPr>
            <w:tcW w:w="5670" w:type="dxa"/>
          </w:tcPr>
          <w:p>
            <w:pPr>
              <w:pStyle w:val="yTableNAm"/>
            </w:pPr>
            <w:r>
              <w:t>Mandible, by closed reduction</w:t>
            </w:r>
          </w:p>
        </w:tc>
        <w:tc>
          <w:tcPr>
            <w:tcW w:w="1134" w:type="dxa"/>
          </w:tcPr>
          <w:p>
            <w:pPr>
              <w:pStyle w:val="yTableNAm"/>
            </w:pPr>
            <w:r>
              <w:t>$126.05</w:t>
            </w:r>
          </w:p>
        </w:tc>
      </w:tr>
      <w:tr>
        <w:trPr>
          <w:cantSplit/>
        </w:trPr>
        <w:tc>
          <w:tcPr>
            <w:tcW w:w="5670" w:type="dxa"/>
          </w:tcPr>
          <w:p>
            <w:pPr>
              <w:pStyle w:val="yTableNAm"/>
            </w:pPr>
            <w:r>
              <w:t>Clavicle, by closed reduction</w:t>
            </w:r>
          </w:p>
        </w:tc>
        <w:tc>
          <w:tcPr>
            <w:tcW w:w="1134" w:type="dxa"/>
          </w:tcPr>
          <w:p>
            <w:pPr>
              <w:pStyle w:val="yTableNAm"/>
            </w:pPr>
            <w:r>
              <w:t>$149.50</w:t>
            </w:r>
          </w:p>
        </w:tc>
      </w:tr>
      <w:tr>
        <w:trPr>
          <w:cantSplit/>
        </w:trPr>
        <w:tc>
          <w:tcPr>
            <w:tcW w:w="5670" w:type="dxa"/>
          </w:tcPr>
          <w:p>
            <w:pPr>
              <w:pStyle w:val="yTableNAm"/>
            </w:pPr>
            <w:r>
              <w:t>Clavicle, by open reduction</w:t>
            </w:r>
          </w:p>
        </w:tc>
        <w:tc>
          <w:tcPr>
            <w:tcW w:w="1134" w:type="dxa"/>
          </w:tcPr>
          <w:p>
            <w:pPr>
              <w:pStyle w:val="yTableNAm"/>
            </w:pPr>
            <w:r>
              <w:t>$302.25</w:t>
            </w:r>
          </w:p>
        </w:tc>
      </w:tr>
      <w:tr>
        <w:trPr>
          <w:cantSplit/>
        </w:trPr>
        <w:tc>
          <w:tcPr>
            <w:tcW w:w="5670" w:type="dxa"/>
          </w:tcPr>
          <w:p>
            <w:pPr>
              <w:pStyle w:val="yTableNAm"/>
            </w:pPr>
            <w:r>
              <w:t>Shoulder, not requiring general anaesthetic</w:t>
            </w:r>
          </w:p>
        </w:tc>
        <w:tc>
          <w:tcPr>
            <w:tcW w:w="1134" w:type="dxa"/>
          </w:tcPr>
          <w:p>
            <w:pPr>
              <w:pStyle w:val="yTableNAm"/>
            </w:pPr>
            <w:r>
              <w:t>$168.15</w:t>
            </w:r>
          </w:p>
        </w:tc>
      </w:tr>
      <w:tr>
        <w:trPr>
          <w:cantSplit/>
        </w:trPr>
        <w:tc>
          <w:tcPr>
            <w:tcW w:w="5670" w:type="dxa"/>
          </w:tcPr>
          <w:p>
            <w:pPr>
              <w:pStyle w:val="yTableNAm"/>
            </w:pPr>
            <w:r>
              <w:t>Shoulder, by open reduction, with general anaesthetic</w:t>
            </w:r>
          </w:p>
        </w:tc>
        <w:tc>
          <w:tcPr>
            <w:tcW w:w="1134" w:type="dxa"/>
          </w:tcPr>
          <w:p>
            <w:pPr>
              <w:pStyle w:val="yTableNAm"/>
            </w:pPr>
            <w:r>
              <w:t>$602.90</w:t>
            </w:r>
          </w:p>
        </w:tc>
      </w:tr>
      <w:tr>
        <w:trPr>
          <w:cantSplit/>
        </w:trPr>
        <w:tc>
          <w:tcPr>
            <w:tcW w:w="5670" w:type="dxa"/>
          </w:tcPr>
          <w:p>
            <w:pPr>
              <w:pStyle w:val="yTableNAm"/>
            </w:pPr>
            <w:r>
              <w:t>Shoulder, other, with general anaesthetic</w:t>
            </w:r>
          </w:p>
        </w:tc>
        <w:tc>
          <w:tcPr>
            <w:tcW w:w="1134" w:type="dxa"/>
          </w:tcPr>
          <w:p>
            <w:pPr>
              <w:pStyle w:val="yTableNAm"/>
            </w:pPr>
            <w:r>
              <w:t>$298.50</w:t>
            </w:r>
          </w:p>
        </w:tc>
      </w:tr>
      <w:tr>
        <w:trPr>
          <w:cantSplit/>
        </w:trPr>
        <w:tc>
          <w:tcPr>
            <w:tcW w:w="5670" w:type="dxa"/>
          </w:tcPr>
          <w:p>
            <w:pPr>
              <w:pStyle w:val="yTableNAm"/>
            </w:pPr>
            <w:r>
              <w:t>Metacarpophalangeal joint, by closed reduction</w:t>
            </w:r>
          </w:p>
        </w:tc>
        <w:tc>
          <w:tcPr>
            <w:tcW w:w="1134" w:type="dxa"/>
          </w:tcPr>
          <w:p>
            <w:pPr>
              <w:pStyle w:val="yTableNAm"/>
            </w:pPr>
            <w:r>
              <w:t>$201.50</w:t>
            </w:r>
          </w:p>
        </w:tc>
      </w:tr>
      <w:tr>
        <w:trPr>
          <w:cantSplit/>
        </w:trPr>
        <w:tc>
          <w:tcPr>
            <w:tcW w:w="5670" w:type="dxa"/>
          </w:tcPr>
          <w:p>
            <w:pPr>
              <w:pStyle w:val="yTableNAm"/>
            </w:pPr>
            <w:r>
              <w:t>Metacarpophalangeal joint, by open reduction</w:t>
            </w:r>
          </w:p>
        </w:tc>
        <w:tc>
          <w:tcPr>
            <w:tcW w:w="1134" w:type="dxa"/>
          </w:tcPr>
          <w:p>
            <w:pPr>
              <w:pStyle w:val="yTableNAm"/>
            </w:pPr>
            <w:r>
              <w:t>$269.95</w:t>
            </w:r>
          </w:p>
        </w:tc>
      </w:tr>
      <w:tr>
        <w:trPr>
          <w:cantSplit/>
        </w:trPr>
        <w:tc>
          <w:tcPr>
            <w:tcW w:w="5670" w:type="dxa"/>
          </w:tcPr>
          <w:p>
            <w:pPr>
              <w:pStyle w:val="yTableNAm"/>
            </w:pPr>
            <w:r>
              <w:t>Patella, by closed reduction</w:t>
            </w:r>
          </w:p>
        </w:tc>
        <w:tc>
          <w:tcPr>
            <w:tcW w:w="1134" w:type="dxa"/>
          </w:tcPr>
          <w:p>
            <w:pPr>
              <w:pStyle w:val="yTableNAm"/>
            </w:pPr>
            <w:r>
              <w:t>$226.55</w:t>
            </w:r>
          </w:p>
        </w:tc>
      </w:tr>
      <w:tr>
        <w:trPr>
          <w:cantSplit/>
        </w:trPr>
        <w:tc>
          <w:tcPr>
            <w:tcW w:w="5670" w:type="dxa"/>
          </w:tcPr>
          <w:p>
            <w:pPr>
              <w:pStyle w:val="yTableNAm"/>
            </w:pPr>
            <w:r>
              <w:t>Patella, by open reduction</w:t>
            </w:r>
          </w:p>
        </w:tc>
        <w:tc>
          <w:tcPr>
            <w:tcW w:w="1134" w:type="dxa"/>
          </w:tcPr>
          <w:p>
            <w:pPr>
              <w:pStyle w:val="yTableNAm"/>
            </w:pPr>
            <w:r>
              <w:t>$302.25</w:t>
            </w:r>
          </w:p>
        </w:tc>
      </w:tr>
      <w:tr>
        <w:trPr>
          <w:cantSplit/>
        </w:trPr>
        <w:tc>
          <w:tcPr>
            <w:tcW w:w="5670" w:type="dxa"/>
          </w:tcPr>
          <w:p>
            <w:pPr>
              <w:pStyle w:val="yTableNAm"/>
            </w:pPr>
            <w:r>
              <w:t>Radioulnar joint, by closed reduction</w:t>
            </w:r>
          </w:p>
        </w:tc>
        <w:tc>
          <w:tcPr>
            <w:tcW w:w="1134" w:type="dxa"/>
          </w:tcPr>
          <w:p>
            <w:pPr>
              <w:pStyle w:val="yTableNAm"/>
            </w:pPr>
            <w:r>
              <w:t>$352.65</w:t>
            </w:r>
          </w:p>
        </w:tc>
      </w:tr>
      <w:tr>
        <w:trPr>
          <w:cantSplit/>
        </w:trPr>
        <w:tc>
          <w:tcPr>
            <w:tcW w:w="5670" w:type="dxa"/>
          </w:tcPr>
          <w:p>
            <w:pPr>
              <w:pStyle w:val="yTableNAm"/>
            </w:pPr>
            <w:r>
              <w:t>Radioulnar joint, by open reduction</w:t>
            </w:r>
          </w:p>
        </w:tc>
        <w:tc>
          <w:tcPr>
            <w:tcW w:w="1134" w:type="dxa"/>
          </w:tcPr>
          <w:p>
            <w:pPr>
              <w:pStyle w:val="yTableNAm"/>
            </w:pPr>
            <w:r>
              <w:t>$467.75</w:t>
            </w:r>
          </w:p>
        </w:tc>
      </w:tr>
      <w:tr>
        <w:trPr>
          <w:cantSplit/>
        </w:trPr>
        <w:tc>
          <w:tcPr>
            <w:tcW w:w="5670" w:type="dxa"/>
          </w:tcPr>
          <w:p>
            <w:pPr>
              <w:pStyle w:val="yTableNAm"/>
            </w:pPr>
            <w:r>
              <w:t>Toe, by closed reduction</w:t>
            </w:r>
          </w:p>
        </w:tc>
        <w:tc>
          <w:tcPr>
            <w:tcW w:w="1134" w:type="dxa"/>
          </w:tcPr>
          <w:p>
            <w:pPr>
              <w:pStyle w:val="yTableNAm"/>
            </w:pPr>
            <w:r>
              <w:t>$126.05</w:t>
            </w:r>
          </w:p>
        </w:tc>
      </w:tr>
      <w:tr>
        <w:trPr>
          <w:cantSplit/>
        </w:trPr>
        <w:tc>
          <w:tcPr>
            <w:tcW w:w="5670" w:type="dxa"/>
          </w:tcPr>
          <w:p>
            <w:pPr>
              <w:pStyle w:val="yTableNAm"/>
            </w:pPr>
            <w:r>
              <w:t>Toe, by open reduction</w:t>
            </w:r>
          </w:p>
        </w:tc>
        <w:tc>
          <w:tcPr>
            <w:tcW w:w="1134" w:type="dxa"/>
          </w:tcPr>
          <w:p>
            <w:pPr>
              <w:pStyle w:val="yTableNAm"/>
            </w:pPr>
            <w:r>
              <w:t>$167.35</w:t>
            </w:r>
          </w:p>
        </w:tc>
      </w:tr>
      <w:tr>
        <w:trPr>
          <w:cantSplit/>
        </w:trPr>
        <w:tc>
          <w:tcPr>
            <w:tcW w:w="5670" w:type="dxa"/>
          </w:tcPr>
          <w:p>
            <w:pPr>
              <w:pStyle w:val="yTableNAm"/>
              <w:keepNext/>
            </w:pPr>
            <w:r>
              <w:t>REMOVAL OF FOREIGN BODIES</w:t>
            </w:r>
          </w:p>
        </w:tc>
        <w:tc>
          <w:tcPr>
            <w:tcW w:w="1134" w:type="dxa"/>
            <w:vAlign w:val="center"/>
          </w:tcPr>
          <w:p>
            <w:pPr>
              <w:pStyle w:val="yTableNAm"/>
            </w:pPr>
          </w:p>
        </w:tc>
      </w:tr>
      <w:tr>
        <w:trPr>
          <w:cantSplit/>
        </w:trPr>
        <w:tc>
          <w:tcPr>
            <w:tcW w:w="5670" w:type="dxa"/>
          </w:tcPr>
          <w:p>
            <w:pPr>
              <w:pStyle w:val="yTableNAm"/>
              <w:keepNext/>
            </w:pPr>
            <w:r>
              <w:tab/>
              <w:t>as independent procedure</w:t>
            </w:r>
          </w:p>
        </w:tc>
        <w:tc>
          <w:tcPr>
            <w:tcW w:w="1134" w:type="dxa"/>
          </w:tcPr>
          <w:p>
            <w:pPr>
              <w:pStyle w:val="yTableNAm"/>
            </w:pPr>
            <w:r>
              <w:t>$54.85</w:t>
            </w:r>
          </w:p>
        </w:tc>
      </w:tr>
      <w:tr>
        <w:trPr>
          <w:cantSplit/>
        </w:trPr>
        <w:tc>
          <w:tcPr>
            <w:tcW w:w="5670" w:type="dxa"/>
          </w:tcPr>
          <w:p>
            <w:pPr>
              <w:pStyle w:val="yTableNAm"/>
            </w:pPr>
            <w:r>
              <w:tab/>
              <w:t>Superficial</w:t>
            </w:r>
          </w:p>
        </w:tc>
        <w:tc>
          <w:tcPr>
            <w:tcW w:w="1134" w:type="dxa"/>
          </w:tcPr>
          <w:p>
            <w:pPr>
              <w:pStyle w:val="yTableNAm"/>
            </w:pPr>
            <w:r>
              <w:t>$244.65</w:t>
            </w:r>
          </w:p>
        </w:tc>
      </w:tr>
      <w:tr>
        <w:trPr>
          <w:cantSplit/>
        </w:trPr>
        <w:tc>
          <w:tcPr>
            <w:tcW w:w="5670" w:type="dxa"/>
          </w:tcPr>
          <w:p>
            <w:pPr>
              <w:pStyle w:val="yTableNAm"/>
            </w:pPr>
            <w:r>
              <w:tab/>
              <w:t>deep tissue or muscle</w:t>
            </w:r>
          </w:p>
        </w:tc>
        <w:tc>
          <w:tcPr>
            <w:tcW w:w="1134" w:type="dxa"/>
          </w:tcPr>
          <w:p>
            <w:pPr>
              <w:pStyle w:val="yTableNAm"/>
            </w:pPr>
            <w:r>
              <w:t>$683.80</w:t>
            </w:r>
          </w:p>
        </w:tc>
      </w:tr>
      <w:tr>
        <w:trPr>
          <w:cantSplit/>
        </w:trPr>
        <w:tc>
          <w:tcPr>
            <w:tcW w:w="5670" w:type="dxa"/>
          </w:tcPr>
          <w:p>
            <w:pPr>
              <w:pStyle w:val="yTableNAm"/>
            </w:pPr>
            <w:r>
              <w:tab/>
              <w:t>ear, other than by syringing</w:t>
            </w:r>
          </w:p>
        </w:tc>
        <w:tc>
          <w:tcPr>
            <w:tcW w:w="1134" w:type="dxa"/>
          </w:tcPr>
          <w:p>
            <w:pPr>
              <w:pStyle w:val="yTableNAm"/>
            </w:pPr>
            <w:r>
              <w:t>$176.30</w:t>
            </w:r>
          </w:p>
        </w:tc>
      </w:tr>
      <w:tr>
        <w:trPr>
          <w:cantSplit/>
        </w:trPr>
        <w:tc>
          <w:tcPr>
            <w:tcW w:w="5670" w:type="dxa"/>
          </w:tcPr>
          <w:p>
            <w:pPr>
              <w:pStyle w:val="yTableNAm"/>
            </w:pPr>
            <w:r>
              <w:tab/>
              <w:t>nose, other than by simple probing</w:t>
            </w:r>
          </w:p>
        </w:tc>
        <w:tc>
          <w:tcPr>
            <w:tcW w:w="1134" w:type="dxa"/>
          </w:tcPr>
          <w:p>
            <w:pPr>
              <w:pStyle w:val="yTableNAm"/>
            </w:pPr>
            <w:r>
              <w:t>$176.30</w:t>
            </w:r>
          </w:p>
        </w:tc>
      </w:tr>
      <w:tr>
        <w:trPr>
          <w:cantSplit/>
        </w:trPr>
        <w:tc>
          <w:tcPr>
            <w:tcW w:w="5670" w:type="dxa"/>
          </w:tcPr>
          <w:p>
            <w:pPr>
              <w:pStyle w:val="yTableNAm"/>
            </w:pPr>
            <w:r>
              <w:tab/>
              <w:t>cornea or sclera, embedded</w:t>
            </w:r>
          </w:p>
        </w:tc>
        <w:tc>
          <w:tcPr>
            <w:tcW w:w="1134" w:type="dxa"/>
          </w:tcPr>
          <w:p>
            <w:pPr>
              <w:pStyle w:val="yTableNAm"/>
            </w:pPr>
            <w:r>
              <w:t>$180.00</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t>$1 007.50</w:t>
            </w:r>
          </w:p>
        </w:tc>
      </w:tr>
      <w:tr>
        <w:trPr>
          <w:cantSplit/>
        </w:trPr>
        <w:tc>
          <w:tcPr>
            <w:tcW w:w="5670" w:type="dxa"/>
          </w:tcPr>
          <w:p>
            <w:pPr>
              <w:pStyle w:val="yTableNAm"/>
            </w:pPr>
            <w:r>
              <w:t>Carpal Scaphoid, other</w:t>
            </w:r>
          </w:p>
        </w:tc>
        <w:tc>
          <w:tcPr>
            <w:tcW w:w="1134" w:type="dxa"/>
          </w:tcPr>
          <w:p>
            <w:pPr>
              <w:pStyle w:val="yTableNAm"/>
            </w:pPr>
            <w:r>
              <w:t>$449.70</w:t>
            </w:r>
          </w:p>
        </w:tc>
      </w:tr>
      <w:tr>
        <w:trPr>
          <w:cantSplit/>
        </w:trPr>
        <w:tc>
          <w:tcPr>
            <w:tcW w:w="5670" w:type="dxa"/>
          </w:tcPr>
          <w:p>
            <w:pPr>
              <w:pStyle w:val="yTableNAm"/>
            </w:pPr>
            <w:r>
              <w:t>Carpus (excluding Scaphoid), by open reduction</w:t>
            </w:r>
          </w:p>
        </w:tc>
        <w:tc>
          <w:tcPr>
            <w:tcW w:w="1134" w:type="dxa"/>
          </w:tcPr>
          <w:p>
            <w:pPr>
              <w:pStyle w:val="yTableNAm"/>
            </w:pPr>
            <w:r>
              <w:t>$629.65</w:t>
            </w:r>
          </w:p>
        </w:tc>
      </w:tr>
      <w:tr>
        <w:trPr>
          <w:cantSplit/>
        </w:trPr>
        <w:tc>
          <w:tcPr>
            <w:tcW w:w="5670" w:type="dxa"/>
          </w:tcPr>
          <w:p>
            <w:pPr>
              <w:pStyle w:val="yTableNAm"/>
            </w:pPr>
            <w:r>
              <w:t>Carpus (excluding Scaphoid), other</w:t>
            </w:r>
          </w:p>
        </w:tc>
        <w:tc>
          <w:tcPr>
            <w:tcW w:w="1134" w:type="dxa"/>
          </w:tcPr>
          <w:p>
            <w:pPr>
              <w:pStyle w:val="yTableNAm"/>
            </w:pPr>
            <w:r>
              <w:t>$251.95</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t>$503.60</w:t>
            </w:r>
          </w:p>
        </w:tc>
      </w:tr>
      <w:tr>
        <w:trPr>
          <w:cantSplit/>
        </w:trPr>
        <w:tc>
          <w:tcPr>
            <w:tcW w:w="5670" w:type="dxa"/>
          </w:tcPr>
          <w:p>
            <w:pPr>
              <w:pStyle w:val="yTableNAm"/>
            </w:pPr>
            <w:r>
              <w:tab/>
              <w:t>by open management</w:t>
            </w:r>
          </w:p>
        </w:tc>
        <w:tc>
          <w:tcPr>
            <w:tcW w:w="1134" w:type="dxa"/>
          </w:tcPr>
          <w:p>
            <w:pPr>
              <w:pStyle w:val="yTableNAm"/>
            </w:pPr>
            <w:r>
              <w:t>$1 007.50</w:t>
            </w:r>
          </w:p>
        </w:tc>
      </w:tr>
      <w:tr>
        <w:trPr>
          <w:cantSplit/>
        </w:trPr>
        <w:tc>
          <w:tcPr>
            <w:tcW w:w="5670" w:type="dxa"/>
          </w:tcPr>
          <w:p>
            <w:pPr>
              <w:pStyle w:val="yTableNAm"/>
              <w:keepNext/>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t>$755.65</w:t>
            </w:r>
          </w:p>
        </w:tc>
      </w:tr>
      <w:tr>
        <w:trPr>
          <w:cantSplit/>
        </w:trPr>
        <w:tc>
          <w:tcPr>
            <w:tcW w:w="5670" w:type="dxa"/>
          </w:tcPr>
          <w:p>
            <w:pPr>
              <w:pStyle w:val="yTableNAm"/>
            </w:pPr>
            <w:r>
              <w:t>Ribs (1 or more), each attendance</w:t>
            </w:r>
          </w:p>
        </w:tc>
        <w:tc>
          <w:tcPr>
            <w:tcW w:w="1134" w:type="dxa"/>
          </w:tcPr>
          <w:p>
            <w:pPr>
              <w:pStyle w:val="yTableNAm"/>
            </w:pPr>
            <w:r>
              <w:t>$115.20</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$908.60</w:t>
            </w:r>
          </w:p>
        </w:tc>
      </w:tr>
      <w:tr>
        <w:trPr>
          <w:cantSplit/>
        </w:trPr>
        <w:tc>
          <w:tcPr>
            <w:tcW w:w="5670" w:type="dxa"/>
          </w:tcPr>
          <w:p>
            <w:pPr>
              <w:pStyle w:val="yTableNAm"/>
            </w:pPr>
            <w:r>
              <w:tab/>
              <w:t>by open reduction</w:t>
            </w:r>
          </w:p>
        </w:tc>
        <w:tc>
          <w:tcPr>
            <w:tcW w:w="1134" w:type="dxa"/>
          </w:tcPr>
          <w:p>
            <w:pPr>
              <w:pStyle w:val="yTableNAm"/>
            </w:pPr>
            <w:r>
              <w:t>$1 205.40</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$1 511.25</w:t>
            </w:r>
          </w:p>
        </w:tc>
      </w:tr>
      <w:tr>
        <w:trPr>
          <w:cantSplit/>
        </w:trPr>
        <w:tc>
          <w:tcPr>
            <w:tcW w:w="5670" w:type="dxa"/>
          </w:tcPr>
          <w:p>
            <w:pPr>
              <w:pStyle w:val="yTableNAm"/>
            </w:pPr>
            <w:r>
              <w:tab/>
              <w:t>by open reduction</w:t>
            </w:r>
          </w:p>
        </w:tc>
        <w:tc>
          <w:tcPr>
            <w:tcW w:w="1134" w:type="dxa"/>
          </w:tcPr>
          <w:p>
            <w:pPr>
              <w:pStyle w:val="yTableNAm"/>
            </w:pPr>
            <w:r>
              <w:t>$2 024.05</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t>$180.00</w:t>
            </w:r>
          </w:p>
        </w:tc>
      </w:tr>
      <w:tr>
        <w:trPr>
          <w:cantSplit/>
        </w:trPr>
        <w:tc>
          <w:tcPr>
            <w:tcW w:w="5670" w:type="dxa"/>
          </w:tcPr>
          <w:p>
            <w:pPr>
              <w:pStyle w:val="yTableNAm"/>
            </w:pPr>
            <w:r>
              <w:tab/>
              <w:t>face or neck, less than 7 cm, deep</w:t>
            </w:r>
          </w:p>
        </w:tc>
        <w:tc>
          <w:tcPr>
            <w:tcW w:w="1134" w:type="dxa"/>
          </w:tcPr>
          <w:p>
            <w:pPr>
              <w:pStyle w:val="yTableNAm"/>
            </w:pPr>
            <w:r>
              <w:t>$273.55</w:t>
            </w:r>
          </w:p>
        </w:tc>
      </w:tr>
      <w:tr>
        <w:trPr>
          <w:cantSplit/>
        </w:trPr>
        <w:tc>
          <w:tcPr>
            <w:tcW w:w="5670" w:type="dxa"/>
          </w:tcPr>
          <w:p>
            <w:pPr>
              <w:pStyle w:val="yTableNAm"/>
            </w:pPr>
            <w:r>
              <w:tab/>
              <w:t>face or neck, more than 7 cm, superficial</w:t>
            </w:r>
          </w:p>
        </w:tc>
        <w:tc>
          <w:tcPr>
            <w:tcW w:w="1134" w:type="dxa"/>
          </w:tcPr>
          <w:p>
            <w:pPr>
              <w:pStyle w:val="yTableNAm"/>
            </w:pPr>
            <w:r>
              <w:t>$273.55</w:t>
            </w:r>
          </w:p>
        </w:tc>
      </w:tr>
      <w:tr>
        <w:trPr>
          <w:cantSplit/>
        </w:trPr>
        <w:tc>
          <w:tcPr>
            <w:tcW w:w="5670" w:type="dxa"/>
          </w:tcPr>
          <w:p>
            <w:pPr>
              <w:pStyle w:val="yTableNAm"/>
            </w:pPr>
            <w:r>
              <w:tab/>
              <w:t>face or neck, more than 7 cm, deep</w:t>
            </w:r>
          </w:p>
        </w:tc>
        <w:tc>
          <w:tcPr>
            <w:tcW w:w="1134" w:type="dxa"/>
          </w:tcPr>
          <w:p>
            <w:pPr>
              <w:pStyle w:val="yTableNAm"/>
            </w:pPr>
            <w:r>
              <w:t>$467.75</w:t>
            </w:r>
          </w:p>
        </w:tc>
      </w:tr>
      <w:tr>
        <w:trPr>
          <w:cantSplit/>
        </w:trPr>
        <w:tc>
          <w:tcPr>
            <w:tcW w:w="5670" w:type="dxa"/>
          </w:tcPr>
          <w:p>
            <w:pPr>
              <w:pStyle w:val="yTableNAm"/>
            </w:pPr>
            <w:r>
              <w:tab/>
              <w:t>except face or neck, less than 7 cm, superficial</w:t>
            </w:r>
          </w:p>
        </w:tc>
        <w:tc>
          <w:tcPr>
            <w:tcW w:w="1134" w:type="dxa"/>
          </w:tcPr>
          <w:p>
            <w:pPr>
              <w:pStyle w:val="yTableNAm"/>
            </w:pPr>
            <w:r>
              <w:t>$136.75</w:t>
            </w:r>
          </w:p>
        </w:tc>
      </w:tr>
      <w:tr>
        <w:trPr>
          <w:cantSplit/>
        </w:trPr>
        <w:tc>
          <w:tcPr>
            <w:tcW w:w="5670" w:type="dxa"/>
          </w:tcPr>
          <w:p>
            <w:pPr>
              <w:pStyle w:val="yTableNAm"/>
            </w:pPr>
            <w:r>
              <w:tab/>
              <w:t>except face or neck, less than 7 cm, deep</w:t>
            </w:r>
          </w:p>
        </w:tc>
        <w:tc>
          <w:tcPr>
            <w:tcW w:w="1134" w:type="dxa"/>
          </w:tcPr>
          <w:p>
            <w:pPr>
              <w:pStyle w:val="yTableNAm"/>
            </w:pPr>
            <w:r>
              <w:t>$205.15</w:t>
            </w:r>
          </w:p>
        </w:tc>
      </w:tr>
      <w:tr>
        <w:trPr>
          <w:cantSplit/>
        </w:trPr>
        <w:tc>
          <w:tcPr>
            <w:tcW w:w="5670" w:type="dxa"/>
          </w:tcPr>
          <w:p>
            <w:pPr>
              <w:pStyle w:val="yTableNAm"/>
            </w:pPr>
            <w:r>
              <w:tab/>
              <w:t>except face or neck, more than 7 cm, superficial</w:t>
            </w:r>
          </w:p>
        </w:tc>
        <w:tc>
          <w:tcPr>
            <w:tcW w:w="1134" w:type="dxa"/>
          </w:tcPr>
          <w:p>
            <w:pPr>
              <w:pStyle w:val="yTableNAm"/>
            </w:pPr>
            <w:r>
              <w:t>$205.15</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t>$449.70</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t>$683.80</w:t>
            </w:r>
          </w:p>
        </w:tc>
      </w:tr>
      <w:tr>
        <w:trPr>
          <w:cantSplit/>
        </w:trPr>
        <w:tc>
          <w:tcPr>
            <w:tcW w:w="5670" w:type="dxa"/>
          </w:tcPr>
          <w:p>
            <w:pPr>
              <w:pStyle w:val="yTableNAm"/>
            </w:pPr>
            <w:r>
              <w:t>Hand, forearm or through arm</w:t>
            </w:r>
          </w:p>
        </w:tc>
        <w:tc>
          <w:tcPr>
            <w:tcW w:w="1134" w:type="dxa"/>
          </w:tcPr>
          <w:p>
            <w:pPr>
              <w:pStyle w:val="yTableNAm"/>
            </w:pPr>
            <w:r>
              <w:t>$791.65</w:t>
            </w:r>
          </w:p>
        </w:tc>
      </w:tr>
      <w:tr>
        <w:trPr>
          <w:cantSplit/>
        </w:trPr>
        <w:tc>
          <w:tcPr>
            <w:tcW w:w="5670" w:type="dxa"/>
          </w:tcPr>
          <w:p>
            <w:pPr>
              <w:pStyle w:val="yTableNAm"/>
            </w:pPr>
            <w:r>
              <w:t>At shoulder</w:t>
            </w:r>
          </w:p>
        </w:tc>
        <w:tc>
          <w:tcPr>
            <w:tcW w:w="1134" w:type="dxa"/>
          </w:tcPr>
          <w:p>
            <w:pPr>
              <w:pStyle w:val="yTableNAm"/>
            </w:pPr>
            <w:r>
              <w:t>$1 340.20</w:t>
            </w:r>
          </w:p>
        </w:tc>
      </w:tr>
      <w:tr>
        <w:trPr>
          <w:cantSplit/>
        </w:trPr>
        <w:tc>
          <w:tcPr>
            <w:tcW w:w="5670" w:type="dxa"/>
          </w:tcPr>
          <w:p>
            <w:pPr>
              <w:pStyle w:val="yTableNAm"/>
            </w:pPr>
            <w:r>
              <w:t>Interscapulothoracic</w:t>
            </w:r>
          </w:p>
        </w:tc>
        <w:tc>
          <w:tcPr>
            <w:tcW w:w="1134" w:type="dxa"/>
          </w:tcPr>
          <w:p>
            <w:pPr>
              <w:pStyle w:val="yTableNAm"/>
            </w:pPr>
            <w:r>
              <w:t>$2 662.60</w:t>
            </w:r>
          </w:p>
        </w:tc>
      </w:tr>
      <w:tr>
        <w:trPr>
          <w:cantSplit/>
        </w:trPr>
        <w:tc>
          <w:tcPr>
            <w:tcW w:w="5670" w:type="dxa"/>
          </w:tcPr>
          <w:p>
            <w:pPr>
              <w:pStyle w:val="yTableNAm"/>
            </w:pPr>
            <w:r>
              <w:t>One digit of foot</w:t>
            </w:r>
          </w:p>
        </w:tc>
        <w:tc>
          <w:tcPr>
            <w:tcW w:w="1134" w:type="dxa"/>
          </w:tcPr>
          <w:p>
            <w:pPr>
              <w:pStyle w:val="yTableNAm"/>
            </w:pPr>
            <w:r>
              <w:t>$359.75</w:t>
            </w:r>
          </w:p>
        </w:tc>
      </w:tr>
      <w:tr>
        <w:trPr>
          <w:cantSplit/>
        </w:trPr>
        <w:tc>
          <w:tcPr>
            <w:tcW w:w="5670" w:type="dxa"/>
          </w:tcPr>
          <w:p>
            <w:pPr>
              <w:pStyle w:val="yTableNAm"/>
            </w:pPr>
            <w:r>
              <w:t>Two digits of one foot</w:t>
            </w:r>
          </w:p>
        </w:tc>
        <w:tc>
          <w:tcPr>
            <w:tcW w:w="1134" w:type="dxa"/>
          </w:tcPr>
          <w:p>
            <w:pPr>
              <w:pStyle w:val="yTableNAm"/>
            </w:pPr>
            <w:r>
              <w:t>$539.85</w:t>
            </w:r>
          </w:p>
        </w:tc>
      </w:tr>
      <w:tr>
        <w:trPr>
          <w:cantSplit/>
        </w:trPr>
        <w:tc>
          <w:tcPr>
            <w:tcW w:w="5670" w:type="dxa"/>
          </w:tcPr>
          <w:p>
            <w:pPr>
              <w:pStyle w:val="yTableNAm"/>
            </w:pPr>
            <w:r>
              <w:t>Three digits of one foot</w:t>
            </w:r>
          </w:p>
        </w:tc>
        <w:tc>
          <w:tcPr>
            <w:tcW w:w="1134" w:type="dxa"/>
          </w:tcPr>
          <w:p>
            <w:pPr>
              <w:pStyle w:val="yTableNAm"/>
            </w:pPr>
            <w:r>
              <w:t>$728.65</w:t>
            </w:r>
          </w:p>
        </w:tc>
      </w:tr>
      <w:tr>
        <w:trPr>
          <w:cantSplit/>
        </w:trPr>
        <w:tc>
          <w:tcPr>
            <w:tcW w:w="5670" w:type="dxa"/>
          </w:tcPr>
          <w:p>
            <w:pPr>
              <w:pStyle w:val="yTableNAm"/>
            </w:pPr>
            <w:r>
              <w:t>Four digits of one foot</w:t>
            </w:r>
          </w:p>
        </w:tc>
        <w:tc>
          <w:tcPr>
            <w:tcW w:w="1134" w:type="dxa"/>
          </w:tcPr>
          <w:p>
            <w:pPr>
              <w:pStyle w:val="yTableNAm"/>
            </w:pPr>
            <w:r>
              <w:t>$908.60</w:t>
            </w:r>
          </w:p>
        </w:tc>
      </w:tr>
      <w:tr>
        <w:trPr>
          <w:cantSplit/>
        </w:trPr>
        <w:tc>
          <w:tcPr>
            <w:tcW w:w="5670" w:type="dxa"/>
          </w:tcPr>
          <w:p>
            <w:pPr>
              <w:pStyle w:val="yTableNAm"/>
            </w:pPr>
            <w:r>
              <w:t>Five digits of one foot</w:t>
            </w:r>
          </w:p>
        </w:tc>
        <w:tc>
          <w:tcPr>
            <w:tcW w:w="1134" w:type="dxa"/>
          </w:tcPr>
          <w:p>
            <w:pPr>
              <w:pStyle w:val="yTableNAm"/>
            </w:pPr>
            <w:r>
              <w:t>$1 088.50</w:t>
            </w:r>
          </w:p>
        </w:tc>
      </w:tr>
      <w:tr>
        <w:trPr>
          <w:cantSplit/>
        </w:trPr>
        <w:tc>
          <w:tcPr>
            <w:tcW w:w="5670" w:type="dxa"/>
          </w:tcPr>
          <w:p>
            <w:pPr>
              <w:pStyle w:val="yTableNAm"/>
            </w:pPr>
            <w:r>
              <w:t>Toe including metatarsal or part of metatarsal — each toe</w:t>
            </w:r>
          </w:p>
        </w:tc>
        <w:tc>
          <w:tcPr>
            <w:tcW w:w="1134" w:type="dxa"/>
          </w:tcPr>
          <w:p>
            <w:pPr>
              <w:pStyle w:val="yTableNAm"/>
            </w:pPr>
            <w:r>
              <w:t>$424.80</w:t>
            </w:r>
          </w:p>
        </w:tc>
      </w:tr>
      <w:tr>
        <w:trPr>
          <w:cantSplit/>
        </w:trPr>
        <w:tc>
          <w:tcPr>
            <w:tcW w:w="5670" w:type="dxa"/>
          </w:tcPr>
          <w:p>
            <w:pPr>
              <w:pStyle w:val="yTableNAm"/>
            </w:pPr>
            <w:r>
              <w:t>Foot, at ankle</w:t>
            </w:r>
          </w:p>
        </w:tc>
        <w:tc>
          <w:tcPr>
            <w:tcW w:w="1134" w:type="dxa"/>
          </w:tcPr>
          <w:p>
            <w:pPr>
              <w:pStyle w:val="yTableNAm"/>
              <w:rPr>
                <w:b/>
              </w:rPr>
            </w:pPr>
            <w:r>
              <w:t>$791.65</w:t>
            </w:r>
          </w:p>
        </w:tc>
      </w:tr>
      <w:tr>
        <w:trPr>
          <w:cantSplit/>
        </w:trPr>
        <w:tc>
          <w:tcPr>
            <w:tcW w:w="5670" w:type="dxa"/>
          </w:tcPr>
          <w:p>
            <w:pPr>
              <w:pStyle w:val="yTableNAm"/>
            </w:pPr>
            <w:r>
              <w:t>Foot, midtarsal or transmetatarsal</w:t>
            </w:r>
          </w:p>
        </w:tc>
        <w:tc>
          <w:tcPr>
            <w:tcW w:w="1134" w:type="dxa"/>
          </w:tcPr>
          <w:p>
            <w:pPr>
              <w:pStyle w:val="yTableNAm"/>
              <w:rPr>
                <w:b/>
              </w:rPr>
            </w:pPr>
            <w:r>
              <w:t>$683.80</w:t>
            </w:r>
          </w:p>
        </w:tc>
      </w:tr>
      <w:tr>
        <w:trPr>
          <w:cantSplit/>
        </w:trPr>
        <w:tc>
          <w:tcPr>
            <w:tcW w:w="5670" w:type="dxa"/>
          </w:tcPr>
          <w:p>
            <w:pPr>
              <w:pStyle w:val="yTableNAm"/>
            </w:pPr>
            <w:r>
              <w:t>Through thigh, at knee or below knee</w:t>
            </w:r>
          </w:p>
        </w:tc>
        <w:tc>
          <w:tcPr>
            <w:tcW w:w="1134" w:type="dxa"/>
          </w:tcPr>
          <w:p>
            <w:pPr>
              <w:pStyle w:val="yTableNAm"/>
            </w:pPr>
            <w:r>
              <w:t>$1 169.55</w:t>
            </w:r>
          </w:p>
        </w:tc>
      </w:tr>
      <w:tr>
        <w:trPr>
          <w:cantSplit/>
        </w:trPr>
        <w:tc>
          <w:tcPr>
            <w:tcW w:w="5670" w:type="dxa"/>
          </w:tcPr>
          <w:p>
            <w:pPr>
              <w:pStyle w:val="yTableNAm"/>
            </w:pPr>
            <w:r>
              <w:t>At hip</w:t>
            </w:r>
          </w:p>
        </w:tc>
        <w:tc>
          <w:tcPr>
            <w:tcW w:w="1134" w:type="dxa"/>
          </w:tcPr>
          <w:p>
            <w:pPr>
              <w:pStyle w:val="yTableNAm"/>
            </w:pPr>
            <w:r>
              <w:t>$1 646.05</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$226.55,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$136.75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Gazette 21 Oct 2016 p. 4826</w:t>
      </w:r>
      <w:r>
        <w:noBreakHyphen/>
        <w:t>30; amended: Gazette 6 Oct 2017 p. 5208</w:t>
      </w:r>
      <w:r>
        <w:noBreakHyphen/>
        <w:t>11; 19 Oct 2018 p. 4166-8; 22 Oct 2019 p. 3737</w:t>
      </w:r>
      <w:r>
        <w:noBreakHyphen/>
        <w:t>8.]</w:t>
      </w:r>
    </w:p>
    <w:p>
      <w:pPr>
        <w:pStyle w:val="yHeading3"/>
      </w:pPr>
      <w:bookmarkStart w:id="86" w:name="_Toc54101479"/>
      <w:bookmarkStart w:id="87" w:name="_Toc54103131"/>
      <w:bookmarkStart w:id="88" w:name="_Toc54103387"/>
      <w:bookmarkStart w:id="89" w:name="_Toc54103458"/>
      <w:bookmarkStart w:id="90" w:name="_Toc54103916"/>
      <w:bookmarkStart w:id="91" w:name="_Toc54104274"/>
      <w:bookmarkStart w:id="92" w:name="_Toc54104363"/>
      <w:bookmarkStart w:id="93" w:name="_Toc54104819"/>
      <w:bookmarkStart w:id="94" w:name="_Toc54104966"/>
      <w:bookmarkStart w:id="95" w:name="_Toc54105996"/>
      <w:bookmarkStart w:id="96" w:name="_Toc54106134"/>
      <w:r>
        <w:rPr>
          <w:rStyle w:val="CharSDivNo"/>
        </w:rPr>
        <w:t>Part 3</w:t>
      </w:r>
      <w:r>
        <w:t> — </w:t>
      </w:r>
      <w:r>
        <w:rPr>
          <w:rStyle w:val="CharSDivText"/>
        </w:rPr>
        <w:t>Diagnostic Imaging Services</w:t>
      </w:r>
      <w:bookmarkEnd w:id="86"/>
      <w:bookmarkEnd w:id="87"/>
      <w:bookmarkEnd w:id="88"/>
      <w:bookmarkEnd w:id="89"/>
      <w:bookmarkEnd w:id="90"/>
      <w:bookmarkEnd w:id="91"/>
      <w:bookmarkEnd w:id="92"/>
      <w:bookmarkEnd w:id="93"/>
      <w:bookmarkEnd w:id="94"/>
      <w:bookmarkEnd w:id="95"/>
      <w:bookmarkEnd w:id="96"/>
    </w:p>
    <w:p>
      <w:pPr>
        <w:pStyle w:val="yFootnoteheading"/>
      </w:pPr>
      <w:r>
        <w:tab/>
        <w:t>[Heading inserted: Gazette 22 Oct 2019 p. 3739.]</w:t>
      </w:r>
    </w:p>
    <w:p>
      <w:pPr>
        <w:pStyle w:val="yMiscellaneousBody"/>
        <w:ind w:left="709"/>
      </w:pPr>
      <w:r>
        <w:t>ULTRASOUND</w:t>
      </w:r>
    </w:p>
    <w:tbl>
      <w:tblPr>
        <w:tblW w:w="0" w:type="auto"/>
        <w:jc w:val="center"/>
        <w:tblInd w:w="296"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rPr>
            </w:pPr>
            <w:r>
              <w:rPr>
                <w:b/>
              </w:rPr>
              <w:t>MBS item number</w:t>
            </w:r>
          </w:p>
        </w:tc>
        <w:tc>
          <w:tcPr>
            <w:tcW w:w="1134" w:type="dxa"/>
            <w:tcBorders>
              <w:top w:val="single" w:sz="4" w:space="0" w:color="auto"/>
              <w:bottom w:val="single" w:sz="4" w:space="0" w:color="auto"/>
            </w:tcBorders>
          </w:tcPr>
          <w:p>
            <w:pPr>
              <w:pStyle w:val="yTableNAm"/>
              <w:rPr>
                <w:b/>
              </w:rPr>
            </w:pPr>
            <w:r>
              <w:rPr>
                <w:b/>
                <w:bCs/>
              </w:rPr>
              <w:t>Fee ($)</w:t>
            </w:r>
          </w:p>
        </w:tc>
      </w:tr>
      <w:tr>
        <w:tblPrEx>
          <w:tblCellMar>
            <w:left w:w="108" w:type="dxa"/>
            <w:right w:w="108" w:type="dxa"/>
          </w:tblCellMar>
        </w:tblPrEx>
        <w:trPr>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pPr>
            <w:r>
              <w:t>220.40</w:t>
            </w:r>
          </w:p>
        </w:tc>
      </w:tr>
      <w:tr>
        <w:tblPrEx>
          <w:tblCellMar>
            <w:left w:w="108" w:type="dxa"/>
            <w:right w:w="108" w:type="dxa"/>
          </w:tblCellMar>
        </w:tblPrEx>
        <w:trPr>
          <w:trHeight w:val="373"/>
          <w:jc w:val="center"/>
        </w:trPr>
        <w:tc>
          <w:tcPr>
            <w:tcW w:w="4535" w:type="dxa"/>
            <w:noWrap/>
            <w:vAlign w:val="bottom"/>
          </w:tcPr>
          <w:p>
            <w:pPr>
              <w:pStyle w:val="yTableNAm"/>
            </w:pPr>
            <w:r>
              <w:t>55029</w:t>
            </w:r>
          </w:p>
        </w:tc>
        <w:tc>
          <w:tcPr>
            <w:tcW w:w="1134" w:type="dxa"/>
            <w:noWrap/>
            <w:vAlign w:val="bottom"/>
          </w:tcPr>
          <w:p>
            <w:pPr>
              <w:pStyle w:val="yTableNAm"/>
            </w:pPr>
            <w:r>
              <w:t>76.40</w:t>
            </w:r>
          </w:p>
        </w:tc>
      </w:tr>
      <w:tr>
        <w:tblPrEx>
          <w:tblCellMar>
            <w:left w:w="108" w:type="dxa"/>
            <w:right w:w="108" w:type="dxa"/>
          </w:tblCellMar>
        </w:tblPrEx>
        <w:trPr>
          <w:trHeight w:val="386"/>
          <w:jc w:val="center"/>
        </w:trPr>
        <w:tc>
          <w:tcPr>
            <w:tcW w:w="4535" w:type="dxa"/>
            <w:noWrap/>
            <w:vAlign w:val="bottom"/>
          </w:tcPr>
          <w:p>
            <w:pPr>
              <w:pStyle w:val="yTableNAm"/>
            </w:pPr>
            <w:r>
              <w:t>55030</w:t>
            </w:r>
          </w:p>
        </w:tc>
        <w:tc>
          <w:tcPr>
            <w:tcW w:w="1134" w:type="dxa"/>
            <w:noWrap/>
            <w:vAlign w:val="bottom"/>
          </w:tcPr>
          <w:p>
            <w:pPr>
              <w:pStyle w:val="yTableNAm"/>
            </w:pPr>
            <w:r>
              <w:t>220.40</w:t>
            </w:r>
          </w:p>
        </w:tc>
      </w:tr>
      <w:tr>
        <w:tblPrEx>
          <w:tblCellMar>
            <w:left w:w="108" w:type="dxa"/>
            <w:right w:w="108" w:type="dxa"/>
          </w:tblCellMar>
        </w:tblPrEx>
        <w:trPr>
          <w:trHeight w:val="386"/>
          <w:jc w:val="center"/>
        </w:trPr>
        <w:tc>
          <w:tcPr>
            <w:tcW w:w="4535" w:type="dxa"/>
            <w:noWrap/>
            <w:vAlign w:val="bottom"/>
          </w:tcPr>
          <w:p>
            <w:pPr>
              <w:pStyle w:val="yTableNAm"/>
            </w:pPr>
            <w:r>
              <w:t>55031</w:t>
            </w:r>
          </w:p>
        </w:tc>
        <w:tc>
          <w:tcPr>
            <w:tcW w:w="1134" w:type="dxa"/>
            <w:noWrap/>
            <w:vAlign w:val="bottom"/>
          </w:tcPr>
          <w:p>
            <w:pPr>
              <w:pStyle w:val="yTableNAm"/>
            </w:pPr>
            <w:r>
              <w:t>76.40</w:t>
            </w:r>
          </w:p>
        </w:tc>
      </w:tr>
      <w:tr>
        <w:tblPrEx>
          <w:tblCellMar>
            <w:left w:w="108" w:type="dxa"/>
            <w:right w:w="108" w:type="dxa"/>
          </w:tblCellMar>
        </w:tblPrEx>
        <w:trPr>
          <w:trHeight w:val="386"/>
          <w:jc w:val="center"/>
        </w:trPr>
        <w:tc>
          <w:tcPr>
            <w:tcW w:w="4535" w:type="dxa"/>
            <w:noWrap/>
            <w:vAlign w:val="bottom"/>
          </w:tcPr>
          <w:p>
            <w:pPr>
              <w:pStyle w:val="yTableNAm"/>
            </w:pPr>
            <w:r>
              <w:t>55032</w:t>
            </w:r>
          </w:p>
        </w:tc>
        <w:tc>
          <w:tcPr>
            <w:tcW w:w="1134" w:type="dxa"/>
            <w:noWrap/>
            <w:vAlign w:val="bottom"/>
          </w:tcPr>
          <w:p>
            <w:pPr>
              <w:pStyle w:val="yTableNAm"/>
            </w:pPr>
            <w:r>
              <w:t>220.40</w:t>
            </w:r>
          </w:p>
        </w:tc>
      </w:tr>
      <w:tr>
        <w:tblPrEx>
          <w:tblCellMar>
            <w:left w:w="108" w:type="dxa"/>
            <w:right w:w="108" w:type="dxa"/>
          </w:tblCellMar>
        </w:tblPrEx>
        <w:trPr>
          <w:trHeight w:val="373"/>
          <w:jc w:val="center"/>
        </w:trPr>
        <w:tc>
          <w:tcPr>
            <w:tcW w:w="4535" w:type="dxa"/>
            <w:noWrap/>
            <w:vAlign w:val="bottom"/>
          </w:tcPr>
          <w:p>
            <w:pPr>
              <w:pStyle w:val="yTableNAm"/>
            </w:pPr>
            <w:r>
              <w:t>55033</w:t>
            </w:r>
          </w:p>
        </w:tc>
        <w:tc>
          <w:tcPr>
            <w:tcW w:w="1134" w:type="dxa"/>
            <w:noWrap/>
            <w:vAlign w:val="bottom"/>
          </w:tcPr>
          <w:p>
            <w:pPr>
              <w:pStyle w:val="yTableNAm"/>
              <w:rPr>
                <w:b/>
              </w:rPr>
            </w:pPr>
            <w:r>
              <w:t>76.40</w:t>
            </w:r>
          </w:p>
        </w:tc>
      </w:tr>
      <w:tr>
        <w:tblPrEx>
          <w:tblCellMar>
            <w:left w:w="108" w:type="dxa"/>
            <w:right w:w="108" w:type="dxa"/>
          </w:tblCellMar>
        </w:tblPrEx>
        <w:trPr>
          <w:trHeight w:val="386"/>
          <w:jc w:val="center"/>
        </w:trPr>
        <w:tc>
          <w:tcPr>
            <w:tcW w:w="4535" w:type="dxa"/>
            <w:noWrap/>
            <w:vAlign w:val="bottom"/>
          </w:tcPr>
          <w:p>
            <w:pPr>
              <w:pStyle w:val="yTableNAm"/>
            </w:pPr>
            <w:r>
              <w:t>55036</w:t>
            </w:r>
          </w:p>
        </w:tc>
        <w:tc>
          <w:tcPr>
            <w:tcW w:w="1134" w:type="dxa"/>
            <w:noWrap/>
            <w:vAlign w:val="bottom"/>
          </w:tcPr>
          <w:p>
            <w:pPr>
              <w:pStyle w:val="yTableNAm"/>
            </w:pPr>
            <w:r>
              <w:t>224.70</w:t>
            </w:r>
          </w:p>
        </w:tc>
      </w:tr>
      <w:tr>
        <w:tblPrEx>
          <w:tblCellMar>
            <w:left w:w="108" w:type="dxa"/>
            <w:right w:w="108" w:type="dxa"/>
          </w:tblCellMar>
        </w:tblPrEx>
        <w:trPr>
          <w:trHeight w:val="386"/>
          <w:jc w:val="center"/>
        </w:trPr>
        <w:tc>
          <w:tcPr>
            <w:tcW w:w="4535" w:type="dxa"/>
            <w:noWrap/>
            <w:vAlign w:val="bottom"/>
          </w:tcPr>
          <w:p>
            <w:pPr>
              <w:pStyle w:val="yTableNAm"/>
            </w:pPr>
            <w:r>
              <w:t>55037</w:t>
            </w:r>
          </w:p>
        </w:tc>
        <w:tc>
          <w:tcPr>
            <w:tcW w:w="1134" w:type="dxa"/>
            <w:noWrap/>
            <w:vAlign w:val="bottom"/>
          </w:tcPr>
          <w:p>
            <w:pPr>
              <w:pStyle w:val="yTableNAm"/>
            </w:pPr>
            <w:r>
              <w:t>76.40</w:t>
            </w:r>
          </w:p>
        </w:tc>
      </w:tr>
      <w:tr>
        <w:tblPrEx>
          <w:tblCellMar>
            <w:left w:w="108" w:type="dxa"/>
            <w:right w:w="108" w:type="dxa"/>
          </w:tblCellMar>
        </w:tblPrEx>
        <w:trPr>
          <w:trHeight w:val="386"/>
          <w:jc w:val="center"/>
        </w:trPr>
        <w:tc>
          <w:tcPr>
            <w:tcW w:w="4535" w:type="dxa"/>
            <w:noWrap/>
            <w:vAlign w:val="bottom"/>
          </w:tcPr>
          <w:p>
            <w:pPr>
              <w:pStyle w:val="yTableNAm"/>
            </w:pPr>
            <w:r>
              <w:t>55038</w:t>
            </w:r>
          </w:p>
        </w:tc>
        <w:tc>
          <w:tcPr>
            <w:tcW w:w="1134" w:type="dxa"/>
            <w:noWrap/>
            <w:vAlign w:val="bottom"/>
          </w:tcPr>
          <w:p>
            <w:pPr>
              <w:pStyle w:val="yTableNAm"/>
            </w:pPr>
            <w:r>
              <w:t>220.40</w:t>
            </w:r>
          </w:p>
        </w:tc>
      </w:tr>
      <w:tr>
        <w:tblPrEx>
          <w:tblCellMar>
            <w:left w:w="108" w:type="dxa"/>
            <w:right w:w="108" w:type="dxa"/>
          </w:tblCellMar>
        </w:tblPrEx>
        <w:trPr>
          <w:trHeight w:val="386"/>
          <w:jc w:val="center"/>
        </w:trPr>
        <w:tc>
          <w:tcPr>
            <w:tcW w:w="4535" w:type="dxa"/>
            <w:noWrap/>
            <w:vAlign w:val="bottom"/>
          </w:tcPr>
          <w:p>
            <w:pPr>
              <w:pStyle w:val="yTableNAm"/>
            </w:pPr>
            <w:r>
              <w:t>55039</w:t>
            </w:r>
          </w:p>
        </w:tc>
        <w:tc>
          <w:tcPr>
            <w:tcW w:w="1134" w:type="dxa"/>
            <w:noWrap/>
            <w:vAlign w:val="bottom"/>
          </w:tcPr>
          <w:p>
            <w:pPr>
              <w:pStyle w:val="yTableNAm"/>
            </w:pPr>
            <w:r>
              <w:t>76.40</w:t>
            </w:r>
          </w:p>
        </w:tc>
      </w:tr>
      <w:tr>
        <w:tblPrEx>
          <w:tblCellMar>
            <w:left w:w="108" w:type="dxa"/>
            <w:right w:w="108" w:type="dxa"/>
          </w:tblCellMar>
        </w:tblPrEx>
        <w:trPr>
          <w:trHeight w:val="373"/>
          <w:jc w:val="center"/>
        </w:trPr>
        <w:tc>
          <w:tcPr>
            <w:tcW w:w="4535" w:type="dxa"/>
            <w:noWrap/>
            <w:vAlign w:val="bottom"/>
          </w:tcPr>
          <w:p>
            <w:pPr>
              <w:pStyle w:val="yTableNAm"/>
            </w:pPr>
            <w:r>
              <w:t>55048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55049</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55054</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55070</w:t>
            </w:r>
          </w:p>
        </w:tc>
        <w:tc>
          <w:tcPr>
            <w:tcW w:w="1134" w:type="dxa"/>
            <w:noWrap/>
            <w:vAlign w:val="bottom"/>
          </w:tcPr>
          <w:p>
            <w:pPr>
              <w:pStyle w:val="yTableNAm"/>
            </w:pPr>
            <w:r>
              <w:t>198.40</w:t>
            </w:r>
          </w:p>
        </w:tc>
      </w:tr>
      <w:tr>
        <w:tblPrEx>
          <w:tblCellMar>
            <w:left w:w="108" w:type="dxa"/>
            <w:right w:w="108" w:type="dxa"/>
          </w:tblCellMar>
        </w:tblPrEx>
        <w:trPr>
          <w:trHeight w:val="148"/>
          <w:jc w:val="center"/>
        </w:trPr>
        <w:tc>
          <w:tcPr>
            <w:tcW w:w="4535" w:type="dxa"/>
            <w:noWrap/>
            <w:vAlign w:val="bottom"/>
          </w:tcPr>
          <w:p>
            <w:pPr>
              <w:pStyle w:val="yTableNAm"/>
            </w:pPr>
            <w:r>
              <w:t>55073</w:t>
            </w:r>
          </w:p>
        </w:tc>
        <w:tc>
          <w:tcPr>
            <w:tcW w:w="1134" w:type="dxa"/>
            <w:noWrap/>
            <w:vAlign w:val="bottom"/>
          </w:tcPr>
          <w:p>
            <w:pPr>
              <w:pStyle w:val="yTableNAm"/>
            </w:pPr>
            <w:r>
              <w:t>68.75</w:t>
            </w:r>
          </w:p>
        </w:tc>
      </w:tr>
      <w:tr>
        <w:tblPrEx>
          <w:tblCellMar>
            <w:left w:w="108" w:type="dxa"/>
            <w:right w:w="108" w:type="dxa"/>
          </w:tblCellMar>
        </w:tblPrEx>
        <w:trPr>
          <w:trHeight w:val="148"/>
          <w:jc w:val="center"/>
        </w:trPr>
        <w:tc>
          <w:tcPr>
            <w:tcW w:w="4535" w:type="dxa"/>
            <w:noWrap/>
            <w:vAlign w:val="bottom"/>
          </w:tcPr>
          <w:p>
            <w:pPr>
              <w:pStyle w:val="yTableNAm"/>
            </w:pPr>
            <w:r>
              <w:t>55076</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55079</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55084</w:t>
            </w:r>
          </w:p>
        </w:tc>
        <w:tc>
          <w:tcPr>
            <w:tcW w:w="1134" w:type="dxa"/>
            <w:noWrap/>
            <w:vAlign w:val="bottom"/>
          </w:tcPr>
          <w:p>
            <w:pPr>
              <w:pStyle w:val="yTableNAm"/>
            </w:pPr>
            <w:r>
              <w:t>198.40</w:t>
            </w:r>
          </w:p>
        </w:tc>
      </w:tr>
      <w:tr>
        <w:tblPrEx>
          <w:tblCellMar>
            <w:left w:w="108" w:type="dxa"/>
            <w:right w:w="108" w:type="dxa"/>
          </w:tblCellMar>
        </w:tblPrEx>
        <w:trPr>
          <w:trHeight w:val="148"/>
          <w:jc w:val="center"/>
        </w:trPr>
        <w:tc>
          <w:tcPr>
            <w:tcW w:w="4535" w:type="dxa"/>
            <w:noWrap/>
            <w:vAlign w:val="bottom"/>
          </w:tcPr>
          <w:p>
            <w:pPr>
              <w:pStyle w:val="yTableNAm"/>
            </w:pPr>
            <w:r>
              <w:t>55085</w:t>
            </w:r>
          </w:p>
        </w:tc>
        <w:tc>
          <w:tcPr>
            <w:tcW w:w="1134" w:type="dxa"/>
            <w:noWrap/>
            <w:vAlign w:val="bottom"/>
          </w:tcPr>
          <w:p>
            <w:pPr>
              <w:pStyle w:val="yTableNAm"/>
            </w:pPr>
            <w:r>
              <w:t>68.75</w:t>
            </w:r>
          </w:p>
        </w:tc>
      </w:tr>
      <w:tr>
        <w:tblPrEx>
          <w:tblCellMar>
            <w:left w:w="108" w:type="dxa"/>
            <w:right w:w="108" w:type="dxa"/>
          </w:tblCellMar>
        </w:tblPrEx>
        <w:trPr>
          <w:trHeight w:val="148"/>
          <w:jc w:val="center"/>
        </w:trPr>
        <w:tc>
          <w:tcPr>
            <w:tcW w:w="4535" w:type="dxa"/>
            <w:noWrap/>
            <w:vAlign w:val="bottom"/>
          </w:tcPr>
          <w:p>
            <w:pPr>
              <w:pStyle w:val="yTableNAm"/>
            </w:pPr>
            <w:r>
              <w:t>55113</w:t>
            </w:r>
          </w:p>
        </w:tc>
        <w:tc>
          <w:tcPr>
            <w:tcW w:w="1134" w:type="dxa"/>
            <w:noWrap/>
            <w:vAlign w:val="bottom"/>
          </w:tcPr>
          <w:p>
            <w:pPr>
              <w:pStyle w:val="yTableNAm"/>
            </w:pPr>
            <w:r>
              <w:t>465.80</w:t>
            </w:r>
          </w:p>
        </w:tc>
      </w:tr>
      <w:tr>
        <w:tblPrEx>
          <w:tblCellMar>
            <w:left w:w="108" w:type="dxa"/>
            <w:right w:w="108" w:type="dxa"/>
          </w:tblCellMar>
        </w:tblPrEx>
        <w:trPr>
          <w:trHeight w:val="148"/>
          <w:jc w:val="center"/>
        </w:trPr>
        <w:tc>
          <w:tcPr>
            <w:tcW w:w="4535" w:type="dxa"/>
            <w:noWrap/>
            <w:vAlign w:val="bottom"/>
          </w:tcPr>
          <w:p>
            <w:pPr>
              <w:pStyle w:val="yTableNAm"/>
            </w:pPr>
            <w:r>
              <w:t>55114</w:t>
            </w:r>
          </w:p>
        </w:tc>
        <w:tc>
          <w:tcPr>
            <w:tcW w:w="1134" w:type="dxa"/>
            <w:noWrap/>
            <w:vAlign w:val="bottom"/>
          </w:tcPr>
          <w:p>
            <w:pPr>
              <w:pStyle w:val="yTableNAm"/>
            </w:pPr>
            <w:r>
              <w:t>465.80</w:t>
            </w:r>
          </w:p>
        </w:tc>
      </w:tr>
      <w:tr>
        <w:tblPrEx>
          <w:tblCellMar>
            <w:left w:w="108" w:type="dxa"/>
            <w:right w:w="108" w:type="dxa"/>
          </w:tblCellMar>
        </w:tblPrEx>
        <w:trPr>
          <w:trHeight w:val="148"/>
          <w:jc w:val="center"/>
        </w:trPr>
        <w:tc>
          <w:tcPr>
            <w:tcW w:w="4535" w:type="dxa"/>
            <w:noWrap/>
            <w:vAlign w:val="bottom"/>
          </w:tcPr>
          <w:p>
            <w:pPr>
              <w:pStyle w:val="yTableNAm"/>
            </w:pPr>
            <w:r>
              <w:t>55115</w:t>
            </w:r>
          </w:p>
        </w:tc>
        <w:tc>
          <w:tcPr>
            <w:tcW w:w="1134" w:type="dxa"/>
            <w:noWrap/>
            <w:vAlign w:val="bottom"/>
          </w:tcPr>
          <w:p>
            <w:pPr>
              <w:pStyle w:val="yTableNAm"/>
            </w:pPr>
            <w:r>
              <w:t>465.80</w:t>
            </w:r>
          </w:p>
        </w:tc>
      </w:tr>
      <w:tr>
        <w:tblPrEx>
          <w:tblCellMar>
            <w:left w:w="108" w:type="dxa"/>
            <w:right w:w="108" w:type="dxa"/>
          </w:tblCellMar>
        </w:tblPrEx>
        <w:trPr>
          <w:trHeight w:val="148"/>
          <w:jc w:val="center"/>
        </w:trPr>
        <w:tc>
          <w:tcPr>
            <w:tcW w:w="4535" w:type="dxa"/>
            <w:noWrap/>
            <w:vAlign w:val="bottom"/>
          </w:tcPr>
          <w:p>
            <w:pPr>
              <w:pStyle w:val="yTableNAm"/>
            </w:pPr>
            <w:r>
              <w:t>55116</w:t>
            </w:r>
          </w:p>
        </w:tc>
        <w:tc>
          <w:tcPr>
            <w:tcW w:w="1134" w:type="dxa"/>
            <w:noWrap/>
            <w:vAlign w:val="bottom"/>
          </w:tcPr>
          <w:p>
            <w:pPr>
              <w:pStyle w:val="yTableNAm"/>
            </w:pPr>
            <w:r>
              <w:t>518.05</w:t>
            </w:r>
          </w:p>
        </w:tc>
      </w:tr>
      <w:tr>
        <w:tblPrEx>
          <w:tblCellMar>
            <w:left w:w="108" w:type="dxa"/>
            <w:right w:w="108" w:type="dxa"/>
          </w:tblCellMar>
        </w:tblPrEx>
        <w:trPr>
          <w:trHeight w:val="148"/>
          <w:jc w:val="center"/>
        </w:trPr>
        <w:tc>
          <w:tcPr>
            <w:tcW w:w="4535" w:type="dxa"/>
            <w:noWrap/>
            <w:vAlign w:val="bottom"/>
          </w:tcPr>
          <w:p>
            <w:pPr>
              <w:pStyle w:val="yTableNAm"/>
            </w:pPr>
            <w:r>
              <w:t>55117</w:t>
            </w:r>
          </w:p>
        </w:tc>
        <w:tc>
          <w:tcPr>
            <w:tcW w:w="1134" w:type="dxa"/>
            <w:noWrap/>
            <w:vAlign w:val="bottom"/>
          </w:tcPr>
          <w:p>
            <w:pPr>
              <w:pStyle w:val="yTableNAm"/>
            </w:pPr>
            <w:r>
              <w:t>518.05</w:t>
            </w:r>
          </w:p>
        </w:tc>
      </w:tr>
      <w:tr>
        <w:tblPrEx>
          <w:tblCellMar>
            <w:left w:w="108" w:type="dxa"/>
            <w:right w:w="108" w:type="dxa"/>
          </w:tblCellMar>
        </w:tblPrEx>
        <w:trPr>
          <w:trHeight w:val="148"/>
          <w:jc w:val="center"/>
        </w:trPr>
        <w:tc>
          <w:tcPr>
            <w:tcW w:w="4535" w:type="dxa"/>
            <w:noWrap/>
            <w:vAlign w:val="bottom"/>
          </w:tcPr>
          <w:p>
            <w:pPr>
              <w:pStyle w:val="yTableNAm"/>
            </w:pPr>
            <w:r>
              <w:t>55118</w:t>
            </w:r>
          </w:p>
        </w:tc>
        <w:tc>
          <w:tcPr>
            <w:tcW w:w="1134" w:type="dxa"/>
            <w:noWrap/>
            <w:vAlign w:val="bottom"/>
          </w:tcPr>
          <w:p>
            <w:pPr>
              <w:pStyle w:val="yTableNAm"/>
            </w:pPr>
            <w:r>
              <w:t>556.35</w:t>
            </w:r>
          </w:p>
        </w:tc>
      </w:tr>
      <w:tr>
        <w:tblPrEx>
          <w:tblCellMar>
            <w:left w:w="108" w:type="dxa"/>
            <w:right w:w="108" w:type="dxa"/>
          </w:tblCellMar>
        </w:tblPrEx>
        <w:trPr>
          <w:trHeight w:val="148"/>
          <w:jc w:val="center"/>
        </w:trPr>
        <w:tc>
          <w:tcPr>
            <w:tcW w:w="4535" w:type="dxa"/>
            <w:noWrap/>
            <w:vAlign w:val="bottom"/>
          </w:tcPr>
          <w:p>
            <w:pPr>
              <w:pStyle w:val="yTableNAm"/>
            </w:pPr>
            <w:r>
              <w:t>55130</w:t>
            </w:r>
          </w:p>
        </w:tc>
        <w:tc>
          <w:tcPr>
            <w:tcW w:w="1134" w:type="dxa"/>
            <w:noWrap/>
            <w:vAlign w:val="bottom"/>
          </w:tcPr>
          <w:p>
            <w:pPr>
              <w:pStyle w:val="yTableNAm"/>
            </w:pPr>
            <w:r>
              <w:t>343.40</w:t>
            </w:r>
          </w:p>
        </w:tc>
      </w:tr>
      <w:tr>
        <w:tblPrEx>
          <w:tblCellMar>
            <w:left w:w="108" w:type="dxa"/>
            <w:right w:w="108" w:type="dxa"/>
          </w:tblCellMar>
        </w:tblPrEx>
        <w:trPr>
          <w:trHeight w:val="148"/>
          <w:jc w:val="center"/>
        </w:trPr>
        <w:tc>
          <w:tcPr>
            <w:tcW w:w="4535" w:type="dxa"/>
            <w:noWrap/>
            <w:vAlign w:val="bottom"/>
          </w:tcPr>
          <w:p>
            <w:pPr>
              <w:pStyle w:val="yTableNAm"/>
            </w:pPr>
            <w:r>
              <w:t>55135</w:t>
            </w:r>
          </w:p>
        </w:tc>
        <w:tc>
          <w:tcPr>
            <w:tcW w:w="1134" w:type="dxa"/>
            <w:noWrap/>
            <w:vAlign w:val="bottom"/>
          </w:tcPr>
          <w:p>
            <w:pPr>
              <w:pStyle w:val="yTableNAm"/>
            </w:pPr>
            <w:r>
              <w:t>714.15</w:t>
            </w:r>
          </w:p>
        </w:tc>
      </w:tr>
      <w:tr>
        <w:tblPrEx>
          <w:tblCellMar>
            <w:left w:w="108" w:type="dxa"/>
            <w:right w:w="108" w:type="dxa"/>
          </w:tblCellMar>
        </w:tblPrEx>
        <w:trPr>
          <w:trHeight w:val="148"/>
          <w:jc w:val="center"/>
        </w:trPr>
        <w:tc>
          <w:tcPr>
            <w:tcW w:w="4535" w:type="dxa"/>
            <w:noWrap/>
            <w:vAlign w:val="bottom"/>
          </w:tcPr>
          <w:p>
            <w:pPr>
              <w:pStyle w:val="yTableNAm"/>
            </w:pPr>
            <w:r>
              <w:t>55238</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55244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55246</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55248</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55252</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55274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55276</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55278</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55280</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55282</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55284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55292</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55294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55296</w:t>
            </w:r>
          </w:p>
        </w:tc>
        <w:tc>
          <w:tcPr>
            <w:tcW w:w="1134" w:type="dxa"/>
            <w:noWrap/>
            <w:vAlign w:val="bottom"/>
          </w:tcPr>
          <w:p>
            <w:pPr>
              <w:pStyle w:val="yTableNAm"/>
            </w:pPr>
            <w:r>
              <w:t>224.35</w:t>
            </w:r>
          </w:p>
        </w:tc>
      </w:tr>
      <w:tr>
        <w:tblPrEx>
          <w:tblCellMar>
            <w:left w:w="108" w:type="dxa"/>
            <w:right w:w="108" w:type="dxa"/>
          </w:tblCellMar>
        </w:tblPrEx>
        <w:trPr>
          <w:trHeight w:val="148"/>
          <w:jc w:val="center"/>
        </w:trPr>
        <w:tc>
          <w:tcPr>
            <w:tcW w:w="4535" w:type="dxa"/>
            <w:noWrap/>
            <w:vAlign w:val="bottom"/>
          </w:tcPr>
          <w:p>
            <w:pPr>
              <w:pStyle w:val="yTableNAm"/>
            </w:pPr>
            <w:r>
              <w:t>55600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55603</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55700</w:t>
            </w:r>
          </w:p>
        </w:tc>
        <w:tc>
          <w:tcPr>
            <w:tcW w:w="1134" w:type="dxa"/>
            <w:noWrap/>
            <w:vAlign w:val="bottom"/>
          </w:tcPr>
          <w:p>
            <w:pPr>
              <w:pStyle w:val="yTableNAm"/>
            </w:pPr>
            <w:r>
              <w:t>121.10</w:t>
            </w:r>
          </w:p>
        </w:tc>
      </w:tr>
      <w:tr>
        <w:tblPrEx>
          <w:tblCellMar>
            <w:left w:w="108" w:type="dxa"/>
            <w:right w:w="108" w:type="dxa"/>
          </w:tblCellMar>
        </w:tblPrEx>
        <w:trPr>
          <w:trHeight w:val="148"/>
          <w:jc w:val="center"/>
        </w:trPr>
        <w:tc>
          <w:tcPr>
            <w:tcW w:w="4535" w:type="dxa"/>
            <w:noWrap/>
            <w:vAlign w:val="bottom"/>
          </w:tcPr>
          <w:p>
            <w:pPr>
              <w:pStyle w:val="yTableNAm"/>
            </w:pPr>
            <w:r>
              <w:t>55703</w:t>
            </w:r>
          </w:p>
        </w:tc>
        <w:tc>
          <w:tcPr>
            <w:tcW w:w="1134" w:type="dxa"/>
            <w:noWrap/>
            <w:vAlign w:val="bottom"/>
          </w:tcPr>
          <w:p>
            <w:pPr>
              <w:pStyle w:val="yTableNAm"/>
            </w:pPr>
            <w:r>
              <w:t>70.75</w:t>
            </w:r>
          </w:p>
        </w:tc>
      </w:tr>
      <w:tr>
        <w:tblPrEx>
          <w:tblCellMar>
            <w:left w:w="108" w:type="dxa"/>
            <w:right w:w="108" w:type="dxa"/>
          </w:tblCellMar>
        </w:tblPrEx>
        <w:trPr>
          <w:trHeight w:val="148"/>
          <w:jc w:val="center"/>
        </w:trPr>
        <w:tc>
          <w:tcPr>
            <w:tcW w:w="4535" w:type="dxa"/>
            <w:noWrap/>
            <w:vAlign w:val="bottom"/>
          </w:tcPr>
          <w:p>
            <w:pPr>
              <w:pStyle w:val="yTableNAm"/>
            </w:pPr>
            <w:r>
              <w:t>55704</w:t>
            </w:r>
          </w:p>
        </w:tc>
        <w:tc>
          <w:tcPr>
            <w:tcW w:w="1134" w:type="dxa"/>
            <w:noWrap/>
            <w:vAlign w:val="bottom"/>
          </w:tcPr>
          <w:p>
            <w:pPr>
              <w:pStyle w:val="yTableNAm"/>
            </w:pPr>
            <w:r>
              <w:t>141.40</w:t>
            </w:r>
          </w:p>
        </w:tc>
      </w:tr>
      <w:tr>
        <w:tblPrEx>
          <w:tblCellMar>
            <w:left w:w="108" w:type="dxa"/>
            <w:right w:w="108" w:type="dxa"/>
          </w:tblCellMar>
        </w:tblPrEx>
        <w:trPr>
          <w:trHeight w:val="148"/>
          <w:jc w:val="center"/>
        </w:trPr>
        <w:tc>
          <w:tcPr>
            <w:tcW w:w="4535" w:type="dxa"/>
            <w:noWrap/>
            <w:vAlign w:val="bottom"/>
          </w:tcPr>
          <w:p>
            <w:pPr>
              <w:pStyle w:val="yTableNAm"/>
            </w:pPr>
            <w:r>
              <w:t>55705</w:t>
            </w:r>
          </w:p>
        </w:tc>
        <w:tc>
          <w:tcPr>
            <w:tcW w:w="1134" w:type="dxa"/>
            <w:noWrap/>
            <w:vAlign w:val="bottom"/>
          </w:tcPr>
          <w:p>
            <w:pPr>
              <w:pStyle w:val="yTableNAm"/>
            </w:pPr>
            <w:r>
              <w:t>70.75</w:t>
            </w:r>
          </w:p>
        </w:tc>
      </w:tr>
      <w:tr>
        <w:tblPrEx>
          <w:tblCellMar>
            <w:left w:w="108" w:type="dxa"/>
            <w:right w:w="108" w:type="dxa"/>
          </w:tblCellMar>
        </w:tblPrEx>
        <w:trPr>
          <w:trHeight w:val="148"/>
          <w:jc w:val="center"/>
        </w:trPr>
        <w:tc>
          <w:tcPr>
            <w:tcW w:w="4535" w:type="dxa"/>
            <w:noWrap/>
            <w:vAlign w:val="bottom"/>
          </w:tcPr>
          <w:p>
            <w:pPr>
              <w:pStyle w:val="yTableNAm"/>
            </w:pPr>
            <w:r>
              <w:t>55706</w:t>
            </w:r>
          </w:p>
        </w:tc>
        <w:tc>
          <w:tcPr>
            <w:tcW w:w="1134" w:type="dxa"/>
            <w:noWrap/>
            <w:vAlign w:val="bottom"/>
          </w:tcPr>
          <w:p>
            <w:pPr>
              <w:pStyle w:val="yTableNAm"/>
            </w:pPr>
            <w:r>
              <w:t>201.95</w:t>
            </w:r>
          </w:p>
        </w:tc>
      </w:tr>
      <w:tr>
        <w:tblPrEx>
          <w:tblCellMar>
            <w:left w:w="108" w:type="dxa"/>
            <w:right w:w="108" w:type="dxa"/>
          </w:tblCellMar>
        </w:tblPrEx>
        <w:trPr>
          <w:trHeight w:val="148"/>
          <w:jc w:val="center"/>
        </w:trPr>
        <w:tc>
          <w:tcPr>
            <w:tcW w:w="4535" w:type="dxa"/>
            <w:noWrap/>
            <w:vAlign w:val="bottom"/>
          </w:tcPr>
          <w:p>
            <w:pPr>
              <w:pStyle w:val="yTableNAm"/>
            </w:pPr>
            <w:r>
              <w:t>55707</w:t>
            </w:r>
          </w:p>
        </w:tc>
        <w:tc>
          <w:tcPr>
            <w:tcW w:w="1134" w:type="dxa"/>
            <w:noWrap/>
            <w:vAlign w:val="bottom"/>
          </w:tcPr>
          <w:p>
            <w:pPr>
              <w:pStyle w:val="yTableNAm"/>
            </w:pPr>
            <w:r>
              <w:t>141.40</w:t>
            </w:r>
          </w:p>
        </w:tc>
      </w:tr>
      <w:tr>
        <w:tblPrEx>
          <w:tblCellMar>
            <w:left w:w="108" w:type="dxa"/>
            <w:right w:w="108" w:type="dxa"/>
          </w:tblCellMar>
        </w:tblPrEx>
        <w:trPr>
          <w:trHeight w:val="148"/>
          <w:jc w:val="center"/>
        </w:trPr>
        <w:tc>
          <w:tcPr>
            <w:tcW w:w="4535" w:type="dxa"/>
            <w:noWrap/>
            <w:vAlign w:val="bottom"/>
          </w:tcPr>
          <w:p>
            <w:pPr>
              <w:pStyle w:val="yTableNAm"/>
            </w:pPr>
            <w:r>
              <w:t>55708</w:t>
            </w:r>
          </w:p>
        </w:tc>
        <w:tc>
          <w:tcPr>
            <w:tcW w:w="1134" w:type="dxa"/>
            <w:noWrap/>
            <w:vAlign w:val="bottom"/>
          </w:tcPr>
          <w:p>
            <w:pPr>
              <w:pStyle w:val="yTableNAm"/>
            </w:pPr>
            <w:r>
              <w:t>70.75</w:t>
            </w:r>
          </w:p>
        </w:tc>
      </w:tr>
      <w:tr>
        <w:tblPrEx>
          <w:tblCellMar>
            <w:left w:w="108" w:type="dxa"/>
            <w:right w:w="108" w:type="dxa"/>
          </w:tblCellMar>
        </w:tblPrEx>
        <w:trPr>
          <w:trHeight w:val="148"/>
          <w:jc w:val="center"/>
        </w:trPr>
        <w:tc>
          <w:tcPr>
            <w:tcW w:w="4535" w:type="dxa"/>
            <w:noWrap/>
            <w:vAlign w:val="bottom"/>
          </w:tcPr>
          <w:p>
            <w:pPr>
              <w:pStyle w:val="yTableNAm"/>
            </w:pPr>
            <w:r>
              <w:t>55709</w:t>
            </w:r>
          </w:p>
        </w:tc>
        <w:tc>
          <w:tcPr>
            <w:tcW w:w="1134" w:type="dxa"/>
            <w:noWrap/>
            <w:vAlign w:val="bottom"/>
          </w:tcPr>
          <w:p>
            <w:pPr>
              <w:pStyle w:val="yTableNAm"/>
            </w:pPr>
            <w:r>
              <w:t>76.75</w:t>
            </w:r>
          </w:p>
        </w:tc>
      </w:tr>
      <w:tr>
        <w:tblPrEx>
          <w:tblCellMar>
            <w:left w:w="108" w:type="dxa"/>
            <w:right w:w="108" w:type="dxa"/>
          </w:tblCellMar>
        </w:tblPrEx>
        <w:trPr>
          <w:trHeight w:val="148"/>
          <w:jc w:val="center"/>
        </w:trPr>
        <w:tc>
          <w:tcPr>
            <w:tcW w:w="4535" w:type="dxa"/>
            <w:noWrap/>
            <w:vAlign w:val="bottom"/>
          </w:tcPr>
          <w:p>
            <w:pPr>
              <w:pStyle w:val="yTableNAm"/>
            </w:pPr>
            <w:r>
              <w:t>55712</w:t>
            </w:r>
          </w:p>
        </w:tc>
        <w:tc>
          <w:tcPr>
            <w:tcW w:w="1134" w:type="dxa"/>
            <w:noWrap/>
            <w:vAlign w:val="bottom"/>
          </w:tcPr>
          <w:p>
            <w:pPr>
              <w:pStyle w:val="yTableNAm"/>
            </w:pPr>
            <w:r>
              <w:t>232.30</w:t>
            </w:r>
          </w:p>
        </w:tc>
      </w:tr>
      <w:tr>
        <w:tblPrEx>
          <w:tblCellMar>
            <w:left w:w="108" w:type="dxa"/>
            <w:right w:w="108" w:type="dxa"/>
          </w:tblCellMar>
        </w:tblPrEx>
        <w:trPr>
          <w:trHeight w:val="148"/>
          <w:jc w:val="center"/>
        </w:trPr>
        <w:tc>
          <w:tcPr>
            <w:tcW w:w="4535" w:type="dxa"/>
            <w:noWrap/>
            <w:vAlign w:val="bottom"/>
          </w:tcPr>
          <w:p>
            <w:pPr>
              <w:pStyle w:val="yTableNAm"/>
            </w:pPr>
            <w:r>
              <w:t>55715</w:t>
            </w:r>
          </w:p>
        </w:tc>
        <w:tc>
          <w:tcPr>
            <w:tcW w:w="1134" w:type="dxa"/>
            <w:noWrap/>
            <w:vAlign w:val="bottom"/>
          </w:tcPr>
          <w:p>
            <w:pPr>
              <w:pStyle w:val="yTableNAm"/>
            </w:pPr>
            <w:r>
              <w:t>80.80</w:t>
            </w:r>
          </w:p>
        </w:tc>
      </w:tr>
      <w:tr>
        <w:tblPrEx>
          <w:tblCellMar>
            <w:left w:w="108" w:type="dxa"/>
            <w:right w:w="108" w:type="dxa"/>
          </w:tblCellMar>
        </w:tblPrEx>
        <w:trPr>
          <w:trHeight w:val="148"/>
          <w:jc w:val="center"/>
        </w:trPr>
        <w:tc>
          <w:tcPr>
            <w:tcW w:w="4535" w:type="dxa"/>
            <w:noWrap/>
            <w:vAlign w:val="bottom"/>
          </w:tcPr>
          <w:p>
            <w:pPr>
              <w:pStyle w:val="yTableNAm"/>
            </w:pPr>
            <w:r>
              <w:t>55718</w:t>
            </w:r>
          </w:p>
        </w:tc>
        <w:tc>
          <w:tcPr>
            <w:tcW w:w="1134" w:type="dxa"/>
            <w:noWrap/>
            <w:vAlign w:val="bottom"/>
          </w:tcPr>
          <w:p>
            <w:pPr>
              <w:pStyle w:val="yTableNAm"/>
            </w:pPr>
            <w:r>
              <w:t>201.95</w:t>
            </w:r>
          </w:p>
        </w:tc>
      </w:tr>
      <w:tr>
        <w:tblPrEx>
          <w:tblCellMar>
            <w:left w:w="108" w:type="dxa"/>
            <w:right w:w="108" w:type="dxa"/>
          </w:tblCellMar>
        </w:tblPrEx>
        <w:trPr>
          <w:trHeight w:val="148"/>
          <w:jc w:val="center"/>
        </w:trPr>
        <w:tc>
          <w:tcPr>
            <w:tcW w:w="4535" w:type="dxa"/>
            <w:noWrap/>
            <w:vAlign w:val="bottom"/>
          </w:tcPr>
          <w:p>
            <w:pPr>
              <w:pStyle w:val="yTableNAm"/>
            </w:pPr>
            <w:r>
              <w:t>55721</w:t>
            </w:r>
          </w:p>
        </w:tc>
        <w:tc>
          <w:tcPr>
            <w:tcW w:w="1134" w:type="dxa"/>
            <w:noWrap/>
            <w:vAlign w:val="bottom"/>
          </w:tcPr>
          <w:p>
            <w:pPr>
              <w:pStyle w:val="yTableNAm"/>
            </w:pPr>
            <w:r>
              <w:t>232.30</w:t>
            </w:r>
          </w:p>
        </w:tc>
      </w:tr>
      <w:tr>
        <w:tblPrEx>
          <w:tblCellMar>
            <w:left w:w="108" w:type="dxa"/>
            <w:right w:w="108" w:type="dxa"/>
          </w:tblCellMar>
        </w:tblPrEx>
        <w:trPr>
          <w:trHeight w:val="148"/>
          <w:jc w:val="center"/>
        </w:trPr>
        <w:tc>
          <w:tcPr>
            <w:tcW w:w="4535" w:type="dxa"/>
            <w:noWrap/>
            <w:vAlign w:val="bottom"/>
          </w:tcPr>
          <w:p>
            <w:pPr>
              <w:pStyle w:val="yTableNAm"/>
            </w:pPr>
            <w:r>
              <w:t>55723</w:t>
            </w:r>
          </w:p>
        </w:tc>
        <w:tc>
          <w:tcPr>
            <w:tcW w:w="1134" w:type="dxa"/>
            <w:noWrap/>
            <w:vAlign w:val="bottom"/>
          </w:tcPr>
          <w:p>
            <w:pPr>
              <w:pStyle w:val="yTableNAm"/>
            </w:pPr>
            <w:r>
              <w:t>76.75</w:t>
            </w:r>
          </w:p>
        </w:tc>
      </w:tr>
      <w:tr>
        <w:tblPrEx>
          <w:tblCellMar>
            <w:left w:w="108" w:type="dxa"/>
            <w:right w:w="108" w:type="dxa"/>
          </w:tblCellMar>
        </w:tblPrEx>
        <w:trPr>
          <w:trHeight w:val="148"/>
          <w:jc w:val="center"/>
        </w:trPr>
        <w:tc>
          <w:tcPr>
            <w:tcW w:w="4535" w:type="dxa"/>
            <w:noWrap/>
            <w:vAlign w:val="bottom"/>
          </w:tcPr>
          <w:p>
            <w:pPr>
              <w:pStyle w:val="yTableNAm"/>
            </w:pPr>
            <w:r>
              <w:t>55725</w:t>
            </w:r>
          </w:p>
        </w:tc>
        <w:tc>
          <w:tcPr>
            <w:tcW w:w="1134" w:type="dxa"/>
            <w:noWrap/>
            <w:vAlign w:val="bottom"/>
          </w:tcPr>
          <w:p>
            <w:pPr>
              <w:pStyle w:val="yTableNAm"/>
            </w:pPr>
            <w:r>
              <w:t>80.80</w:t>
            </w:r>
          </w:p>
        </w:tc>
      </w:tr>
      <w:tr>
        <w:tblPrEx>
          <w:tblCellMar>
            <w:left w:w="108" w:type="dxa"/>
            <w:right w:w="108" w:type="dxa"/>
          </w:tblCellMar>
        </w:tblPrEx>
        <w:trPr>
          <w:trHeight w:val="148"/>
          <w:jc w:val="center"/>
        </w:trPr>
        <w:tc>
          <w:tcPr>
            <w:tcW w:w="4535" w:type="dxa"/>
            <w:noWrap/>
            <w:vAlign w:val="bottom"/>
          </w:tcPr>
          <w:p>
            <w:pPr>
              <w:pStyle w:val="yTableNAm"/>
            </w:pPr>
            <w:r>
              <w:t>55729</w:t>
            </w:r>
          </w:p>
        </w:tc>
        <w:tc>
          <w:tcPr>
            <w:tcW w:w="1134" w:type="dxa"/>
            <w:noWrap/>
            <w:vAlign w:val="bottom"/>
          </w:tcPr>
          <w:p>
            <w:pPr>
              <w:pStyle w:val="yTableNAm"/>
            </w:pPr>
            <w:r>
              <w:t>55.05</w:t>
            </w:r>
          </w:p>
        </w:tc>
      </w:tr>
      <w:tr>
        <w:tblPrEx>
          <w:tblCellMar>
            <w:left w:w="108" w:type="dxa"/>
            <w:right w:w="108" w:type="dxa"/>
          </w:tblCellMar>
        </w:tblPrEx>
        <w:trPr>
          <w:trHeight w:val="148"/>
          <w:jc w:val="center"/>
        </w:trPr>
        <w:tc>
          <w:tcPr>
            <w:tcW w:w="4535" w:type="dxa"/>
            <w:noWrap/>
            <w:vAlign w:val="bottom"/>
          </w:tcPr>
          <w:p>
            <w:pPr>
              <w:pStyle w:val="yTableNAm"/>
            </w:pPr>
            <w:r>
              <w:t>55736</w:t>
            </w:r>
          </w:p>
        </w:tc>
        <w:tc>
          <w:tcPr>
            <w:tcW w:w="1134" w:type="dxa"/>
            <w:noWrap/>
            <w:vAlign w:val="bottom"/>
          </w:tcPr>
          <w:p>
            <w:pPr>
              <w:pStyle w:val="yTableNAm"/>
            </w:pPr>
            <w:r>
              <w:t>256.45</w:t>
            </w:r>
          </w:p>
        </w:tc>
      </w:tr>
      <w:tr>
        <w:tblPrEx>
          <w:tblCellMar>
            <w:left w:w="108" w:type="dxa"/>
            <w:right w:w="108" w:type="dxa"/>
          </w:tblCellMar>
        </w:tblPrEx>
        <w:trPr>
          <w:trHeight w:val="148"/>
          <w:jc w:val="center"/>
        </w:trPr>
        <w:tc>
          <w:tcPr>
            <w:tcW w:w="4535" w:type="dxa"/>
            <w:noWrap/>
            <w:vAlign w:val="bottom"/>
          </w:tcPr>
          <w:p>
            <w:pPr>
              <w:pStyle w:val="yTableNAm"/>
            </w:pPr>
            <w:r>
              <w:t>55739</w:t>
            </w:r>
          </w:p>
        </w:tc>
        <w:tc>
          <w:tcPr>
            <w:tcW w:w="1134" w:type="dxa"/>
            <w:noWrap/>
            <w:vAlign w:val="bottom"/>
          </w:tcPr>
          <w:p>
            <w:pPr>
              <w:pStyle w:val="yTableNAm"/>
            </w:pPr>
            <w:r>
              <w:t>115.05</w:t>
            </w:r>
          </w:p>
        </w:tc>
      </w:tr>
      <w:tr>
        <w:tblPrEx>
          <w:tblCellMar>
            <w:left w:w="108" w:type="dxa"/>
            <w:right w:w="108" w:type="dxa"/>
          </w:tblCellMar>
        </w:tblPrEx>
        <w:trPr>
          <w:trHeight w:val="148"/>
          <w:jc w:val="center"/>
        </w:trPr>
        <w:tc>
          <w:tcPr>
            <w:tcW w:w="4535" w:type="dxa"/>
            <w:noWrap/>
            <w:vAlign w:val="bottom"/>
          </w:tcPr>
          <w:p>
            <w:pPr>
              <w:pStyle w:val="yTableNAm"/>
            </w:pPr>
            <w:r>
              <w:t>55759</w:t>
            </w:r>
          </w:p>
        </w:tc>
        <w:tc>
          <w:tcPr>
            <w:tcW w:w="1134" w:type="dxa"/>
            <w:noWrap/>
            <w:vAlign w:val="bottom"/>
          </w:tcPr>
          <w:p>
            <w:pPr>
              <w:pStyle w:val="yTableNAm"/>
            </w:pPr>
            <w:r>
              <w:t>303.00</w:t>
            </w:r>
          </w:p>
        </w:tc>
      </w:tr>
      <w:tr>
        <w:tblPrEx>
          <w:tblCellMar>
            <w:left w:w="108" w:type="dxa"/>
            <w:right w:w="108" w:type="dxa"/>
          </w:tblCellMar>
        </w:tblPrEx>
        <w:trPr>
          <w:trHeight w:val="148"/>
          <w:jc w:val="center"/>
        </w:trPr>
        <w:tc>
          <w:tcPr>
            <w:tcW w:w="4535" w:type="dxa"/>
            <w:noWrap/>
            <w:vAlign w:val="bottom"/>
          </w:tcPr>
          <w:p>
            <w:pPr>
              <w:pStyle w:val="yTableNAm"/>
            </w:pPr>
            <w:r>
              <w:t>55762</w:t>
            </w:r>
          </w:p>
        </w:tc>
        <w:tc>
          <w:tcPr>
            <w:tcW w:w="1134" w:type="dxa"/>
            <w:noWrap/>
            <w:vAlign w:val="bottom"/>
          </w:tcPr>
          <w:p>
            <w:pPr>
              <w:pStyle w:val="yTableNAm"/>
            </w:pPr>
            <w:r>
              <w:t>121.10</w:t>
            </w:r>
          </w:p>
        </w:tc>
      </w:tr>
      <w:tr>
        <w:tblPrEx>
          <w:tblCellMar>
            <w:left w:w="108" w:type="dxa"/>
            <w:right w:w="108" w:type="dxa"/>
          </w:tblCellMar>
        </w:tblPrEx>
        <w:trPr>
          <w:trHeight w:val="148"/>
          <w:jc w:val="center"/>
        </w:trPr>
        <w:tc>
          <w:tcPr>
            <w:tcW w:w="4535" w:type="dxa"/>
            <w:noWrap/>
            <w:vAlign w:val="bottom"/>
          </w:tcPr>
          <w:p>
            <w:pPr>
              <w:pStyle w:val="yTableNAm"/>
            </w:pPr>
            <w:r>
              <w:t>55764</w:t>
            </w:r>
          </w:p>
        </w:tc>
        <w:tc>
          <w:tcPr>
            <w:tcW w:w="1134" w:type="dxa"/>
            <w:noWrap/>
            <w:vAlign w:val="bottom"/>
          </w:tcPr>
          <w:p>
            <w:pPr>
              <w:pStyle w:val="yTableNAm"/>
            </w:pPr>
            <w:r>
              <w:t>323.15</w:t>
            </w:r>
          </w:p>
        </w:tc>
      </w:tr>
      <w:tr>
        <w:tblPrEx>
          <w:tblCellMar>
            <w:left w:w="108" w:type="dxa"/>
            <w:right w:w="108" w:type="dxa"/>
          </w:tblCellMar>
        </w:tblPrEx>
        <w:trPr>
          <w:trHeight w:val="148"/>
          <w:jc w:val="center"/>
        </w:trPr>
        <w:tc>
          <w:tcPr>
            <w:tcW w:w="4535" w:type="dxa"/>
            <w:noWrap/>
            <w:vAlign w:val="bottom"/>
          </w:tcPr>
          <w:p>
            <w:pPr>
              <w:pStyle w:val="yTableNAm"/>
            </w:pPr>
            <w:r>
              <w:t>55766</w:t>
            </w:r>
          </w:p>
        </w:tc>
        <w:tc>
          <w:tcPr>
            <w:tcW w:w="1134" w:type="dxa"/>
            <w:noWrap/>
            <w:vAlign w:val="bottom"/>
          </w:tcPr>
          <w:p>
            <w:pPr>
              <w:pStyle w:val="yTableNAm"/>
            </w:pPr>
            <w:r>
              <w:t>131.20</w:t>
            </w:r>
          </w:p>
        </w:tc>
      </w:tr>
      <w:tr>
        <w:tblPrEx>
          <w:tblCellMar>
            <w:left w:w="108" w:type="dxa"/>
            <w:right w:w="108" w:type="dxa"/>
          </w:tblCellMar>
        </w:tblPrEx>
        <w:trPr>
          <w:trHeight w:val="148"/>
          <w:jc w:val="center"/>
        </w:trPr>
        <w:tc>
          <w:tcPr>
            <w:tcW w:w="4535" w:type="dxa"/>
            <w:noWrap/>
            <w:vAlign w:val="bottom"/>
          </w:tcPr>
          <w:p>
            <w:pPr>
              <w:pStyle w:val="yTableNAm"/>
            </w:pPr>
            <w:r>
              <w:t>55768</w:t>
            </w:r>
          </w:p>
        </w:tc>
        <w:tc>
          <w:tcPr>
            <w:tcW w:w="1134" w:type="dxa"/>
            <w:noWrap/>
            <w:vAlign w:val="bottom"/>
          </w:tcPr>
          <w:p>
            <w:pPr>
              <w:pStyle w:val="yTableNAm"/>
            </w:pPr>
            <w:r>
              <w:t>303.00</w:t>
            </w:r>
          </w:p>
        </w:tc>
      </w:tr>
      <w:tr>
        <w:tblPrEx>
          <w:tblCellMar>
            <w:left w:w="108" w:type="dxa"/>
            <w:right w:w="108" w:type="dxa"/>
          </w:tblCellMar>
        </w:tblPrEx>
        <w:trPr>
          <w:trHeight w:val="148"/>
          <w:jc w:val="center"/>
        </w:trPr>
        <w:tc>
          <w:tcPr>
            <w:tcW w:w="4535" w:type="dxa"/>
            <w:noWrap/>
            <w:vAlign w:val="bottom"/>
          </w:tcPr>
          <w:p>
            <w:pPr>
              <w:pStyle w:val="yTableNAm"/>
            </w:pPr>
            <w:r>
              <w:t>55770</w:t>
            </w:r>
          </w:p>
        </w:tc>
        <w:tc>
          <w:tcPr>
            <w:tcW w:w="1134" w:type="dxa"/>
            <w:noWrap/>
            <w:vAlign w:val="bottom"/>
          </w:tcPr>
          <w:p>
            <w:pPr>
              <w:pStyle w:val="yTableNAm"/>
            </w:pPr>
            <w:r>
              <w:t>121.10</w:t>
            </w:r>
          </w:p>
        </w:tc>
      </w:tr>
      <w:tr>
        <w:tblPrEx>
          <w:tblCellMar>
            <w:left w:w="108" w:type="dxa"/>
            <w:right w:w="108" w:type="dxa"/>
          </w:tblCellMar>
        </w:tblPrEx>
        <w:trPr>
          <w:trHeight w:val="148"/>
          <w:jc w:val="center"/>
        </w:trPr>
        <w:tc>
          <w:tcPr>
            <w:tcW w:w="4535" w:type="dxa"/>
            <w:noWrap/>
            <w:vAlign w:val="bottom"/>
          </w:tcPr>
          <w:p>
            <w:pPr>
              <w:pStyle w:val="yTableNAm"/>
            </w:pPr>
            <w:r>
              <w:t>55772</w:t>
            </w:r>
          </w:p>
        </w:tc>
        <w:tc>
          <w:tcPr>
            <w:tcW w:w="1134" w:type="dxa"/>
            <w:noWrap/>
            <w:vAlign w:val="bottom"/>
          </w:tcPr>
          <w:p>
            <w:pPr>
              <w:pStyle w:val="yTableNAm"/>
            </w:pPr>
            <w:r>
              <w:t>323.15</w:t>
            </w:r>
          </w:p>
        </w:tc>
      </w:tr>
      <w:tr>
        <w:tblPrEx>
          <w:tblCellMar>
            <w:left w:w="108" w:type="dxa"/>
            <w:right w:w="108" w:type="dxa"/>
          </w:tblCellMar>
        </w:tblPrEx>
        <w:trPr>
          <w:trHeight w:val="148"/>
          <w:jc w:val="center"/>
        </w:trPr>
        <w:tc>
          <w:tcPr>
            <w:tcW w:w="4535" w:type="dxa"/>
            <w:noWrap/>
            <w:vAlign w:val="bottom"/>
          </w:tcPr>
          <w:p>
            <w:pPr>
              <w:pStyle w:val="yTableNAm"/>
            </w:pPr>
            <w:r>
              <w:t>55774</w:t>
            </w:r>
          </w:p>
        </w:tc>
        <w:tc>
          <w:tcPr>
            <w:tcW w:w="1134" w:type="dxa"/>
            <w:noWrap/>
            <w:vAlign w:val="bottom"/>
          </w:tcPr>
          <w:p>
            <w:pPr>
              <w:pStyle w:val="yTableNAm"/>
            </w:pPr>
            <w:r>
              <w:t>131.20</w:t>
            </w:r>
          </w:p>
        </w:tc>
      </w:tr>
      <w:tr>
        <w:tblPrEx>
          <w:tblCellMar>
            <w:left w:w="108" w:type="dxa"/>
            <w:right w:w="108" w:type="dxa"/>
          </w:tblCellMar>
        </w:tblPrEx>
        <w:trPr>
          <w:trHeight w:val="148"/>
          <w:jc w:val="center"/>
        </w:trPr>
        <w:tc>
          <w:tcPr>
            <w:tcW w:w="4535" w:type="dxa"/>
            <w:noWrap/>
            <w:vAlign w:val="bottom"/>
          </w:tcPr>
          <w:p>
            <w:pPr>
              <w:pStyle w:val="yTableNAm"/>
            </w:pPr>
            <w:r>
              <w:t>55800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55802</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55804</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55806</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55808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55810</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55812</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55814</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55816</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55818</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55820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55822</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55824</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55826</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55828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55830</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55832</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55834</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55836</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55838</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55840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55842</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55844</w:t>
            </w:r>
          </w:p>
        </w:tc>
        <w:tc>
          <w:tcPr>
            <w:tcW w:w="1134" w:type="dxa"/>
            <w:noWrap/>
            <w:vAlign w:val="bottom"/>
          </w:tcPr>
          <w:p>
            <w:pPr>
              <w:pStyle w:val="yTableNAm"/>
            </w:pPr>
            <w:r>
              <w:t>176.40</w:t>
            </w:r>
          </w:p>
        </w:tc>
      </w:tr>
      <w:tr>
        <w:tblPrEx>
          <w:tblCellMar>
            <w:left w:w="108" w:type="dxa"/>
            <w:right w:w="108" w:type="dxa"/>
          </w:tblCellMar>
        </w:tblPrEx>
        <w:trPr>
          <w:trHeight w:val="148"/>
          <w:jc w:val="center"/>
        </w:trPr>
        <w:tc>
          <w:tcPr>
            <w:tcW w:w="4535" w:type="dxa"/>
            <w:noWrap/>
            <w:vAlign w:val="bottom"/>
          </w:tcPr>
          <w:p>
            <w:pPr>
              <w:pStyle w:val="yTableNAm"/>
            </w:pPr>
            <w:r>
              <w:t>55846</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55848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55850</w:t>
            </w:r>
          </w:p>
        </w:tc>
        <w:tc>
          <w:tcPr>
            <w:tcW w:w="1134" w:type="dxa"/>
            <w:noWrap/>
            <w:vAlign w:val="bottom"/>
          </w:tcPr>
          <w:p>
            <w:pPr>
              <w:pStyle w:val="yTableNAm"/>
            </w:pPr>
            <w:r>
              <w:t>308.65</w:t>
            </w:r>
          </w:p>
        </w:tc>
      </w:tr>
      <w:tr>
        <w:tblPrEx>
          <w:tblCellMar>
            <w:left w:w="108" w:type="dxa"/>
            <w:right w:w="108" w:type="dxa"/>
          </w:tblCellMar>
        </w:tblPrEx>
        <w:trPr>
          <w:trHeight w:val="148"/>
          <w:jc w:val="center"/>
        </w:trPr>
        <w:tc>
          <w:tcPr>
            <w:tcW w:w="4535" w:type="dxa"/>
            <w:noWrap/>
            <w:vAlign w:val="bottom"/>
          </w:tcPr>
          <w:p>
            <w:pPr>
              <w:pStyle w:val="yTableNAm"/>
            </w:pPr>
            <w:r>
              <w:t>55852</w:t>
            </w:r>
          </w:p>
        </w:tc>
        <w:tc>
          <w:tcPr>
            <w:tcW w:w="1134" w:type="dxa"/>
            <w:noWrap/>
            <w:vAlign w:val="bottom"/>
          </w:tcPr>
          <w:p>
            <w:pPr>
              <w:pStyle w:val="yTableNAm"/>
            </w:pPr>
            <w:r>
              <w:t>220.40</w:t>
            </w:r>
          </w:p>
        </w:tc>
      </w:tr>
      <w:tr>
        <w:tblPrEx>
          <w:tblCellMar>
            <w:left w:w="108" w:type="dxa"/>
            <w:right w:w="108" w:type="dxa"/>
          </w:tblCellMar>
        </w:tblPrEx>
        <w:trPr>
          <w:trHeight w:val="72"/>
          <w:jc w:val="center"/>
        </w:trPr>
        <w:tc>
          <w:tcPr>
            <w:tcW w:w="4535" w:type="dxa"/>
            <w:noWrap/>
            <w:vAlign w:val="bottom"/>
          </w:tcPr>
          <w:p>
            <w:pPr>
              <w:pStyle w:val="yTableNAm"/>
            </w:pPr>
            <w:r>
              <w:t>55854</w:t>
            </w:r>
          </w:p>
        </w:tc>
        <w:tc>
          <w:tcPr>
            <w:tcW w:w="1134" w:type="dxa"/>
            <w:noWrap/>
            <w:vAlign w:val="bottom"/>
          </w:tcPr>
          <w:p>
            <w:pPr>
              <w:pStyle w:val="yTableNAm"/>
            </w:pPr>
            <w:r>
              <w:t>76.40</w:t>
            </w:r>
          </w:p>
        </w:tc>
      </w:tr>
    </w:tbl>
    <w:p>
      <w:pPr>
        <w:pStyle w:val="yMiscellaneousBody"/>
        <w:keepNext/>
        <w:ind w:left="709"/>
      </w:pPr>
      <w:r>
        <w:t>COMPUTED TOMOGRAPHY —</w:t>
      </w:r>
      <w:r>
        <w:br/>
        <w:t>EXAMINATION AND REPORT</w:t>
      </w:r>
    </w:p>
    <w:tbl>
      <w:tblPr>
        <w:tblW w:w="0" w:type="auto"/>
        <w:jc w:val="center"/>
        <w:tblInd w:w="273"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rPr>
                <w:szCs w:val="22"/>
              </w:rPr>
            </w:pPr>
            <w:r>
              <w:rPr>
                <w:szCs w:val="22"/>
              </w:rPr>
              <w:t>361.75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rPr>
                <w:szCs w:val="22"/>
              </w:rPr>
            </w:pPr>
            <w:r>
              <w:rPr>
                <w:szCs w:val="22"/>
              </w:rPr>
              <w:t>463.70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rPr>
                <w:szCs w:val="22"/>
              </w:rPr>
            </w:pPr>
            <w:r>
              <w:rPr>
                <w:szCs w:val="22"/>
              </w:rPr>
              <w:t>467.55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rPr>
                <w:szCs w:val="22"/>
              </w:rPr>
            </w:pPr>
            <w:r>
              <w:rPr>
                <w:szCs w:val="22"/>
              </w:rPr>
              <w:t>463.70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rPr>
                <w:szCs w:val="22"/>
              </w:rPr>
            </w:pPr>
            <w:r>
              <w:rPr>
                <w:szCs w:val="22"/>
              </w:rPr>
              <w:t>537.90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rPr>
                <w:szCs w:val="22"/>
              </w:rPr>
            </w:pPr>
            <w:r>
              <w:rPr>
                <w:szCs w:val="22"/>
              </w:rPr>
              <w:t>417.35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rPr>
                <w:szCs w:val="22"/>
              </w:rPr>
            </w:pPr>
            <w:r>
              <w:rPr>
                <w:szCs w:val="22"/>
              </w:rPr>
              <w:t>624.80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rPr>
                <w:szCs w:val="22"/>
              </w:rPr>
            </w:pPr>
            <w:r>
              <w:rPr>
                <w:szCs w:val="22"/>
              </w:rPr>
              <w:t>417.35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rPr>
                <w:szCs w:val="22"/>
              </w:rPr>
            </w:pPr>
            <w:r>
              <w:rPr>
                <w:szCs w:val="22"/>
              </w:rPr>
              <w:t>624.80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56041</w:t>
            </w:r>
          </w:p>
        </w:tc>
        <w:tc>
          <w:tcPr>
            <w:tcW w:w="1134" w:type="dxa"/>
            <w:noWrap/>
            <w:vAlign w:val="bottom"/>
          </w:tcPr>
          <w:p>
            <w:pPr>
              <w:pStyle w:val="yTableNAm"/>
              <w:rPr>
                <w:szCs w:val="22"/>
              </w:rPr>
            </w:pPr>
            <w:r>
              <w:rPr>
                <w:szCs w:val="22"/>
              </w:rPr>
              <w:t>183.25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56047</w:t>
            </w:r>
          </w:p>
        </w:tc>
        <w:tc>
          <w:tcPr>
            <w:tcW w:w="1134" w:type="dxa"/>
            <w:noWrap/>
            <w:vAlign w:val="bottom"/>
          </w:tcPr>
          <w:p>
            <w:pPr>
              <w:pStyle w:val="yTableNAm"/>
              <w:rPr>
                <w:szCs w:val="22"/>
              </w:rPr>
            </w:pPr>
            <w:r>
              <w:rPr>
                <w:szCs w:val="22"/>
              </w:rPr>
              <w:t>234.05</w:t>
            </w:r>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56050</w:t>
            </w:r>
          </w:p>
        </w:tc>
        <w:tc>
          <w:tcPr>
            <w:tcW w:w="1134" w:type="dxa"/>
            <w:noWrap/>
            <w:vAlign w:val="bottom"/>
          </w:tcPr>
          <w:p>
            <w:pPr>
              <w:pStyle w:val="yTableNAm"/>
              <w:rPr>
                <w:szCs w:val="22"/>
              </w:rPr>
            </w:pPr>
            <w:r>
              <w:rPr>
                <w:szCs w:val="22"/>
              </w:rPr>
              <w:t>237.85</w:t>
            </w:r>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56053</w:t>
            </w:r>
          </w:p>
        </w:tc>
        <w:tc>
          <w:tcPr>
            <w:tcW w:w="1134" w:type="dxa"/>
            <w:noWrap/>
            <w:vAlign w:val="bottom"/>
          </w:tcPr>
          <w:p>
            <w:pPr>
              <w:pStyle w:val="yTableNAm"/>
              <w:rPr>
                <w:szCs w:val="22"/>
              </w:rPr>
            </w:pPr>
            <w:r>
              <w:rPr>
                <w:szCs w:val="22"/>
              </w:rPr>
              <w:t>237.85</w:t>
            </w:r>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56056</w:t>
            </w:r>
          </w:p>
        </w:tc>
        <w:tc>
          <w:tcPr>
            <w:tcW w:w="1134" w:type="dxa"/>
            <w:noWrap/>
            <w:vAlign w:val="bottom"/>
          </w:tcPr>
          <w:p>
            <w:pPr>
              <w:pStyle w:val="yTableNAm"/>
              <w:rPr>
                <w:szCs w:val="22"/>
              </w:rPr>
            </w:pPr>
            <w:r>
              <w:rPr>
                <w:szCs w:val="22"/>
              </w:rPr>
              <w:t>288.20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56062</w:t>
            </w:r>
          </w:p>
        </w:tc>
        <w:tc>
          <w:tcPr>
            <w:tcW w:w="1134" w:type="dxa"/>
            <w:noWrap/>
          </w:tcPr>
          <w:p>
            <w:pPr>
              <w:pStyle w:val="yTableNAm"/>
              <w:rPr>
                <w:szCs w:val="22"/>
              </w:rPr>
            </w:pPr>
            <w:r>
              <w:rPr>
                <w:szCs w:val="22"/>
              </w:rPr>
              <w:t>209.80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56068</w:t>
            </w:r>
          </w:p>
        </w:tc>
        <w:tc>
          <w:tcPr>
            <w:tcW w:w="1134" w:type="dxa"/>
            <w:noWrap/>
          </w:tcPr>
          <w:p>
            <w:pPr>
              <w:pStyle w:val="yTableNAm"/>
              <w:rPr>
                <w:szCs w:val="22"/>
              </w:rPr>
            </w:pPr>
            <w:r>
              <w:rPr>
                <w:szCs w:val="22"/>
              </w:rPr>
              <w:t>312.35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56070</w:t>
            </w:r>
          </w:p>
        </w:tc>
        <w:tc>
          <w:tcPr>
            <w:tcW w:w="1134" w:type="dxa"/>
            <w:noWrap/>
          </w:tcPr>
          <w:p>
            <w:pPr>
              <w:pStyle w:val="yTableNAm"/>
              <w:rPr>
                <w:szCs w:val="22"/>
              </w:rPr>
            </w:pPr>
            <w:r>
              <w:rPr>
                <w:szCs w:val="22"/>
              </w:rPr>
              <w:t>209.80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56076</w:t>
            </w:r>
          </w:p>
        </w:tc>
        <w:tc>
          <w:tcPr>
            <w:tcW w:w="1134" w:type="dxa"/>
            <w:noWrap/>
          </w:tcPr>
          <w:p>
            <w:pPr>
              <w:pStyle w:val="yTableNAm"/>
              <w:rPr>
                <w:szCs w:val="22"/>
              </w:rPr>
            </w:pPr>
            <w:r>
              <w:rPr>
                <w:szCs w:val="22"/>
              </w:rPr>
              <w:t>312.35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tcPr>
          <w:p>
            <w:pPr>
              <w:pStyle w:val="yTableNAm"/>
              <w:rPr>
                <w:szCs w:val="22"/>
              </w:rPr>
            </w:pPr>
            <w:r>
              <w:rPr>
                <w:szCs w:val="22"/>
              </w:rPr>
              <w:t>426.75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tcPr>
          <w:p>
            <w:pPr>
              <w:pStyle w:val="yTableNAm"/>
              <w:rPr>
                <w:szCs w:val="22"/>
              </w:rPr>
            </w:pPr>
            <w:r>
              <w:rPr>
                <w:szCs w:val="22"/>
              </w:rPr>
              <w:t>630.80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56141</w:t>
            </w:r>
          </w:p>
        </w:tc>
        <w:tc>
          <w:tcPr>
            <w:tcW w:w="1134" w:type="dxa"/>
            <w:noWrap/>
          </w:tcPr>
          <w:p>
            <w:pPr>
              <w:pStyle w:val="yTableNAm"/>
              <w:rPr>
                <w:szCs w:val="22"/>
              </w:rPr>
            </w:pPr>
            <w:r>
              <w:rPr>
                <w:szCs w:val="22"/>
              </w:rPr>
              <w:t>216.00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56147</w:t>
            </w:r>
          </w:p>
        </w:tc>
        <w:tc>
          <w:tcPr>
            <w:tcW w:w="1134" w:type="dxa"/>
            <w:noWrap/>
          </w:tcPr>
          <w:p>
            <w:pPr>
              <w:pStyle w:val="yTableNAm"/>
              <w:rPr>
                <w:szCs w:val="22"/>
              </w:rPr>
            </w:pPr>
            <w:r>
              <w:rPr>
                <w:szCs w:val="22"/>
              </w:rPr>
              <w:t>318.30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tcPr>
          <w:p>
            <w:pPr>
              <w:pStyle w:val="yTableNAm"/>
              <w:rPr>
                <w:szCs w:val="22"/>
              </w:rPr>
            </w:pPr>
            <w:r>
              <w:rPr>
                <w:szCs w:val="22"/>
              </w:rPr>
              <w:t>605.15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56227</w:t>
            </w:r>
          </w:p>
        </w:tc>
        <w:tc>
          <w:tcPr>
            <w:tcW w:w="1134" w:type="dxa"/>
            <w:noWrap/>
          </w:tcPr>
          <w:p>
            <w:pPr>
              <w:pStyle w:val="y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56228</w:t>
            </w:r>
          </w:p>
        </w:tc>
        <w:tc>
          <w:tcPr>
            <w:tcW w:w="1134" w:type="dxa"/>
            <w:noWrap/>
          </w:tcPr>
          <w:p>
            <w:pPr>
              <w:pStyle w:val="y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56229</w:t>
            </w:r>
          </w:p>
        </w:tc>
        <w:tc>
          <w:tcPr>
            <w:tcW w:w="1134" w:type="dxa"/>
            <w:noWrap/>
          </w:tcPr>
          <w:p>
            <w:pPr>
              <w:pStyle w:val="y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56230</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56231</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56232</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tcPr>
          <w:p>
            <w:pPr>
              <w:pStyle w:val="yTableNAm"/>
              <w:rPr>
                <w:szCs w:val="22"/>
              </w:rPr>
            </w:pPr>
            <w:r>
              <w:rPr>
                <w:szCs w:val="22"/>
              </w:rPr>
              <w:t>227.10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tcPr>
          <w:p>
            <w:pPr>
              <w:pStyle w:val="yTableNAm"/>
              <w:rPr>
                <w:szCs w:val="22"/>
              </w:rPr>
            </w:pPr>
            <w:r>
              <w:rPr>
                <w:szCs w:val="22"/>
              </w:rPr>
              <w:t>227.10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tcPr>
          <w:p>
            <w:pPr>
              <w:pStyle w:val="yTableNAm"/>
              <w:rPr>
                <w:szCs w:val="22"/>
              </w:rPr>
            </w:pPr>
            <w:r>
              <w:rPr>
                <w:szCs w:val="22"/>
              </w:rPr>
              <w:t>305.60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tcPr>
          <w:p>
            <w:pPr>
              <w:pStyle w:val="yTableNAm"/>
              <w:rPr>
                <w:szCs w:val="22"/>
              </w:rPr>
            </w:pPr>
            <w:r>
              <w:rPr>
                <w:szCs w:val="22"/>
              </w:rPr>
              <w:t>547.20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tcPr>
          <w:p>
            <w:pPr>
              <w:pStyle w:val="yTableNAm"/>
              <w:rPr>
                <w:szCs w:val="22"/>
              </w:rPr>
            </w:pPr>
            <w:r>
              <w:rPr>
                <w:szCs w:val="22"/>
              </w:rPr>
              <w:t>741.80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tcPr>
          <w:p>
            <w:pPr>
              <w:pStyle w:val="yTableNAm"/>
              <w:rPr>
                <w:szCs w:val="22"/>
              </w:rPr>
            </w:pPr>
            <w:r>
              <w:rPr>
                <w:szCs w:val="22"/>
              </w:rPr>
              <w:t>277.25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tcPr>
          <w:p>
            <w:pPr>
              <w:pStyle w:val="yTableNAm"/>
              <w:rPr>
                <w:szCs w:val="22"/>
              </w:rPr>
            </w:pPr>
            <w:r>
              <w:rPr>
                <w:szCs w:val="22"/>
              </w:rPr>
              <w:t>374.65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tcPr>
          <w:p>
            <w:pPr>
              <w:pStyle w:val="yTableNAm"/>
              <w:rPr>
                <w:szCs w:val="22"/>
              </w:rPr>
            </w:pPr>
            <w:r>
              <w:rPr>
                <w:szCs w:val="22"/>
              </w:rPr>
              <w:t>463.70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tcPr>
          <w:p>
            <w:pPr>
              <w:pStyle w:val="yTableNAm"/>
              <w:rPr>
                <w:szCs w:val="22"/>
              </w:rPr>
            </w:pPr>
            <w:r>
              <w:rPr>
                <w:szCs w:val="22"/>
              </w:rPr>
              <w:t>667.75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tcPr>
          <w:p>
            <w:pPr>
              <w:pStyle w:val="yTableNAm"/>
              <w:rPr>
                <w:szCs w:val="22"/>
              </w:rPr>
            </w:pPr>
            <w:r>
              <w:rPr>
                <w:szCs w:val="22"/>
              </w:rPr>
              <w:t>463.70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tcPr>
          <w:p>
            <w:pPr>
              <w:pStyle w:val="yTableNAm"/>
              <w:rPr>
                <w:szCs w:val="22"/>
              </w:rPr>
            </w:pPr>
            <w:r>
              <w:rPr>
                <w:szCs w:val="22"/>
              </w:rPr>
              <w:t>667.75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tcPr>
          <w:p>
            <w:pPr>
              <w:pStyle w:val="yTableNAm"/>
              <w:rPr>
                <w:szCs w:val="22"/>
              </w:rPr>
            </w:pPr>
            <w:r>
              <w:rPr>
                <w:szCs w:val="22"/>
              </w:rPr>
              <w:t>235.10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tcPr>
          <w:p>
            <w:pPr>
              <w:pStyle w:val="yTableNAm"/>
              <w:rPr>
                <w:szCs w:val="22"/>
              </w:rPr>
            </w:pPr>
            <w:r>
              <w:rPr>
                <w:szCs w:val="22"/>
              </w:rPr>
              <w:t>336.60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tcPr>
          <w:p>
            <w:pPr>
              <w:pStyle w:val="yTableNAm"/>
              <w:rPr>
                <w:szCs w:val="22"/>
              </w:rPr>
            </w:pPr>
            <w:r>
              <w:rPr>
                <w:szCs w:val="22"/>
              </w:rPr>
              <w:t>235.10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56452</w:t>
            </w:r>
          </w:p>
        </w:tc>
        <w:tc>
          <w:tcPr>
            <w:tcW w:w="1134" w:type="dxa"/>
            <w:noWrap/>
          </w:tcPr>
          <w:p>
            <w:pPr>
              <w:pStyle w:val="yTableNAm"/>
              <w:rPr>
                <w:szCs w:val="22"/>
              </w:rPr>
            </w:pPr>
            <w:r>
              <w:rPr>
                <w:szCs w:val="22"/>
              </w:rPr>
              <w:t>336.60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tcPr>
          <w:p>
            <w:pPr>
              <w:pStyle w:val="yTableNAm"/>
              <w:rPr>
                <w:szCs w:val="22"/>
              </w:rPr>
            </w:pPr>
            <w:r>
              <w:rPr>
                <w:szCs w:val="22"/>
              </w:rPr>
              <w:t>714.15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tcPr>
          <w:p>
            <w:pPr>
              <w:pStyle w:val="yTableNAm"/>
              <w:rPr>
                <w:szCs w:val="22"/>
              </w:rPr>
            </w:pPr>
            <w:r>
              <w:rPr>
                <w:szCs w:val="22"/>
              </w:rPr>
              <w:t>890.30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tcPr>
          <w:p>
            <w:pPr>
              <w:pStyle w:val="yTableNAm"/>
              <w:rPr>
                <w:szCs w:val="22"/>
              </w:rPr>
            </w:pPr>
            <w:r>
              <w:rPr>
                <w:szCs w:val="22"/>
              </w:rPr>
              <w:t>358.20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tcPr>
          <w:p>
            <w:pPr>
              <w:pStyle w:val="yTableNAm"/>
              <w:rPr>
                <w:szCs w:val="22"/>
              </w:rPr>
            </w:pPr>
            <w:r>
              <w:rPr>
                <w:szCs w:val="22"/>
              </w:rPr>
              <w:t>452.15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56619</w:t>
            </w:r>
          </w:p>
        </w:tc>
        <w:tc>
          <w:tcPr>
            <w:tcW w:w="1134" w:type="dxa"/>
            <w:noWrap/>
          </w:tcPr>
          <w:p>
            <w:pPr>
              <w:pStyle w:val="yTableNAm"/>
              <w:rPr>
                <w:szCs w:val="22"/>
              </w:rPr>
            </w:pPr>
            <w:r>
              <w:rPr>
                <w:szCs w:val="22"/>
              </w:rPr>
              <w:t>408.05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56625</w:t>
            </w:r>
          </w:p>
        </w:tc>
        <w:tc>
          <w:tcPr>
            <w:tcW w:w="1134" w:type="dxa"/>
            <w:noWrap/>
          </w:tcPr>
          <w:p>
            <w:pPr>
              <w:pStyle w:val="yTableNAm"/>
              <w:rPr>
                <w:szCs w:val="22"/>
              </w:rPr>
            </w:pPr>
            <w:r>
              <w:rPr>
                <w:szCs w:val="22"/>
              </w:rPr>
              <w:t>620.70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tcPr>
          <w:p>
            <w:pPr>
              <w:pStyle w:val="yTableNAm"/>
              <w:rPr>
                <w:szCs w:val="22"/>
              </w:rPr>
            </w:pPr>
            <w:r>
              <w:rPr>
                <w:szCs w:val="22"/>
              </w:rPr>
              <w:t>207.95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tcPr>
          <w:p>
            <w:pPr>
              <w:pStyle w:val="yTableNAm"/>
              <w:rPr>
                <w:szCs w:val="22"/>
              </w:rPr>
            </w:pPr>
            <w:r>
              <w:rPr>
                <w:szCs w:val="22"/>
              </w:rPr>
              <w:t>310.60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tcPr>
          <w:p>
            <w:pPr>
              <w:pStyle w:val="yTableNAm"/>
              <w:rPr>
                <w:szCs w:val="22"/>
              </w:rPr>
            </w:pPr>
            <w:r>
              <w:rPr>
                <w:szCs w:val="22"/>
              </w:rPr>
              <w:t>865.50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tcPr>
          <w:p>
            <w:pPr>
              <w:pStyle w:val="yTableNAm"/>
              <w:rPr>
                <w:szCs w:val="22"/>
              </w:rPr>
            </w:pPr>
            <w:r>
              <w:rPr>
                <w:szCs w:val="22"/>
              </w:rPr>
              <w:t>1 038.85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tcPr>
          <w:p>
            <w:pPr>
              <w:pStyle w:val="yTableNAm"/>
              <w:rPr>
                <w:szCs w:val="22"/>
              </w:rPr>
            </w:pPr>
            <w:r>
              <w:rPr>
                <w:szCs w:val="22"/>
              </w:rPr>
              <w:t>432.75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tcPr>
          <w:p>
            <w:pPr>
              <w:pStyle w:val="yTableNAm"/>
              <w:rPr>
                <w:szCs w:val="22"/>
              </w:rPr>
            </w:pPr>
            <w:r>
              <w:rPr>
                <w:szCs w:val="22"/>
              </w:rPr>
              <w:t>526.55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tcPr>
          <w:p>
            <w:pPr>
              <w:pStyle w:val="yTableNAm"/>
              <w:rPr>
                <w:szCs w:val="22"/>
              </w:rPr>
            </w:pPr>
            <w:r>
              <w:rPr>
                <w:szCs w:val="22"/>
              </w:rPr>
              <w:t>865.65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rPr>
                <w:szCs w:val="22"/>
              </w:rPr>
            </w:pPr>
            <w:r>
              <w:rPr>
                <w:szCs w:val="22"/>
              </w:rPr>
              <w:t>1 053.15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rPr>
                <w:szCs w:val="22"/>
              </w:rPr>
            </w:pPr>
            <w:r>
              <w:rPr>
                <w:szCs w:val="22"/>
              </w:rPr>
              <w:t>432.85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rPr>
                <w:szCs w:val="22"/>
              </w:rPr>
            </w:pPr>
            <w:r>
              <w:rPr>
                <w:szCs w:val="22"/>
              </w:rPr>
              <w:t>526.60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tcPr>
          <w:p>
            <w:pPr>
              <w:pStyle w:val="yTableNAm"/>
              <w:rPr>
                <w:szCs w:val="22"/>
              </w:rPr>
            </w:pPr>
            <w:r>
              <w:rPr>
                <w:szCs w:val="22"/>
              </w:rPr>
              <w:t>287.85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tcPr>
          <w:p>
            <w:pPr>
              <w:pStyle w:val="yTableNAm"/>
              <w:rPr>
                <w:szCs w:val="22"/>
              </w:rPr>
            </w:pPr>
            <w:r>
              <w:rPr>
                <w:szCs w:val="22"/>
              </w:rPr>
              <w:t>143.75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tcPr>
          <w:p>
            <w:pPr>
              <w:pStyle w:val="yTableNAm"/>
              <w:rPr>
                <w:szCs w:val="22"/>
              </w:rPr>
            </w:pPr>
            <w:r>
              <w:rPr>
                <w:szCs w:val="22"/>
              </w:rPr>
              <w:t>871.85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tcPr>
          <w:p>
            <w:pPr>
              <w:pStyle w:val="yTableNAm"/>
              <w:rPr>
                <w:szCs w:val="22"/>
              </w:rPr>
            </w:pPr>
            <w:r>
              <w:rPr>
                <w:szCs w:val="22"/>
              </w:rPr>
              <w:t>448.20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57350</w:t>
            </w:r>
          </w:p>
        </w:tc>
        <w:tc>
          <w:tcPr>
            <w:tcW w:w="1134" w:type="dxa"/>
            <w:noWrap/>
          </w:tcPr>
          <w:p>
            <w:pPr>
              <w:pStyle w:val="yTableNAm"/>
              <w:rPr>
                <w:szCs w:val="22"/>
              </w:rPr>
            </w:pPr>
            <w:r>
              <w:rPr>
                <w:szCs w:val="22"/>
              </w:rPr>
              <w:t>946.00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tcPr>
          <w:p>
            <w:pPr>
              <w:pStyle w:val="yTableNAm"/>
              <w:rPr>
                <w:szCs w:val="22"/>
              </w:rPr>
            </w:pPr>
            <w:r>
              <w:rPr>
                <w:szCs w:val="22"/>
              </w:rPr>
              <w:t>946.00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tcPr>
          <w:p>
            <w:pPr>
              <w:pStyle w:val="yTableNAm"/>
              <w:rPr>
                <w:szCs w:val="22"/>
              </w:rPr>
            </w:pPr>
            <w:r>
              <w:rPr>
                <w:szCs w:val="22"/>
              </w:rPr>
              <w:t>490.00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tcPr>
          <w:p>
            <w:pPr>
              <w:pStyle w:val="yTableNAm"/>
              <w:rPr>
                <w:szCs w:val="22"/>
              </w:rPr>
            </w:pPr>
            <w:r>
              <w:rPr>
                <w:szCs w:val="22"/>
              </w:rPr>
              <w:t>490.00</w:t>
            </w:r>
          </w:p>
        </w:tc>
      </w:tr>
    </w:tbl>
    <w:p>
      <w:pPr>
        <w:pStyle w:val="yMiscellaneousBody"/>
        <w:keepNext/>
        <w:ind w:left="709"/>
      </w:pPr>
      <w:r>
        <w:t>DIAGNOSTIC RADIOLOGY</w:t>
      </w:r>
    </w:p>
    <w:tbl>
      <w:tblPr>
        <w:tblW w:w="0" w:type="auto"/>
        <w:jc w:val="center"/>
        <w:tblInd w:w="299"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keepNext/>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tcPr>
          <w:p>
            <w:pPr>
              <w:pStyle w:val="yTableNAm"/>
              <w:rPr>
                <w:szCs w:val="22"/>
              </w:rPr>
            </w:pPr>
            <w:r>
              <w:rPr>
                <w:szCs w:val="22"/>
              </w:rPr>
              <w:t>63.65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57509</w:t>
            </w:r>
          </w:p>
        </w:tc>
        <w:tc>
          <w:tcPr>
            <w:tcW w:w="1134" w:type="dxa"/>
            <w:noWrap/>
          </w:tcPr>
          <w:p>
            <w:pPr>
              <w:pStyle w:val="yTableNAm"/>
              <w:rPr>
                <w:szCs w:val="22"/>
              </w:rPr>
            </w:pPr>
            <w:r>
              <w:rPr>
                <w:szCs w:val="22"/>
              </w:rPr>
              <w:t>85.15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57512</w:t>
            </w:r>
          </w:p>
        </w:tc>
        <w:tc>
          <w:tcPr>
            <w:tcW w:w="1134" w:type="dxa"/>
            <w:noWrap/>
          </w:tcPr>
          <w:p>
            <w:pPr>
              <w:pStyle w:val="yTableNAm"/>
              <w:rPr>
                <w:szCs w:val="22"/>
              </w:rPr>
            </w:pPr>
            <w:r>
              <w:rPr>
                <w:szCs w:val="22"/>
              </w:rPr>
              <w:t>86.80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57515</w:t>
            </w:r>
          </w:p>
        </w:tc>
        <w:tc>
          <w:tcPr>
            <w:tcW w:w="1134" w:type="dxa"/>
            <w:noWrap/>
          </w:tcPr>
          <w:p>
            <w:pPr>
              <w:pStyle w:val="yTableNAm"/>
              <w:rPr>
                <w:szCs w:val="22"/>
              </w:rPr>
            </w:pPr>
            <w:r>
              <w:rPr>
                <w:szCs w:val="22"/>
              </w:rPr>
              <w:t>115.60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57518</w:t>
            </w:r>
          </w:p>
        </w:tc>
        <w:tc>
          <w:tcPr>
            <w:tcW w:w="1134" w:type="dxa"/>
            <w:noWrap/>
          </w:tcPr>
          <w:p>
            <w:pPr>
              <w:pStyle w:val="yTableNAm"/>
              <w:rPr>
                <w:szCs w:val="22"/>
              </w:rPr>
            </w:pPr>
            <w:r>
              <w:rPr>
                <w:szCs w:val="22"/>
              </w:rPr>
              <w:t>69.50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57521</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57524</w:t>
            </w:r>
          </w:p>
        </w:tc>
        <w:tc>
          <w:tcPr>
            <w:tcW w:w="1134" w:type="dxa"/>
            <w:noWrap/>
          </w:tcPr>
          <w:p>
            <w:pPr>
              <w:pStyle w:val="yTableNAm"/>
              <w:rPr>
                <w:szCs w:val="22"/>
              </w:rPr>
            </w:pPr>
            <w:r>
              <w:rPr>
                <w:szCs w:val="22"/>
              </w:rPr>
              <w:t>105.90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57527</w:t>
            </w:r>
          </w:p>
        </w:tc>
        <w:tc>
          <w:tcPr>
            <w:tcW w:w="1134" w:type="dxa"/>
            <w:noWrap/>
          </w:tcPr>
          <w:p>
            <w:pPr>
              <w:pStyle w:val="yTableNAm"/>
              <w:rPr>
                <w:szCs w:val="22"/>
              </w:rPr>
            </w:pPr>
            <w:r>
              <w:rPr>
                <w:szCs w:val="22"/>
              </w:rPr>
              <w:t>140.90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57700</w:t>
            </w:r>
          </w:p>
        </w:tc>
        <w:tc>
          <w:tcPr>
            <w:tcW w:w="1134" w:type="dxa"/>
            <w:noWrap/>
          </w:tcPr>
          <w:p>
            <w:pPr>
              <w:pStyle w:val="yTableNAm"/>
              <w:rPr>
                <w:szCs w:val="22"/>
              </w:rPr>
            </w:pPr>
            <w:r>
              <w:rPr>
                <w:szCs w:val="22"/>
              </w:rPr>
              <w:t>86.80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57703</w:t>
            </w:r>
          </w:p>
        </w:tc>
        <w:tc>
          <w:tcPr>
            <w:tcW w:w="1134" w:type="dxa"/>
            <w:noWrap/>
          </w:tcPr>
          <w:p>
            <w:pPr>
              <w:pStyle w:val="yTableNAm"/>
              <w:rPr>
                <w:szCs w:val="22"/>
              </w:rPr>
            </w:pPr>
            <w:r>
              <w:rPr>
                <w:szCs w:val="22"/>
              </w:rPr>
              <w:t>115.60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57706</w:t>
            </w:r>
          </w:p>
        </w:tc>
        <w:tc>
          <w:tcPr>
            <w:tcW w:w="1134" w:type="dxa"/>
            <w:noWrap/>
          </w:tcPr>
          <w:p>
            <w:pPr>
              <w:pStyle w:val="yTableNAm"/>
              <w:rPr>
                <w:szCs w:val="22"/>
              </w:rPr>
            </w:pPr>
            <w:r>
              <w:rPr>
                <w:szCs w:val="22"/>
              </w:rPr>
              <w:t>69.50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57709</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57712</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57715</w:t>
            </w:r>
          </w:p>
        </w:tc>
        <w:tc>
          <w:tcPr>
            <w:tcW w:w="1134" w:type="dxa"/>
            <w:noWrap/>
          </w:tcPr>
          <w:p>
            <w:pPr>
              <w:pStyle w:val="yTableNAm"/>
              <w:rPr>
                <w:szCs w:val="22"/>
              </w:rPr>
            </w:pPr>
            <w:r>
              <w:rPr>
                <w:szCs w:val="22"/>
              </w:rPr>
              <w:t>130.55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57721</w:t>
            </w:r>
          </w:p>
        </w:tc>
        <w:tc>
          <w:tcPr>
            <w:tcW w:w="1134" w:type="dxa"/>
            <w:noWrap/>
          </w:tcPr>
          <w:p>
            <w:pPr>
              <w:pStyle w:val="yTableNAm"/>
              <w:rPr>
                <w:szCs w:val="22"/>
              </w:rPr>
            </w:pPr>
            <w:r>
              <w:rPr>
                <w:szCs w:val="22"/>
              </w:rPr>
              <w:t>212.55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57901</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57902</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57903</w:t>
            </w:r>
          </w:p>
        </w:tc>
        <w:tc>
          <w:tcPr>
            <w:tcW w:w="1134" w:type="dxa"/>
            <w:noWrap/>
          </w:tcPr>
          <w:p>
            <w:pPr>
              <w:pStyle w:val="yTableNAm"/>
              <w:rPr>
                <w:szCs w:val="22"/>
              </w:rPr>
            </w:pPr>
            <w:r>
              <w:rPr>
                <w:szCs w:val="22"/>
              </w:rPr>
              <w:t>101.25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57906</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57909</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57912</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57915</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57918</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57921</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57924</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57927</w:t>
            </w:r>
          </w:p>
        </w:tc>
        <w:tc>
          <w:tcPr>
            <w:tcW w:w="1134" w:type="dxa"/>
            <w:noWrap/>
          </w:tcPr>
          <w:p>
            <w:pPr>
              <w:pStyle w:val="yTableNAm"/>
              <w:rPr>
                <w:szCs w:val="22"/>
              </w:rPr>
            </w:pPr>
            <w:r>
              <w:rPr>
                <w:szCs w:val="22"/>
              </w:rPr>
              <w:t>106.20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57930</w:t>
            </w:r>
          </w:p>
        </w:tc>
        <w:tc>
          <w:tcPr>
            <w:tcW w:w="1134" w:type="dxa"/>
            <w:noWrap/>
          </w:tcPr>
          <w:p>
            <w:pPr>
              <w:pStyle w:val="yTableNAm"/>
              <w:rPr>
                <w:szCs w:val="22"/>
              </w:rPr>
            </w:pPr>
            <w:r>
              <w:rPr>
                <w:szCs w:val="22"/>
              </w:rPr>
              <w:t>70.50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57933</w:t>
            </w:r>
          </w:p>
        </w:tc>
        <w:tc>
          <w:tcPr>
            <w:tcW w:w="1134" w:type="dxa"/>
            <w:noWrap/>
          </w:tcPr>
          <w:p>
            <w:pPr>
              <w:pStyle w:val="yTableNAm"/>
              <w:rPr>
                <w:szCs w:val="22"/>
              </w:rPr>
            </w:pPr>
            <w:r>
              <w:rPr>
                <w:szCs w:val="22"/>
              </w:rPr>
              <w:t>167.60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57939</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57942</w:t>
            </w:r>
          </w:p>
        </w:tc>
        <w:tc>
          <w:tcPr>
            <w:tcW w:w="1134" w:type="dxa"/>
            <w:noWrap/>
          </w:tcPr>
          <w:p>
            <w:pPr>
              <w:pStyle w:val="yTableNAm"/>
              <w:rPr>
                <w:szCs w:val="22"/>
              </w:rPr>
            </w:pPr>
            <w:r>
              <w:rPr>
                <w:szCs w:val="22"/>
              </w:rPr>
              <w:t>106.20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57945</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57960</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57963</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57966</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57969</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58100</w:t>
            </w:r>
          </w:p>
        </w:tc>
        <w:tc>
          <w:tcPr>
            <w:tcW w:w="1134" w:type="dxa"/>
            <w:noWrap/>
          </w:tcPr>
          <w:p>
            <w:pPr>
              <w:pStyle w:val="yTableNAm"/>
              <w:rPr>
                <w:szCs w:val="22"/>
              </w:rPr>
            </w:pPr>
            <w:r>
              <w:rPr>
                <w:szCs w:val="22"/>
              </w:rPr>
              <w:t>143.75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58103</w:t>
            </w:r>
          </w:p>
        </w:tc>
        <w:tc>
          <w:tcPr>
            <w:tcW w:w="1134" w:type="dxa"/>
            <w:noWrap/>
          </w:tcPr>
          <w:p>
            <w:pPr>
              <w:pStyle w:val="yTableNAm"/>
              <w:rPr>
                <w:szCs w:val="22"/>
              </w:rPr>
            </w:pPr>
            <w:r>
              <w:rPr>
                <w:szCs w:val="22"/>
              </w:rPr>
              <w:t>118.05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58106</w:t>
            </w:r>
          </w:p>
        </w:tc>
        <w:tc>
          <w:tcPr>
            <w:tcW w:w="1134" w:type="dxa"/>
            <w:noWrap/>
          </w:tcPr>
          <w:p>
            <w:pPr>
              <w:pStyle w:val="yTableNAm"/>
              <w:rPr>
                <w:szCs w:val="22"/>
              </w:rPr>
            </w:pPr>
            <w:r>
              <w:rPr>
                <w:szCs w:val="22"/>
              </w:rPr>
              <w:t>164.90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58108</w:t>
            </w:r>
          </w:p>
        </w:tc>
        <w:tc>
          <w:tcPr>
            <w:tcW w:w="1134" w:type="dxa"/>
            <w:noWrap/>
          </w:tcPr>
          <w:p>
            <w:pPr>
              <w:pStyle w:val="yTableNAm"/>
              <w:rPr>
                <w:szCs w:val="22"/>
              </w:rPr>
            </w:pPr>
            <w:r>
              <w:rPr>
                <w:szCs w:val="22"/>
              </w:rPr>
              <w:t>284.65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58109</w:t>
            </w:r>
          </w:p>
        </w:tc>
        <w:tc>
          <w:tcPr>
            <w:tcW w:w="1134" w:type="dxa"/>
            <w:noWrap/>
          </w:tcPr>
          <w:p>
            <w:pPr>
              <w:pStyle w:val="yTableNAm"/>
              <w:rPr>
                <w:szCs w:val="22"/>
              </w:rPr>
            </w:pPr>
            <w:r>
              <w:rPr>
                <w:szCs w:val="22"/>
              </w:rPr>
              <w:t>100.75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58112</w:t>
            </w:r>
          </w:p>
        </w:tc>
        <w:tc>
          <w:tcPr>
            <w:tcW w:w="1134" w:type="dxa"/>
            <w:noWrap/>
          </w:tcPr>
          <w:p>
            <w:pPr>
              <w:pStyle w:val="yTableNAm"/>
              <w:rPr>
                <w:szCs w:val="22"/>
              </w:rPr>
            </w:pPr>
            <w:r>
              <w:rPr>
                <w:szCs w:val="22"/>
              </w:rPr>
              <w:t>208.35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58115</w:t>
            </w:r>
          </w:p>
        </w:tc>
        <w:tc>
          <w:tcPr>
            <w:tcW w:w="1134" w:type="dxa"/>
            <w:noWrap/>
          </w:tcPr>
          <w:p>
            <w:pPr>
              <w:pStyle w:val="yTableNAm"/>
              <w:rPr>
                <w:szCs w:val="22"/>
              </w:rPr>
            </w:pPr>
            <w:r>
              <w:rPr>
                <w:szCs w:val="22"/>
              </w:rPr>
              <w:t>284.65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58300</w:t>
            </w:r>
          </w:p>
        </w:tc>
        <w:tc>
          <w:tcPr>
            <w:tcW w:w="1134" w:type="dxa"/>
            <w:noWrap/>
          </w:tcPr>
          <w:p>
            <w:pPr>
              <w:pStyle w:val="yTableNAm"/>
              <w:rPr>
                <w:szCs w:val="22"/>
              </w:rPr>
            </w:pPr>
            <w:r>
              <w:rPr>
                <w:szCs w:val="22"/>
              </w:rPr>
              <w:t>85.95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58306</w:t>
            </w:r>
          </w:p>
        </w:tc>
        <w:tc>
          <w:tcPr>
            <w:tcW w:w="1134" w:type="dxa"/>
            <w:noWrap/>
          </w:tcPr>
          <w:p>
            <w:pPr>
              <w:pStyle w:val="yTableNAm"/>
              <w:rPr>
                <w:szCs w:val="22"/>
              </w:rPr>
            </w:pPr>
            <w:r>
              <w:rPr>
                <w:szCs w:val="22"/>
              </w:rPr>
              <w:t>191.35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58500</w:t>
            </w:r>
          </w:p>
        </w:tc>
        <w:tc>
          <w:tcPr>
            <w:tcW w:w="1134" w:type="dxa"/>
            <w:noWrap/>
          </w:tcPr>
          <w:p>
            <w:pPr>
              <w:pStyle w:val="yTableNAm"/>
              <w:rPr>
                <w:szCs w:val="22"/>
              </w:rPr>
            </w:pPr>
            <w:r>
              <w:rPr>
                <w:szCs w:val="22"/>
              </w:rPr>
              <w:t>75.70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58503</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58506</w:t>
            </w:r>
          </w:p>
        </w:tc>
        <w:tc>
          <w:tcPr>
            <w:tcW w:w="1134" w:type="dxa"/>
            <w:noWrap/>
          </w:tcPr>
          <w:p>
            <w:pPr>
              <w:pStyle w:val="yTableNAm"/>
              <w:rPr>
                <w:szCs w:val="22"/>
              </w:rPr>
            </w:pPr>
            <w:r>
              <w:rPr>
                <w:szCs w:val="22"/>
              </w:rPr>
              <w:t>130.35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58509</w:t>
            </w:r>
          </w:p>
        </w:tc>
        <w:tc>
          <w:tcPr>
            <w:tcW w:w="1134" w:type="dxa"/>
            <w:noWrap/>
          </w:tcPr>
          <w:p>
            <w:pPr>
              <w:pStyle w:val="yTableNAm"/>
              <w:rPr>
                <w:szCs w:val="22"/>
              </w:rPr>
            </w:pPr>
            <w:r>
              <w:rPr>
                <w:szCs w:val="22"/>
              </w:rPr>
              <w:t>85.15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58521</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58524</w:t>
            </w:r>
          </w:p>
        </w:tc>
        <w:tc>
          <w:tcPr>
            <w:tcW w:w="1134" w:type="dxa"/>
            <w:noWrap/>
          </w:tcPr>
          <w:p>
            <w:pPr>
              <w:pStyle w:val="yTableNAm"/>
              <w:rPr>
                <w:szCs w:val="22"/>
              </w:rPr>
            </w:pPr>
            <w:r>
              <w:rPr>
                <w:szCs w:val="22"/>
              </w:rPr>
              <w:t>121.05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58527</w:t>
            </w:r>
          </w:p>
        </w:tc>
        <w:tc>
          <w:tcPr>
            <w:tcW w:w="1134" w:type="dxa"/>
            <w:noWrap/>
          </w:tcPr>
          <w:p>
            <w:pPr>
              <w:pStyle w:val="yTableNAm"/>
              <w:rPr>
                <w:szCs w:val="22"/>
              </w:rPr>
            </w:pPr>
            <w:r>
              <w:rPr>
                <w:szCs w:val="22"/>
              </w:rPr>
              <w:t>148.60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58700</w:t>
            </w:r>
          </w:p>
        </w:tc>
        <w:tc>
          <w:tcPr>
            <w:tcW w:w="1134" w:type="dxa"/>
            <w:noWrap/>
          </w:tcPr>
          <w:p>
            <w:pPr>
              <w:pStyle w:val="yTableNAm"/>
              <w:rPr>
                <w:szCs w:val="22"/>
              </w:rPr>
            </w:pPr>
            <w:r>
              <w:rPr>
                <w:szCs w:val="22"/>
              </w:rPr>
              <w:t>98.80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58706</w:t>
            </w:r>
          </w:p>
        </w:tc>
        <w:tc>
          <w:tcPr>
            <w:tcW w:w="1134" w:type="dxa"/>
            <w:noWrap/>
          </w:tcPr>
          <w:p>
            <w:pPr>
              <w:pStyle w:val="yTableNAm"/>
              <w:rPr>
                <w:szCs w:val="22"/>
              </w:rPr>
            </w:pPr>
            <w:r>
              <w:rPr>
                <w:szCs w:val="22"/>
              </w:rPr>
              <w:t>338.20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58715</w:t>
            </w:r>
          </w:p>
        </w:tc>
        <w:tc>
          <w:tcPr>
            <w:tcW w:w="1134" w:type="dxa"/>
            <w:noWrap/>
          </w:tcPr>
          <w:p>
            <w:pPr>
              <w:pStyle w:val="yTableNAm"/>
              <w:rPr>
                <w:szCs w:val="22"/>
              </w:rPr>
            </w:pPr>
            <w:r>
              <w:rPr>
                <w:szCs w:val="22"/>
              </w:rPr>
              <w:t>324.65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58718</w:t>
            </w:r>
          </w:p>
        </w:tc>
        <w:tc>
          <w:tcPr>
            <w:tcW w:w="1134" w:type="dxa"/>
            <w:noWrap/>
          </w:tcPr>
          <w:p>
            <w:pPr>
              <w:pStyle w:val="yTableNAm"/>
              <w:rPr>
                <w:szCs w:val="22"/>
              </w:rPr>
            </w:pPr>
            <w:r>
              <w:rPr>
                <w:szCs w:val="22"/>
              </w:rPr>
              <w:t>270.30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58721</w:t>
            </w:r>
          </w:p>
        </w:tc>
        <w:tc>
          <w:tcPr>
            <w:tcW w:w="1134" w:type="dxa"/>
            <w:noWrap/>
          </w:tcPr>
          <w:p>
            <w:pPr>
              <w:pStyle w:val="yTableNAm"/>
              <w:rPr>
                <w:szCs w:val="22"/>
              </w:rPr>
            </w:pPr>
            <w:r>
              <w:rPr>
                <w:szCs w:val="22"/>
              </w:rPr>
              <w:t>296.20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58900</w:t>
            </w:r>
          </w:p>
        </w:tc>
        <w:tc>
          <w:tcPr>
            <w:tcW w:w="1134" w:type="dxa"/>
            <w:noWrap/>
          </w:tcPr>
          <w:p>
            <w:pPr>
              <w:pStyle w:val="yTableNAm"/>
              <w:rPr>
                <w:szCs w:val="22"/>
              </w:rPr>
            </w:pPr>
            <w:r>
              <w:rPr>
                <w:szCs w:val="22"/>
              </w:rPr>
              <w:t>76.40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58903</w:t>
            </w:r>
          </w:p>
        </w:tc>
        <w:tc>
          <w:tcPr>
            <w:tcW w:w="1134" w:type="dxa"/>
            <w:noWrap/>
          </w:tcPr>
          <w:p>
            <w:pPr>
              <w:pStyle w:val="yTableNAm"/>
              <w:rPr>
                <w:szCs w:val="22"/>
              </w:rPr>
            </w:pPr>
            <w:r>
              <w:rPr>
                <w:szCs w:val="22"/>
              </w:rPr>
              <w:t>101.90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58909</w:t>
            </w:r>
          </w:p>
        </w:tc>
        <w:tc>
          <w:tcPr>
            <w:tcW w:w="1134" w:type="dxa"/>
            <w:noWrap/>
          </w:tcPr>
          <w:p>
            <w:pPr>
              <w:pStyle w:val="yTableNAm"/>
              <w:rPr>
                <w:szCs w:val="22"/>
              </w:rPr>
            </w:pPr>
            <w:r>
              <w:rPr>
                <w:szCs w:val="22"/>
              </w:rPr>
              <w:t>192.60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58912</w:t>
            </w:r>
          </w:p>
        </w:tc>
        <w:tc>
          <w:tcPr>
            <w:tcW w:w="1134" w:type="dxa"/>
            <w:noWrap/>
          </w:tcPr>
          <w:p>
            <w:pPr>
              <w:pStyle w:val="yTableNAm"/>
              <w:rPr>
                <w:szCs w:val="22"/>
              </w:rPr>
            </w:pPr>
            <w:r>
              <w:rPr>
                <w:szCs w:val="22"/>
              </w:rPr>
              <w:t>236.20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58915</w:t>
            </w:r>
          </w:p>
        </w:tc>
        <w:tc>
          <w:tcPr>
            <w:tcW w:w="1134" w:type="dxa"/>
            <w:noWrap/>
          </w:tcPr>
          <w:p>
            <w:pPr>
              <w:pStyle w:val="yTableNAm"/>
              <w:rPr>
                <w:szCs w:val="22"/>
              </w:rPr>
            </w:pPr>
            <w:r>
              <w:rPr>
                <w:szCs w:val="22"/>
              </w:rPr>
              <w:t>169.05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58916</w:t>
            </w:r>
          </w:p>
        </w:tc>
        <w:tc>
          <w:tcPr>
            <w:tcW w:w="1134" w:type="dxa"/>
            <w:noWrap/>
          </w:tcPr>
          <w:p>
            <w:pPr>
              <w:pStyle w:val="yTableNAm"/>
              <w:rPr>
                <w:szCs w:val="22"/>
              </w:rPr>
            </w:pPr>
            <w:r>
              <w:rPr>
                <w:szCs w:val="22"/>
              </w:rPr>
              <w:t>296.65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58921</w:t>
            </w:r>
          </w:p>
        </w:tc>
        <w:tc>
          <w:tcPr>
            <w:tcW w:w="1134" w:type="dxa"/>
            <w:noWrap/>
          </w:tcPr>
          <w:p>
            <w:pPr>
              <w:pStyle w:val="yTableNAm"/>
              <w:rPr>
                <w:szCs w:val="22"/>
              </w:rPr>
            </w:pPr>
            <w:r>
              <w:rPr>
                <w:szCs w:val="22"/>
              </w:rPr>
              <w:t>289.75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58927</w:t>
            </w:r>
          </w:p>
        </w:tc>
        <w:tc>
          <w:tcPr>
            <w:tcW w:w="1134" w:type="dxa"/>
            <w:noWrap/>
          </w:tcPr>
          <w:p>
            <w:pPr>
              <w:pStyle w:val="yTableNAm"/>
              <w:rPr>
                <w:szCs w:val="22"/>
              </w:rPr>
            </w:pPr>
            <w:r>
              <w:rPr>
                <w:szCs w:val="22"/>
              </w:rPr>
              <w:t>163.75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58933</w:t>
            </w:r>
          </w:p>
        </w:tc>
        <w:tc>
          <w:tcPr>
            <w:tcW w:w="1134" w:type="dxa"/>
            <w:noWrap/>
          </w:tcPr>
          <w:p>
            <w:pPr>
              <w:pStyle w:val="yTableNAm"/>
              <w:rPr>
                <w:szCs w:val="22"/>
              </w:rPr>
            </w:pPr>
            <w:r>
              <w:rPr>
                <w:szCs w:val="22"/>
              </w:rPr>
              <w:t>440.50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58936</w:t>
            </w:r>
          </w:p>
        </w:tc>
        <w:tc>
          <w:tcPr>
            <w:tcW w:w="1134" w:type="dxa"/>
            <w:noWrap/>
          </w:tcPr>
          <w:p>
            <w:pPr>
              <w:pStyle w:val="yTableNAm"/>
              <w:rPr>
                <w:szCs w:val="22"/>
              </w:rPr>
            </w:pPr>
            <w:r>
              <w:rPr>
                <w:szCs w:val="22"/>
              </w:rPr>
              <w:t>419.80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58939</w:t>
            </w:r>
          </w:p>
        </w:tc>
        <w:tc>
          <w:tcPr>
            <w:tcW w:w="1134" w:type="dxa"/>
            <w:noWrap/>
          </w:tcPr>
          <w:p>
            <w:pPr>
              <w:pStyle w:val="yTableNAm"/>
              <w:rPr>
                <w:szCs w:val="22"/>
              </w:rPr>
            </w:pPr>
            <w:r>
              <w:rPr>
                <w:szCs w:val="22"/>
              </w:rPr>
              <w:t>298.35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59103</w:t>
            </w:r>
          </w:p>
        </w:tc>
        <w:tc>
          <w:tcPr>
            <w:tcW w:w="1134" w:type="dxa"/>
            <w:noWrap/>
          </w:tcPr>
          <w:p>
            <w:pPr>
              <w:pStyle w:val="yTableNAm"/>
              <w:rPr>
                <w:szCs w:val="22"/>
              </w:rPr>
            </w:pPr>
            <w:r>
              <w:rPr>
                <w:szCs w:val="22"/>
              </w:rPr>
              <w:t>45.70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59300</w:t>
            </w:r>
          </w:p>
        </w:tc>
        <w:tc>
          <w:tcPr>
            <w:tcW w:w="1134" w:type="dxa"/>
            <w:noWrap/>
          </w:tcPr>
          <w:p>
            <w:pPr>
              <w:pStyle w:val="yTableNAm"/>
              <w:rPr>
                <w:szCs w:val="22"/>
              </w:rPr>
            </w:pPr>
            <w:r>
              <w:rPr>
                <w:szCs w:val="22"/>
              </w:rPr>
              <w:t>191.80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59303</w:t>
            </w:r>
          </w:p>
        </w:tc>
        <w:tc>
          <w:tcPr>
            <w:tcW w:w="1134" w:type="dxa"/>
            <w:noWrap/>
          </w:tcPr>
          <w:p>
            <w:pPr>
              <w:pStyle w:val="yTableNAm"/>
              <w:rPr>
                <w:szCs w:val="22"/>
              </w:rPr>
            </w:pPr>
            <w:r>
              <w:rPr>
                <w:szCs w:val="22"/>
              </w:rPr>
              <w:t>115.50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59306</w:t>
            </w:r>
          </w:p>
        </w:tc>
        <w:tc>
          <w:tcPr>
            <w:tcW w:w="1134" w:type="dxa"/>
            <w:noWrap/>
          </w:tcPr>
          <w:p>
            <w:pPr>
              <w:pStyle w:val="yTableNAm"/>
              <w:rPr>
                <w:szCs w:val="22"/>
              </w:rPr>
            </w:pPr>
            <w:r>
              <w:rPr>
                <w:szCs w:val="22"/>
              </w:rPr>
              <w:t>214.90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59309</w:t>
            </w:r>
          </w:p>
        </w:tc>
        <w:tc>
          <w:tcPr>
            <w:tcW w:w="1134" w:type="dxa"/>
            <w:noWrap/>
          </w:tcPr>
          <w:p>
            <w:pPr>
              <w:pStyle w:val="yTableNAm"/>
              <w:rPr>
                <w:szCs w:val="22"/>
              </w:rPr>
            </w:pPr>
            <w:r>
              <w:rPr>
                <w:szCs w:val="22"/>
              </w:rPr>
              <w:t>429.55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59312</w:t>
            </w:r>
          </w:p>
        </w:tc>
        <w:tc>
          <w:tcPr>
            <w:tcW w:w="1134" w:type="dxa"/>
            <w:noWrap/>
          </w:tcPr>
          <w:p>
            <w:pPr>
              <w:pStyle w:val="yTableNAm"/>
              <w:rPr>
                <w:szCs w:val="22"/>
              </w:rPr>
            </w:pPr>
            <w:r>
              <w:rPr>
                <w:szCs w:val="22"/>
              </w:rPr>
              <w:t>186.40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59314</w:t>
            </w:r>
          </w:p>
        </w:tc>
        <w:tc>
          <w:tcPr>
            <w:tcW w:w="1134" w:type="dxa"/>
            <w:noWrap/>
          </w:tcPr>
          <w:p>
            <w:pPr>
              <w:pStyle w:val="yTableNAm"/>
              <w:rPr>
                <w:szCs w:val="22"/>
              </w:rPr>
            </w:pPr>
            <w:r>
              <w:rPr>
                <w:szCs w:val="22"/>
              </w:rPr>
              <w:t>112.40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59318</w:t>
            </w:r>
          </w:p>
        </w:tc>
        <w:tc>
          <w:tcPr>
            <w:tcW w:w="1134" w:type="dxa"/>
            <w:noWrap/>
          </w:tcPr>
          <w:p>
            <w:pPr>
              <w:pStyle w:val="yTableNAm"/>
              <w:rPr>
                <w:szCs w:val="22"/>
              </w:rPr>
            </w:pPr>
            <w:r>
              <w:rPr>
                <w:szCs w:val="22"/>
              </w:rPr>
              <w:t>100.80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59700</w:t>
            </w:r>
          </w:p>
        </w:tc>
        <w:tc>
          <w:tcPr>
            <w:tcW w:w="1134" w:type="dxa"/>
            <w:noWrap/>
          </w:tcPr>
          <w:p>
            <w:pPr>
              <w:pStyle w:val="yTableNAm"/>
              <w:rPr>
                <w:szCs w:val="22"/>
              </w:rPr>
            </w:pPr>
            <w:r>
              <w:rPr>
                <w:szCs w:val="22"/>
              </w:rPr>
              <w:t>206.80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59703</w:t>
            </w:r>
          </w:p>
        </w:tc>
        <w:tc>
          <w:tcPr>
            <w:tcW w:w="1134" w:type="dxa"/>
            <w:noWrap/>
          </w:tcPr>
          <w:p>
            <w:pPr>
              <w:pStyle w:val="yTableNAm"/>
              <w:rPr>
                <w:szCs w:val="22"/>
              </w:rPr>
            </w:pPr>
            <w:r>
              <w:rPr>
                <w:szCs w:val="22"/>
              </w:rPr>
              <w:t>162.65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59712</w:t>
            </w:r>
          </w:p>
        </w:tc>
        <w:tc>
          <w:tcPr>
            <w:tcW w:w="1134" w:type="dxa"/>
            <w:noWrap/>
          </w:tcPr>
          <w:p>
            <w:pPr>
              <w:pStyle w:val="yTableNAm"/>
              <w:rPr>
                <w:szCs w:val="22"/>
              </w:rPr>
            </w:pPr>
            <w:r>
              <w:rPr>
                <w:szCs w:val="22"/>
              </w:rPr>
              <w:t>243.60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59715</w:t>
            </w:r>
          </w:p>
        </w:tc>
        <w:tc>
          <w:tcPr>
            <w:tcW w:w="1134" w:type="dxa"/>
            <w:noWrap/>
          </w:tcPr>
          <w:p>
            <w:pPr>
              <w:pStyle w:val="yTableNAm"/>
              <w:rPr>
                <w:szCs w:val="22"/>
              </w:rPr>
            </w:pPr>
            <w:r>
              <w:rPr>
                <w:szCs w:val="22"/>
              </w:rPr>
              <w:t>307.55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59718</w:t>
            </w:r>
          </w:p>
        </w:tc>
        <w:tc>
          <w:tcPr>
            <w:tcW w:w="1134" w:type="dxa"/>
            <w:noWrap/>
          </w:tcPr>
          <w:p>
            <w:pPr>
              <w:pStyle w:val="yTableNAm"/>
              <w:rPr>
                <w:szCs w:val="22"/>
              </w:rPr>
            </w:pPr>
            <w:r>
              <w:rPr>
                <w:szCs w:val="22"/>
              </w:rPr>
              <w:t>288.45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59724</w:t>
            </w:r>
          </w:p>
        </w:tc>
        <w:tc>
          <w:tcPr>
            <w:tcW w:w="1134" w:type="dxa"/>
            <w:noWrap/>
          </w:tcPr>
          <w:p>
            <w:pPr>
              <w:pStyle w:val="yTableNAm"/>
              <w:rPr>
                <w:szCs w:val="22"/>
              </w:rPr>
            </w:pPr>
            <w:r>
              <w:rPr>
                <w:szCs w:val="22"/>
              </w:rPr>
              <w:t>485.15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59733</w:t>
            </w:r>
          </w:p>
        </w:tc>
        <w:tc>
          <w:tcPr>
            <w:tcW w:w="1134" w:type="dxa"/>
            <w:noWrap/>
          </w:tcPr>
          <w:p>
            <w:pPr>
              <w:pStyle w:val="yTableNAm"/>
              <w:rPr>
                <w:szCs w:val="22"/>
              </w:rPr>
            </w:pPr>
            <w:r>
              <w:rPr>
                <w:szCs w:val="22"/>
              </w:rPr>
              <w:t>230.75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59739</w:t>
            </w:r>
          </w:p>
        </w:tc>
        <w:tc>
          <w:tcPr>
            <w:tcW w:w="1134" w:type="dxa"/>
            <w:noWrap/>
          </w:tcPr>
          <w:p>
            <w:pPr>
              <w:pStyle w:val="yTableNAm"/>
              <w:rPr>
                <w:szCs w:val="22"/>
              </w:rPr>
            </w:pPr>
            <w:r>
              <w:rPr>
                <w:szCs w:val="22"/>
              </w:rPr>
              <w:t>158.15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59751</w:t>
            </w:r>
          </w:p>
        </w:tc>
        <w:tc>
          <w:tcPr>
            <w:tcW w:w="1134" w:type="dxa"/>
            <w:noWrap/>
          </w:tcPr>
          <w:p>
            <w:pPr>
              <w:pStyle w:val="yTableNAm"/>
              <w:rPr>
                <w:szCs w:val="22"/>
              </w:rPr>
            </w:pPr>
            <w:r>
              <w:rPr>
                <w:szCs w:val="22"/>
              </w:rPr>
              <w:t>298.10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59754</w:t>
            </w:r>
          </w:p>
        </w:tc>
        <w:tc>
          <w:tcPr>
            <w:tcW w:w="1134" w:type="dxa"/>
            <w:noWrap/>
          </w:tcPr>
          <w:p>
            <w:pPr>
              <w:pStyle w:val="yTableNAm"/>
              <w:rPr>
                <w:szCs w:val="22"/>
              </w:rPr>
            </w:pPr>
            <w:r>
              <w:rPr>
                <w:szCs w:val="22"/>
              </w:rPr>
              <w:t>469.85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59760</w:t>
            </w:r>
          </w:p>
        </w:tc>
        <w:tc>
          <w:tcPr>
            <w:tcW w:w="1134" w:type="dxa"/>
            <w:noWrap/>
          </w:tcPr>
          <w:p>
            <w:pPr>
              <w:pStyle w:val="yTableNAm"/>
              <w:rPr>
                <w:szCs w:val="22"/>
              </w:rPr>
            </w:pPr>
            <w:r>
              <w:rPr>
                <w:szCs w:val="22"/>
              </w:rPr>
              <w:t>246.65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59763</w:t>
            </w:r>
          </w:p>
        </w:tc>
        <w:tc>
          <w:tcPr>
            <w:tcW w:w="1134" w:type="dxa"/>
            <w:noWrap/>
          </w:tcPr>
          <w:p>
            <w:pPr>
              <w:pStyle w:val="yTableNAm"/>
              <w:rPr>
                <w:szCs w:val="22"/>
              </w:rPr>
            </w:pPr>
            <w:r>
              <w:rPr>
                <w:szCs w:val="22"/>
              </w:rPr>
              <w:t>286.90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59903</w:t>
            </w:r>
          </w:p>
        </w:tc>
        <w:tc>
          <w:tcPr>
            <w:tcW w:w="1134" w:type="dxa"/>
            <w:noWrap/>
          </w:tcPr>
          <w:p>
            <w:pPr>
              <w:pStyle w:val="yTableNAm"/>
              <w:rPr>
                <w:szCs w:val="22"/>
              </w:rPr>
            </w:pPr>
            <w:r>
              <w:rPr>
                <w:szCs w:val="22"/>
              </w:rPr>
              <w:t>245.40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59912</w:t>
            </w:r>
          </w:p>
        </w:tc>
        <w:tc>
          <w:tcPr>
            <w:tcW w:w="1134" w:type="dxa"/>
            <w:noWrap/>
          </w:tcPr>
          <w:p>
            <w:pPr>
              <w:pStyle w:val="yTableNAm"/>
              <w:rPr>
                <w:szCs w:val="22"/>
              </w:rPr>
            </w:pPr>
            <w:r>
              <w:rPr>
                <w:szCs w:val="22"/>
              </w:rPr>
              <w:t>653.80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59925</w:t>
            </w:r>
          </w:p>
        </w:tc>
        <w:tc>
          <w:tcPr>
            <w:tcW w:w="1134" w:type="dxa"/>
            <w:noWrap/>
          </w:tcPr>
          <w:p>
            <w:pPr>
              <w:pStyle w:val="yTableNAm"/>
              <w:rPr>
                <w:szCs w:val="22"/>
              </w:rPr>
            </w:pPr>
            <w:r>
              <w:rPr>
                <w:szCs w:val="22"/>
              </w:rPr>
              <w:t>776.35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59970</w:t>
            </w:r>
          </w:p>
        </w:tc>
        <w:tc>
          <w:tcPr>
            <w:tcW w:w="1134" w:type="dxa"/>
            <w:noWrap/>
          </w:tcPr>
          <w:p>
            <w:pPr>
              <w:pStyle w:val="yTableNAm"/>
              <w:rPr>
                <w:szCs w:val="22"/>
              </w:rPr>
            </w:pPr>
            <w:r>
              <w:rPr>
                <w:szCs w:val="22"/>
              </w:rPr>
              <w:t>360.60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59971</w:t>
            </w:r>
          </w:p>
        </w:tc>
        <w:tc>
          <w:tcPr>
            <w:tcW w:w="1134" w:type="dxa"/>
            <w:noWrap/>
          </w:tcPr>
          <w:p>
            <w:pPr>
              <w:pStyle w:val="yTableNAm"/>
              <w:rPr>
                <w:szCs w:val="22"/>
              </w:rPr>
            </w:pPr>
            <w:r>
              <w:rPr>
                <w:szCs w:val="22"/>
              </w:rPr>
              <w:t>122.80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59972</w:t>
            </w:r>
          </w:p>
        </w:tc>
        <w:tc>
          <w:tcPr>
            <w:tcW w:w="1134" w:type="dxa"/>
            <w:noWrap/>
          </w:tcPr>
          <w:p>
            <w:pPr>
              <w:pStyle w:val="yTableNAm"/>
              <w:rPr>
                <w:szCs w:val="22"/>
              </w:rPr>
            </w:pPr>
            <w:r>
              <w:rPr>
                <w:szCs w:val="22"/>
              </w:rPr>
              <w:t>326.75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59973</w:t>
            </w:r>
          </w:p>
        </w:tc>
        <w:tc>
          <w:tcPr>
            <w:tcW w:w="1134" w:type="dxa"/>
            <w:noWrap/>
          </w:tcPr>
          <w:p>
            <w:pPr>
              <w:pStyle w:val="yTableNAm"/>
              <w:rPr>
                <w:szCs w:val="22"/>
              </w:rPr>
            </w:pPr>
            <w:r>
              <w:rPr>
                <w:szCs w:val="22"/>
              </w:rPr>
              <w:t>388.20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59974</w:t>
            </w:r>
          </w:p>
        </w:tc>
        <w:tc>
          <w:tcPr>
            <w:tcW w:w="1134" w:type="dxa"/>
            <w:noWrap/>
          </w:tcPr>
          <w:p>
            <w:pPr>
              <w:pStyle w:val="yTableNAm"/>
              <w:rPr>
                <w:szCs w:val="22"/>
              </w:rPr>
            </w:pPr>
            <w:r>
              <w:rPr>
                <w:szCs w:val="22"/>
              </w:rPr>
              <w:t>180.30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60000</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60003</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60006</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60009</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60012</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60015</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60018</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60021</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60024</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60027</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60030</w:t>
            </w:r>
          </w:p>
        </w:tc>
        <w:tc>
          <w:tcPr>
            <w:tcW w:w="1134" w:type="dxa"/>
            <w:noWrap/>
          </w:tcPr>
          <w:p>
            <w:pPr>
              <w:pStyle w:val="yTableNAm"/>
              <w:rPr>
                <w:b/>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60033</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60036</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60039</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60042</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60045</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60048</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60051</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60054</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60057</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60060</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60063</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60066</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60069</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60072</w:t>
            </w:r>
          </w:p>
        </w:tc>
        <w:tc>
          <w:tcPr>
            <w:tcW w:w="1134" w:type="dxa"/>
            <w:noWrap/>
          </w:tcPr>
          <w:p>
            <w:pPr>
              <w:pStyle w:val="yTableNAm"/>
              <w:rPr>
                <w:szCs w:val="22"/>
              </w:rPr>
            </w:pPr>
            <w:r>
              <w:rPr>
                <w:szCs w:val="22"/>
              </w:rPr>
              <w:t>103.20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60075</w:t>
            </w:r>
          </w:p>
        </w:tc>
        <w:tc>
          <w:tcPr>
            <w:tcW w:w="1134" w:type="dxa"/>
            <w:noWrap/>
          </w:tcPr>
          <w:p>
            <w:pPr>
              <w:pStyle w:val="yTableNAm"/>
              <w:rPr>
                <w:szCs w:val="22"/>
              </w:rPr>
            </w:pPr>
            <w:r>
              <w:rPr>
                <w:szCs w:val="22"/>
              </w:rPr>
              <w:t>205.90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60078</w:t>
            </w:r>
          </w:p>
        </w:tc>
        <w:tc>
          <w:tcPr>
            <w:tcW w:w="1134" w:type="dxa"/>
            <w:noWrap/>
          </w:tcPr>
          <w:p>
            <w:pPr>
              <w:pStyle w:val="yTableNAm"/>
              <w:rPr>
                <w:szCs w:val="22"/>
              </w:rPr>
            </w:pPr>
            <w:r>
              <w:rPr>
                <w:szCs w:val="22"/>
              </w:rPr>
              <w:t>308.85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60100</w:t>
            </w:r>
          </w:p>
        </w:tc>
        <w:tc>
          <w:tcPr>
            <w:tcW w:w="1134" w:type="dxa"/>
            <w:noWrap/>
          </w:tcPr>
          <w:p>
            <w:pPr>
              <w:pStyle w:val="yTableNAm"/>
              <w:rPr>
                <w:szCs w:val="22"/>
              </w:rPr>
            </w:pPr>
            <w:r>
              <w:rPr>
                <w:szCs w:val="22"/>
              </w:rPr>
              <w:t>130.35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60500</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60503</w:t>
            </w:r>
          </w:p>
        </w:tc>
        <w:tc>
          <w:tcPr>
            <w:tcW w:w="1134" w:type="dxa"/>
            <w:noWrap/>
          </w:tcPr>
          <w:p>
            <w:pPr>
              <w:pStyle w:val="yTableNAm"/>
              <w:rPr>
                <w:szCs w:val="22"/>
              </w:rPr>
            </w:pPr>
            <w:r>
              <w:rPr>
                <w:szCs w:val="22"/>
              </w:rPr>
              <w:t>63.65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60506</w:t>
            </w:r>
          </w:p>
        </w:tc>
        <w:tc>
          <w:tcPr>
            <w:tcW w:w="1134" w:type="dxa"/>
            <w:noWrap/>
          </w:tcPr>
          <w:p>
            <w:pPr>
              <w:pStyle w:val="yTableNAm"/>
              <w:rPr>
                <w:szCs w:val="22"/>
              </w:rPr>
            </w:pPr>
            <w:r>
              <w:rPr>
                <w:szCs w:val="22"/>
              </w:rPr>
              <w:t>136.65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60509</w:t>
            </w:r>
          </w:p>
        </w:tc>
        <w:tc>
          <w:tcPr>
            <w:tcW w:w="1134" w:type="dxa"/>
            <w:noWrap/>
          </w:tcPr>
          <w:p>
            <w:pPr>
              <w:pStyle w:val="yTableNAm"/>
              <w:rPr>
                <w:szCs w:val="22"/>
              </w:rPr>
            </w:pPr>
            <w:r>
              <w:rPr>
                <w:szCs w:val="22"/>
              </w:rPr>
              <w:t>211.80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60918</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60927</w:t>
            </w:r>
          </w:p>
        </w:tc>
        <w:tc>
          <w:tcPr>
            <w:tcW w:w="1134" w:type="dxa"/>
            <w:noWrap/>
          </w:tcPr>
          <w:p>
            <w:pPr>
              <w:pStyle w:val="yTableNAm"/>
              <w:rPr>
                <w:szCs w:val="22"/>
              </w:rPr>
            </w:pPr>
            <w:r>
              <w:rPr>
                <w:szCs w:val="22"/>
              </w:rPr>
              <w:t>81.55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61109</w:t>
            </w:r>
          </w:p>
        </w:tc>
        <w:tc>
          <w:tcPr>
            <w:tcW w:w="1134" w:type="dxa"/>
            <w:noWrap/>
          </w:tcPr>
          <w:p>
            <w:pPr>
              <w:pStyle w:val="yTableNAm"/>
              <w:rPr>
                <w:szCs w:val="22"/>
              </w:rPr>
            </w:pPr>
            <w:r>
              <w:rPr>
                <w:szCs w:val="22"/>
              </w:rPr>
              <w:t>554.60</w:t>
            </w:r>
          </w:p>
        </w:tc>
      </w:tr>
    </w:tbl>
    <w:p>
      <w:pPr>
        <w:pStyle w:val="yMiscellaneousBody"/>
        <w:ind w:left="709"/>
      </w:pPr>
      <w:r>
        <w:t>NUCLEAR MEDICINE IMAGING</w:t>
      </w:r>
    </w:p>
    <w:tbl>
      <w:tblPr>
        <w:tblW w:w="5669" w:type="dxa"/>
        <w:jc w:val="center"/>
        <w:tblInd w:w="1629" w:type="dxa"/>
        <w:tblLayout w:type="fixed"/>
        <w:tblCellMar>
          <w:left w:w="113" w:type="dxa"/>
          <w:right w:w="113" w:type="dxa"/>
        </w:tblCellMar>
        <w:tblLook w:val="0000" w:firstRow="0" w:lastRow="0" w:firstColumn="0" w:lastColumn="0" w:noHBand="0" w:noVBand="0"/>
      </w:tblPr>
      <w:tblGrid>
        <w:gridCol w:w="4535"/>
        <w:gridCol w:w="1134"/>
      </w:tblGrid>
      <w:tr>
        <w:trPr>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34" w:type="dxa"/>
            <w:tcBorders>
              <w:top w:val="single" w:sz="4" w:space="0" w:color="auto"/>
            </w:tcBorders>
            <w:noWrap/>
          </w:tcPr>
          <w:p>
            <w:pPr>
              <w:pStyle w:val="yTableNAm"/>
              <w:rPr>
                <w:szCs w:val="22"/>
              </w:rPr>
            </w:pPr>
            <w:r>
              <w:rPr>
                <w:szCs w:val="22"/>
              </w:rPr>
              <w:t>740.65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34" w:type="dxa"/>
            <w:noWrap/>
          </w:tcPr>
          <w:p>
            <w:pPr>
              <w:pStyle w:val="yTableNAm"/>
              <w:rPr>
                <w:szCs w:val="22"/>
              </w:rPr>
            </w:pPr>
            <w:r>
              <w:rPr>
                <w:szCs w:val="22"/>
              </w:rPr>
              <w:t>932.70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34" w:type="dxa"/>
            <w:noWrap/>
          </w:tcPr>
          <w:p>
            <w:pPr>
              <w:pStyle w:val="yTableNAm"/>
              <w:rPr>
                <w:szCs w:val="22"/>
              </w:rPr>
            </w:pPr>
            <w:r>
              <w:rPr>
                <w:szCs w:val="22"/>
              </w:rPr>
              <w:t>1 170.95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34" w:type="dxa"/>
            <w:noWrap/>
          </w:tcPr>
          <w:p>
            <w:pPr>
              <w:pStyle w:val="yTableNAm"/>
              <w:rPr>
                <w:szCs w:val="22"/>
              </w:rPr>
            </w:pPr>
            <w:r>
              <w:rPr>
                <w:szCs w:val="22"/>
              </w:rPr>
              <w:t>1 377.65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34" w:type="dxa"/>
            <w:noWrap/>
          </w:tcPr>
          <w:p>
            <w:pPr>
              <w:pStyle w:val="yTableNAm"/>
              <w:rPr>
                <w:szCs w:val="22"/>
              </w:rPr>
            </w:pPr>
            <w:r>
              <w:rPr>
                <w:szCs w:val="22"/>
              </w:rPr>
              <w:t>606.00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34" w:type="dxa"/>
            <w:noWrap/>
          </w:tcPr>
          <w:p>
            <w:pPr>
              <w:pStyle w:val="yTableNAm"/>
              <w:rPr>
                <w:szCs w:val="22"/>
              </w:rPr>
            </w:pPr>
            <w:r>
              <w:rPr>
                <w:szCs w:val="22"/>
              </w:rPr>
              <w:t>500.60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34" w:type="dxa"/>
            <w:noWrap/>
          </w:tcPr>
          <w:p>
            <w:pPr>
              <w:pStyle w:val="yTableNAm"/>
              <w:rPr>
                <w:szCs w:val="22"/>
              </w:rPr>
            </w:pPr>
            <w:r>
              <w:rPr>
                <w:szCs w:val="22"/>
              </w:rPr>
              <w:t>692.95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61316</w:t>
            </w:r>
          </w:p>
        </w:tc>
        <w:tc>
          <w:tcPr>
            <w:tcW w:w="1134" w:type="dxa"/>
            <w:noWrap/>
          </w:tcPr>
          <w:p>
            <w:pPr>
              <w:pStyle w:val="yTableNAm"/>
              <w:rPr>
                <w:szCs w:val="22"/>
              </w:rPr>
            </w:pPr>
            <w:r>
              <w:rPr>
                <w:szCs w:val="22"/>
              </w:rPr>
              <w:t>628.95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61317</w:t>
            </w:r>
          </w:p>
        </w:tc>
        <w:tc>
          <w:tcPr>
            <w:tcW w:w="1134" w:type="dxa"/>
            <w:noWrap/>
          </w:tcPr>
          <w:p>
            <w:pPr>
              <w:pStyle w:val="yTableNAm"/>
              <w:rPr>
                <w:szCs w:val="22"/>
              </w:rPr>
            </w:pPr>
            <w:r>
              <w:rPr>
                <w:szCs w:val="22"/>
              </w:rPr>
              <w:t>812.40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61320</w:t>
            </w:r>
          </w:p>
        </w:tc>
        <w:tc>
          <w:tcPr>
            <w:tcW w:w="1134" w:type="dxa"/>
            <w:noWrap/>
          </w:tcPr>
          <w:p>
            <w:pPr>
              <w:pStyle w:val="yTableNAm"/>
              <w:rPr>
                <w:szCs w:val="22"/>
              </w:rPr>
            </w:pPr>
            <w:r>
              <w:rPr>
                <w:szCs w:val="22"/>
              </w:rPr>
              <w:t>377.60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34" w:type="dxa"/>
            <w:noWrap/>
          </w:tcPr>
          <w:p>
            <w:pPr>
              <w:pStyle w:val="yTableNAm"/>
              <w:rPr>
                <w:szCs w:val="22"/>
              </w:rPr>
            </w:pPr>
            <w:r>
              <w:rPr>
                <w:szCs w:val="22"/>
              </w:rPr>
              <w:t>375.65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34" w:type="dxa"/>
            <w:noWrap/>
          </w:tcPr>
          <w:p>
            <w:pPr>
              <w:pStyle w:val="yTableNAm"/>
              <w:rPr>
                <w:szCs w:val="22"/>
              </w:rPr>
            </w:pPr>
            <w:r>
              <w:rPr>
                <w:szCs w:val="22"/>
              </w:rPr>
              <w:t>417.45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34" w:type="dxa"/>
            <w:noWrap/>
          </w:tcPr>
          <w:p>
            <w:pPr>
              <w:pStyle w:val="yTableNAm"/>
              <w:rPr>
                <w:szCs w:val="22"/>
              </w:rPr>
            </w:pPr>
            <w:r>
              <w:rPr>
                <w:szCs w:val="22"/>
              </w:rPr>
              <w:t>731.60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61352</w:t>
            </w:r>
          </w:p>
        </w:tc>
        <w:tc>
          <w:tcPr>
            <w:tcW w:w="1134" w:type="dxa"/>
            <w:noWrap/>
          </w:tcPr>
          <w:p>
            <w:pPr>
              <w:pStyle w:val="yTableNAm"/>
              <w:rPr>
                <w:szCs w:val="22"/>
              </w:rPr>
            </w:pPr>
            <w:r>
              <w:rPr>
                <w:szCs w:val="22"/>
              </w:rPr>
              <w:t>427.85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34" w:type="dxa"/>
            <w:noWrap/>
          </w:tcPr>
          <w:p>
            <w:pPr>
              <w:pStyle w:val="yTableNAm"/>
              <w:rPr>
                <w:szCs w:val="22"/>
              </w:rPr>
            </w:pPr>
            <w:r>
              <w:rPr>
                <w:szCs w:val="22"/>
              </w:rPr>
              <w:t>637.80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34" w:type="dxa"/>
            <w:noWrap/>
          </w:tcPr>
          <w:p>
            <w:pPr>
              <w:pStyle w:val="yTableNAm"/>
              <w:rPr>
                <w:szCs w:val="22"/>
              </w:rPr>
            </w:pPr>
            <w:r>
              <w:rPr>
                <w:szCs w:val="22"/>
              </w:rPr>
              <w:t>648.10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34" w:type="dxa"/>
            <w:noWrap/>
          </w:tcPr>
          <w:p>
            <w:pPr>
              <w:pStyle w:val="yTableNAm"/>
              <w:rPr>
                <w:szCs w:val="22"/>
              </w:rPr>
            </w:pPr>
            <w:r>
              <w:rPr>
                <w:szCs w:val="22"/>
              </w:rPr>
              <w:t>665.55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34" w:type="dxa"/>
            <w:noWrap/>
          </w:tcPr>
          <w:p>
            <w:pPr>
              <w:pStyle w:val="yTableNAm"/>
              <w:rPr>
                <w:szCs w:val="22"/>
              </w:rPr>
            </w:pPr>
            <w:r>
              <w:rPr>
                <w:szCs w:val="22"/>
              </w:rPr>
              <w:t>761.35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34" w:type="dxa"/>
            <w:noWrap/>
          </w:tcPr>
          <w:p>
            <w:pPr>
              <w:pStyle w:val="yTableNAm"/>
              <w:rPr>
                <w:szCs w:val="22"/>
              </w:rPr>
            </w:pPr>
            <w:r>
              <w:rPr>
                <w:szCs w:val="22"/>
              </w:rPr>
              <w:t>820.05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34" w:type="dxa"/>
            <w:noWrap/>
          </w:tcPr>
          <w:p>
            <w:pPr>
              <w:pStyle w:val="y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34" w:type="dxa"/>
            <w:noWrap/>
          </w:tcPr>
          <w:p>
            <w:pPr>
              <w:pStyle w:val="yTableNAm"/>
              <w:rPr>
                <w:szCs w:val="22"/>
              </w:rPr>
            </w:pPr>
            <w:r>
              <w:rPr>
                <w:szCs w:val="22"/>
              </w:rPr>
              <w:t>3 325.90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34" w:type="dxa"/>
            <w:noWrap/>
          </w:tcPr>
          <w:p>
            <w:pPr>
              <w:pStyle w:val="y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34" w:type="dxa"/>
            <w:noWrap/>
          </w:tcPr>
          <w:p>
            <w:pPr>
              <w:pStyle w:val="yTableNAm"/>
              <w:rPr>
                <w:szCs w:val="22"/>
              </w:rPr>
            </w:pPr>
            <w:r>
              <w:rPr>
                <w:szCs w:val="22"/>
              </w:rPr>
              <w:t>808.00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34" w:type="dxa"/>
            <w:noWrap/>
          </w:tcPr>
          <w:p>
            <w:pPr>
              <w:pStyle w:val="yTableNAm"/>
              <w:rPr>
                <w:szCs w:val="22"/>
              </w:rPr>
            </w:pPr>
            <w:r>
              <w:rPr>
                <w:szCs w:val="22"/>
              </w:rPr>
              <w:t>236.55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34" w:type="dxa"/>
            <w:noWrap/>
          </w:tcPr>
          <w:p>
            <w:pPr>
              <w:pStyle w:val="yTableNAm"/>
              <w:rPr>
                <w:szCs w:val="22"/>
              </w:rPr>
            </w:pPr>
            <w:r>
              <w:rPr>
                <w:szCs w:val="22"/>
              </w:rPr>
              <w:t>947.60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34" w:type="dxa"/>
            <w:noWrap/>
          </w:tcPr>
          <w:p>
            <w:pPr>
              <w:pStyle w:val="yTableNAm"/>
              <w:rPr>
                <w:szCs w:val="22"/>
              </w:rPr>
            </w:pPr>
            <w:r>
              <w:rPr>
                <w:szCs w:val="22"/>
              </w:rPr>
              <w:t>1 031.05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34" w:type="dxa"/>
            <w:noWrap/>
          </w:tcPr>
          <w:p>
            <w:pPr>
              <w:pStyle w:val="yTableNAm"/>
              <w:rPr>
                <w:szCs w:val="22"/>
              </w:rPr>
            </w:pPr>
            <w:r>
              <w:rPr>
                <w:szCs w:val="22"/>
              </w:rPr>
              <w:t>1 134.70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34" w:type="dxa"/>
            <w:noWrap/>
          </w:tcPr>
          <w:p>
            <w:pPr>
              <w:pStyle w:val="yTableNAm"/>
              <w:rPr>
                <w:szCs w:val="22"/>
              </w:rPr>
            </w:pPr>
            <w:r>
              <w:rPr>
                <w:szCs w:val="22"/>
              </w:rPr>
              <w:t>548.70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34" w:type="dxa"/>
            <w:noWrap/>
          </w:tcPr>
          <w:p>
            <w:pPr>
              <w:pStyle w:val="yTableNAm"/>
              <w:rPr>
                <w:szCs w:val="22"/>
              </w:rPr>
            </w:pPr>
            <w:r>
              <w:rPr>
                <w:szCs w:val="22"/>
              </w:rPr>
              <w:t>710.80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34" w:type="dxa"/>
            <w:noWrap/>
          </w:tcPr>
          <w:p>
            <w:pPr>
              <w:pStyle w:val="yTableNAm"/>
              <w:rPr>
                <w:szCs w:val="22"/>
              </w:rPr>
            </w:pPr>
            <w:r>
              <w:rPr>
                <w:szCs w:val="22"/>
              </w:rPr>
              <w:t>611.40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34" w:type="dxa"/>
            <w:noWrap/>
          </w:tcPr>
          <w:p>
            <w:pPr>
              <w:pStyle w:val="yTableNAm"/>
              <w:rPr>
                <w:szCs w:val="22"/>
              </w:rPr>
            </w:pPr>
            <w:r>
              <w:rPr>
                <w:szCs w:val="22"/>
              </w:rPr>
              <w:t>676.45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34" w:type="dxa"/>
            <w:noWrap/>
          </w:tcPr>
          <w:p>
            <w:pPr>
              <w:pStyle w:val="yTableNAm"/>
              <w:rPr>
                <w:szCs w:val="22"/>
              </w:rPr>
            </w:pPr>
            <w:r>
              <w:rPr>
                <w:szCs w:val="22"/>
              </w:rPr>
              <w:t>999.05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34" w:type="dxa"/>
            <w:noWrap/>
          </w:tcPr>
          <w:p>
            <w:pPr>
              <w:pStyle w:val="yTableNAm"/>
              <w:rPr>
                <w:szCs w:val="22"/>
              </w:rPr>
            </w:pPr>
            <w:r>
              <w:rPr>
                <w:szCs w:val="22"/>
              </w:rP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61401</w:t>
            </w:r>
          </w:p>
        </w:tc>
        <w:tc>
          <w:tcPr>
            <w:tcW w:w="1134" w:type="dxa"/>
            <w:noWrap/>
          </w:tcPr>
          <w:p>
            <w:pPr>
              <w:pStyle w:val="yTableNAm"/>
              <w:rPr>
                <w:szCs w:val="22"/>
              </w:rPr>
            </w:pPr>
            <w:r>
              <w:rPr>
                <w:szCs w:val="22"/>
              </w:rPr>
              <w:t>267.85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34" w:type="dxa"/>
            <w:noWrap/>
          </w:tcPr>
          <w:p>
            <w:pPr>
              <w:pStyle w:val="yTableNAm"/>
              <w:rPr>
                <w:szCs w:val="22"/>
              </w:rPr>
            </w:pPr>
            <w:r>
              <w:rPr>
                <w:szCs w:val="22"/>
              </w:rPr>
              <w:t>998.35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61405</w:t>
            </w:r>
          </w:p>
        </w:tc>
        <w:tc>
          <w:tcPr>
            <w:tcW w:w="1134" w:type="dxa"/>
            <w:noWrap/>
          </w:tcPr>
          <w:p>
            <w:pPr>
              <w:pStyle w:val="yTableNAm"/>
              <w:rPr>
                <w:szCs w:val="22"/>
              </w:rPr>
            </w:pPr>
            <w:r>
              <w:rPr>
                <w:szCs w:val="22"/>
              </w:rPr>
              <w:t>570.85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34" w:type="dxa"/>
            <w:noWrap/>
          </w:tcPr>
          <w:p>
            <w:pPr>
              <w:pStyle w:val="yTableNAm"/>
              <w:rPr>
                <w:szCs w:val="22"/>
              </w:rPr>
            </w:pPr>
            <w:r>
              <w:rPr>
                <w:szCs w:val="22"/>
              </w:rPr>
              <w:t>1 441.35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34" w:type="dxa"/>
            <w:noWrap/>
          </w:tcPr>
          <w:p>
            <w:pPr>
              <w:pStyle w:val="yTableNAm"/>
              <w:rPr>
                <w:szCs w:val="22"/>
              </w:rPr>
            </w:pPr>
            <w:r>
              <w:rPr>
                <w:szCs w:val="22"/>
              </w:rPr>
              <w:t>372.80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61417</w:t>
            </w:r>
          </w:p>
        </w:tc>
        <w:tc>
          <w:tcPr>
            <w:tcW w:w="1134" w:type="dxa"/>
            <w:noWrap/>
          </w:tcPr>
          <w:p>
            <w:pPr>
              <w:pStyle w:val="yTableNAm"/>
              <w:rPr>
                <w:szCs w:val="22"/>
              </w:rPr>
            </w:pPr>
            <w:r>
              <w:rPr>
                <w:szCs w:val="22"/>
              </w:rPr>
              <w:t>196.10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34" w:type="dxa"/>
            <w:noWrap/>
          </w:tcPr>
          <w:p>
            <w:pPr>
              <w:pStyle w:val="yTableNAm"/>
              <w:rPr>
                <w:szCs w:val="22"/>
              </w:rPr>
            </w:pPr>
            <w:r>
              <w:rPr>
                <w:szCs w:val="22"/>
              </w:rPr>
              <w:t>791.70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34" w:type="dxa"/>
            <w:noWrap/>
          </w:tcPr>
          <w:p>
            <w:pPr>
              <w:pStyle w:val="yTableNAm"/>
              <w:rPr>
                <w:szCs w:val="22"/>
              </w:rPr>
            </w:pPr>
            <w:r>
              <w:rPr>
                <w:szCs w:val="22"/>
              </w:rPr>
              <w:t>991.15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34" w:type="dxa"/>
            <w:noWrap/>
          </w:tcPr>
          <w:p>
            <w:pPr>
              <w:pStyle w:val="yTableNAm"/>
              <w:rPr>
                <w:szCs w:val="22"/>
              </w:rPr>
            </w:pPr>
            <w:r>
              <w:rPr>
                <w:szCs w:val="22"/>
              </w:rPr>
              <w:t>915.40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34" w:type="dxa"/>
            <w:noWrap/>
          </w:tcPr>
          <w:p>
            <w:pPr>
              <w:pStyle w:val="yTableNAm"/>
              <w:rPr>
                <w:szCs w:val="22"/>
              </w:rPr>
            </w:pPr>
            <w:r>
              <w:rPr>
                <w:szCs w:val="22"/>
              </w:rPr>
              <w:t>895.90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34" w:type="dxa"/>
            <w:noWrap/>
          </w:tcPr>
          <w:p>
            <w:pPr>
              <w:pStyle w:val="yTableNAm"/>
              <w:rPr>
                <w:szCs w:val="22"/>
              </w:rPr>
            </w:pPr>
            <w:r>
              <w:rPr>
                <w:szCs w:val="22"/>
              </w:rPr>
              <w:t>1 088.15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34" w:type="dxa"/>
            <w:noWrap/>
          </w:tcPr>
          <w:p>
            <w:pPr>
              <w:pStyle w:val="yTableNAm"/>
              <w:rPr>
                <w:szCs w:val="22"/>
              </w:rPr>
            </w:pPr>
            <w:r>
              <w:rPr>
                <w:szCs w:val="22"/>
              </w:rPr>
              <w:t>820.05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34" w:type="dxa"/>
            <w:noWrap/>
          </w:tcPr>
          <w:p>
            <w:pPr>
              <w:pStyle w:val="yTableNAm"/>
              <w:rPr>
                <w:szCs w:val="22"/>
              </w:rPr>
            </w:pPr>
            <w:r>
              <w:rPr>
                <w:szCs w:val="22"/>
              </w:rPr>
              <w:t>1 015.40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61437</w:t>
            </w:r>
          </w:p>
        </w:tc>
        <w:tc>
          <w:tcPr>
            <w:tcW w:w="1134" w:type="dxa"/>
            <w:noWrap/>
          </w:tcPr>
          <w:p>
            <w:pPr>
              <w:pStyle w:val="yTableNAm"/>
              <w:rPr>
                <w:szCs w:val="22"/>
              </w:rPr>
            </w:pPr>
            <w:r>
              <w:rPr>
                <w:szCs w:val="22"/>
              </w:rPr>
              <w:t>895.65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34" w:type="dxa"/>
            <w:noWrap/>
          </w:tcPr>
          <w:p>
            <w:pPr>
              <w:pStyle w:val="yTableNAm"/>
              <w:rPr>
                <w:szCs w:val="22"/>
              </w:rPr>
            </w:pPr>
            <w:r>
              <w:rPr>
                <w:szCs w:val="22"/>
              </w:rPr>
              <w:t>1 110.40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34" w:type="dxa"/>
            <w:noWrap/>
          </w:tcPr>
          <w:p>
            <w:pPr>
              <w:pStyle w:val="yTableNAm"/>
              <w:rPr>
                <w:szCs w:val="22"/>
              </w:rPr>
            </w:pPr>
            <w:r>
              <w:rPr>
                <w:szCs w:val="22"/>
              </w:rPr>
              <w:t>808.00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34" w:type="dxa"/>
            <w:noWrap/>
          </w:tcPr>
          <w:p>
            <w:pPr>
              <w:pStyle w:val="yTableNAm"/>
              <w:rPr>
                <w:szCs w:val="22"/>
              </w:rPr>
            </w:pPr>
            <w:r>
              <w:rPr>
                <w:szCs w:val="22"/>
              </w:rPr>
              <w:t>1 241.40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34" w:type="dxa"/>
            <w:noWrap/>
          </w:tcPr>
          <w:p>
            <w:pPr>
              <w:pStyle w:val="yTableNAm"/>
              <w:rPr>
                <w:szCs w:val="22"/>
              </w:rPr>
            </w:pPr>
            <w:r>
              <w:rPr>
                <w:szCs w:val="22"/>
              </w:rPr>
              <w:t>473.20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34" w:type="dxa"/>
            <w:noWrap/>
          </w:tcPr>
          <w:p>
            <w:pPr>
              <w:pStyle w:val="yTableNAm"/>
              <w:rPr>
                <w:szCs w:val="22"/>
              </w:rPr>
            </w:pPr>
            <w:r>
              <w:rPr>
                <w:szCs w:val="22"/>
              </w:rPr>
              <w:t>550.45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34" w:type="dxa"/>
            <w:noWrap/>
          </w:tcPr>
          <w:p>
            <w:pPr>
              <w:pStyle w:val="yTableNAm"/>
              <w:rPr>
                <w:szCs w:val="22"/>
              </w:rPr>
            </w:pPr>
            <w:r>
              <w:rPr>
                <w:szCs w:val="22"/>
              </w:rPr>
              <w:t>752.70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34" w:type="dxa"/>
            <w:noWrap/>
          </w:tcPr>
          <w:p>
            <w:pPr>
              <w:pStyle w:val="yTableNAm"/>
              <w:rPr>
                <w:szCs w:val="22"/>
              </w:rPr>
            </w:pPr>
            <w:r>
              <w:rPr>
                <w:szCs w:val="22"/>
              </w:rPr>
              <w:t>655.90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34" w:type="dxa"/>
            <w:noWrap/>
          </w:tcPr>
          <w:p>
            <w:pPr>
              <w:pStyle w:val="yTableNAm"/>
              <w:rPr>
                <w:szCs w:val="22"/>
              </w:rPr>
            </w:pPr>
            <w:r>
              <w:rPr>
                <w:szCs w:val="22"/>
              </w:rPr>
              <w:t>849.25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34" w:type="dxa"/>
            <w:noWrap/>
          </w:tcPr>
          <w:p>
            <w:pPr>
              <w:pStyle w:val="yTableNAm"/>
              <w:rPr>
                <w:szCs w:val="22"/>
              </w:rPr>
            </w:pPr>
            <w:r>
              <w:rPr>
                <w:szCs w:val="22"/>
              </w:rPr>
              <w:t>574.30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34" w:type="dxa"/>
            <w:noWrap/>
          </w:tcPr>
          <w:p>
            <w:pPr>
              <w:pStyle w:val="yTableNAm"/>
              <w:rPr>
                <w:szCs w:val="22"/>
              </w:rPr>
            </w:pPr>
            <w:r>
              <w:rPr>
                <w:szCs w:val="22"/>
              </w:rPr>
              <w:t>776.25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61458</w:t>
            </w:r>
          </w:p>
        </w:tc>
        <w:tc>
          <w:tcPr>
            <w:tcW w:w="1134" w:type="dxa"/>
            <w:noWrap/>
          </w:tcPr>
          <w:p>
            <w:pPr>
              <w:pStyle w:val="yTableNAm"/>
              <w:rPr>
                <w:szCs w:val="22"/>
              </w:rPr>
            </w:pPr>
            <w:r>
              <w:rPr>
                <w:szCs w:val="22"/>
              </w:rPr>
              <w:t>654.85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34" w:type="dxa"/>
            <w:noWrap/>
          </w:tcPr>
          <w:p>
            <w:pPr>
              <w:pStyle w:val="yTableNAm"/>
              <w:rPr>
                <w:szCs w:val="22"/>
              </w:rPr>
            </w:pPr>
            <w:r>
              <w:rPr>
                <w:szCs w:val="22"/>
              </w:rPr>
              <w:t>870.80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34" w:type="dxa"/>
            <w:noWrap/>
          </w:tcPr>
          <w:p>
            <w:pPr>
              <w:pStyle w:val="yTableNAm"/>
              <w:rPr>
                <w:szCs w:val="22"/>
              </w:rPr>
            </w:pPr>
            <w:r>
              <w:rPr>
                <w:szCs w:val="22"/>
              </w:rPr>
              <w:t>215.00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34" w:type="dxa"/>
            <w:noWrap/>
          </w:tcPr>
          <w:p>
            <w:pPr>
              <w:pStyle w:val="yTableNAm"/>
              <w:rPr>
                <w:szCs w:val="22"/>
              </w:rPr>
            </w:pPr>
            <w:r>
              <w:rPr>
                <w:szCs w:val="22"/>
              </w:rPr>
              <w:t>574.30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34" w:type="dxa"/>
            <w:noWrap/>
          </w:tcPr>
          <w:p>
            <w:pPr>
              <w:pStyle w:val="yTableNAm"/>
              <w:rPr>
                <w:szCs w:val="22"/>
              </w:rPr>
            </w:pPr>
            <w:r>
              <w:rPr>
                <w:szCs w:val="22"/>
              </w:rPr>
              <w:t>289.30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34" w:type="dxa"/>
            <w:noWrap/>
          </w:tcPr>
          <w:p>
            <w:pPr>
              <w:pStyle w:val="yTableNAm"/>
              <w:rPr>
                <w:szCs w:val="22"/>
              </w:rPr>
            </w:pPr>
            <w:r>
              <w:rPr>
                <w:szCs w:val="22"/>
              </w:rPr>
              <w:t>638.35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61484</w:t>
            </w:r>
          </w:p>
        </w:tc>
        <w:tc>
          <w:tcPr>
            <w:tcW w:w="1134" w:type="dxa"/>
            <w:noWrap/>
          </w:tcPr>
          <w:p>
            <w:pPr>
              <w:pStyle w:val="yTableNAm"/>
              <w:rPr>
                <w:szCs w:val="22"/>
              </w:rPr>
            </w:pPr>
            <w:r>
              <w:rPr>
                <w:szCs w:val="22"/>
              </w:rPr>
              <w:t>1 453.45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34" w:type="dxa"/>
            <w:noWrap/>
          </w:tcPr>
          <w:p>
            <w:pPr>
              <w:pStyle w:val="yTableNAm"/>
              <w:rPr>
                <w:szCs w:val="22"/>
              </w:rPr>
            </w:pPr>
            <w:r>
              <w:rPr>
                <w:szCs w:val="22"/>
              </w:rPr>
              <w:t>1 648.70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34" w:type="dxa"/>
            <w:noWrap/>
          </w:tcPr>
          <w:p>
            <w:pPr>
              <w:pStyle w:val="y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34" w:type="dxa"/>
            <w:noWrap/>
          </w:tcPr>
          <w:p>
            <w:pPr>
              <w:pStyle w:val="yTableNAm"/>
              <w:rPr>
                <w:szCs w:val="22"/>
              </w:rPr>
            </w:pPr>
            <w:r>
              <w:rPr>
                <w:szCs w:val="22"/>
              </w:rPr>
              <w:t>417.45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34" w:type="dxa"/>
            <w:noWrap/>
          </w:tcPr>
          <w:p>
            <w:pPr>
              <w:pStyle w:val="yTableNAm"/>
              <w:rPr>
                <w:szCs w:val="22"/>
              </w:rPr>
            </w:pPr>
            <w:r>
              <w:rPr>
                <w:szCs w:val="22"/>
              </w:rPr>
              <w:t>1 449.75</w:t>
            </w:r>
          </w:p>
        </w:tc>
      </w:tr>
    </w:tbl>
    <w:p>
      <w:pPr>
        <w:pStyle w:val="yMiscellaneousBody"/>
        <w:keepNext/>
        <w:ind w:left="709"/>
      </w:pPr>
      <w:r>
        <w:t>MAGNETIC RESONANCE IMAGING</w:t>
      </w:r>
    </w:p>
    <w:tbl>
      <w:tblPr>
        <w:tblW w:w="0" w:type="auto"/>
        <w:jc w:val="center"/>
        <w:tblInd w:w="113"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63201</w:t>
            </w:r>
          </w:p>
        </w:tc>
        <w:tc>
          <w:tcPr>
            <w:tcW w:w="1134" w:type="dxa"/>
            <w:noWrap/>
          </w:tcPr>
          <w:p>
            <w:pPr>
              <w:pStyle w:val="yTableNAm"/>
            </w:pPr>
            <w:r>
              <w:t>1 611.65</w:t>
            </w:r>
          </w:p>
        </w:tc>
      </w:tr>
      <w:tr>
        <w:tblPrEx>
          <w:tblCellMar>
            <w:left w:w="108" w:type="dxa"/>
            <w:right w:w="108" w:type="dxa"/>
          </w:tblCellMar>
        </w:tblPrEx>
        <w:trPr>
          <w:trHeight w:val="312"/>
          <w:jc w:val="center"/>
        </w:trPr>
        <w:tc>
          <w:tcPr>
            <w:tcW w:w="4535" w:type="dxa"/>
            <w:noWrap/>
          </w:tcPr>
          <w:p>
            <w:pPr>
              <w:pStyle w:val="yTableNAm"/>
            </w:pPr>
            <w:r>
              <w:t xml:space="preserve">63202  </w:t>
            </w:r>
          </w:p>
        </w:tc>
        <w:tc>
          <w:tcPr>
            <w:tcW w:w="1134" w:type="dxa"/>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63203</w:t>
            </w:r>
          </w:p>
        </w:tc>
        <w:tc>
          <w:tcPr>
            <w:tcW w:w="1134" w:type="dxa"/>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63204</w:t>
            </w:r>
          </w:p>
        </w:tc>
        <w:tc>
          <w:tcPr>
            <w:tcW w:w="1134" w:type="dxa"/>
            <w:noWrap/>
          </w:tcPr>
          <w:p>
            <w:pPr>
              <w:pStyle w:val="yTableNAm"/>
            </w:pPr>
            <w:r>
              <w:t>1 611.65</w:t>
            </w:r>
          </w:p>
        </w:tc>
      </w:tr>
      <w:tr>
        <w:tblPrEx>
          <w:tblCellMar>
            <w:left w:w="108" w:type="dxa"/>
            <w:right w:w="108" w:type="dxa"/>
          </w:tblCellMar>
        </w:tblPrEx>
        <w:trPr>
          <w:trHeight w:val="312"/>
          <w:jc w:val="center"/>
        </w:trPr>
        <w:tc>
          <w:tcPr>
            <w:tcW w:w="4535" w:type="dxa"/>
            <w:noWrap/>
          </w:tcPr>
          <w:p>
            <w:pPr>
              <w:pStyle w:val="yTableNAm"/>
            </w:pPr>
            <w:r>
              <w:t>63219-63243</w:t>
            </w:r>
          </w:p>
        </w:tc>
        <w:tc>
          <w:tcPr>
            <w:tcW w:w="1134" w:type="dxa"/>
            <w:noWrap/>
          </w:tcPr>
          <w:p>
            <w:pPr>
              <w:pStyle w:val="yTableNAm"/>
            </w:pPr>
            <w:r>
              <w:t>1 611.65</w:t>
            </w:r>
          </w:p>
        </w:tc>
      </w:tr>
      <w:tr>
        <w:tblPrEx>
          <w:tblCellMar>
            <w:left w:w="108" w:type="dxa"/>
            <w:right w:w="108" w:type="dxa"/>
          </w:tblCellMar>
        </w:tblPrEx>
        <w:trPr>
          <w:trHeight w:val="312"/>
          <w:jc w:val="center"/>
        </w:trPr>
        <w:tc>
          <w:tcPr>
            <w:tcW w:w="4535" w:type="dxa"/>
            <w:noWrap/>
          </w:tcPr>
          <w:p>
            <w:pPr>
              <w:pStyle w:val="yTableNAm"/>
            </w:pPr>
            <w:r>
              <w:t>63271-63473</w:t>
            </w:r>
          </w:p>
        </w:tc>
        <w:tc>
          <w:tcPr>
            <w:tcW w:w="1134" w:type="dxa"/>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63491-63494</w:t>
            </w:r>
          </w:p>
        </w:tc>
        <w:tc>
          <w:tcPr>
            <w:tcW w:w="1134" w:type="dxa"/>
            <w:noWrap/>
          </w:tcPr>
          <w:p>
            <w:pPr>
              <w:pStyle w:val="yTableNAm"/>
            </w:pPr>
            <w:r>
              <w:t>122.85</w:t>
            </w:r>
          </w:p>
        </w:tc>
      </w:tr>
      <w:tr>
        <w:tblPrEx>
          <w:tblCellMar>
            <w:left w:w="108" w:type="dxa"/>
            <w:right w:w="108" w:type="dxa"/>
          </w:tblCellMar>
        </w:tblPrEx>
        <w:trPr>
          <w:trHeight w:val="312"/>
          <w:jc w:val="center"/>
        </w:trPr>
        <w:tc>
          <w:tcPr>
            <w:tcW w:w="4535" w:type="dxa"/>
            <w:noWrap/>
          </w:tcPr>
          <w:p>
            <w:pPr>
              <w:pStyle w:val="yTableNAm"/>
            </w:pPr>
            <w:r>
              <w:t>63497</w:t>
            </w:r>
          </w:p>
        </w:tc>
        <w:tc>
          <w:tcPr>
            <w:tcW w:w="1134" w:type="dxa"/>
            <w:noWrap/>
          </w:tcPr>
          <w:p>
            <w:pPr>
              <w:pStyle w:val="yTableNAm"/>
            </w:pPr>
            <w:r>
              <w:t>368.75</w:t>
            </w:r>
          </w:p>
        </w:tc>
      </w:tr>
    </w:tbl>
    <w:p>
      <w:pPr>
        <w:pStyle w:val="yFootnotesection"/>
      </w:pPr>
      <w:r>
        <w:tab/>
        <w:t>[Part 3 inserted: Gazette 22 Oct 2019 p. 3739</w:t>
      </w:r>
      <w:r>
        <w:noBreakHyphen/>
        <w:t>49.]</w:t>
      </w:r>
    </w:p>
    <w:p>
      <w:pPr>
        <w:pStyle w:val="yScheduleHeading"/>
      </w:pPr>
      <w:bookmarkStart w:id="97" w:name="_Toc54101480"/>
      <w:bookmarkStart w:id="98" w:name="_Toc54103132"/>
      <w:bookmarkStart w:id="99" w:name="_Toc54103388"/>
      <w:bookmarkStart w:id="100" w:name="_Toc54103459"/>
      <w:bookmarkStart w:id="101" w:name="_Toc54103917"/>
      <w:bookmarkStart w:id="102" w:name="_Toc54104275"/>
      <w:bookmarkStart w:id="103" w:name="_Toc54104364"/>
      <w:bookmarkStart w:id="104" w:name="_Toc54104820"/>
      <w:bookmarkStart w:id="105" w:name="_Toc54104967"/>
      <w:bookmarkStart w:id="106" w:name="_Toc54105997"/>
      <w:bookmarkStart w:id="107" w:name="_Toc54106135"/>
      <w:r>
        <w:rPr>
          <w:rStyle w:val="CharSchNo"/>
        </w:rPr>
        <w:t>Schedule 2</w:t>
      </w:r>
      <w:r>
        <w:t> — </w:t>
      </w:r>
      <w:r>
        <w:rPr>
          <w:rStyle w:val="CharSchText"/>
        </w:rPr>
        <w:t>Scale of fees: physiotherapists</w:t>
      </w:r>
      <w:bookmarkEnd w:id="97"/>
      <w:bookmarkEnd w:id="98"/>
      <w:bookmarkEnd w:id="99"/>
      <w:bookmarkEnd w:id="100"/>
      <w:bookmarkEnd w:id="101"/>
      <w:bookmarkEnd w:id="102"/>
      <w:bookmarkEnd w:id="103"/>
      <w:bookmarkEnd w:id="104"/>
      <w:bookmarkEnd w:id="105"/>
      <w:bookmarkEnd w:id="106"/>
      <w:bookmarkEnd w:id="107"/>
    </w:p>
    <w:p>
      <w:pPr>
        <w:pStyle w:val="yShoulderClause"/>
      </w:pPr>
      <w:r>
        <w:t>[r. 3]</w:t>
      </w:r>
    </w:p>
    <w:p>
      <w:pPr>
        <w:pStyle w:val="yFootnoteheading"/>
      </w:pPr>
      <w:r>
        <w:tab/>
        <w:t>[Heading inserted: Gazette 21 Oct 2016 p. 4845.]</w:t>
      </w:r>
    </w:p>
    <w:p>
      <w:pPr>
        <w:pStyle w:val="yHeading3"/>
      </w:pPr>
      <w:bookmarkStart w:id="108" w:name="_Toc54101481"/>
      <w:bookmarkStart w:id="109" w:name="_Toc54103133"/>
      <w:bookmarkStart w:id="110" w:name="_Toc54103389"/>
      <w:bookmarkStart w:id="111" w:name="_Toc54103460"/>
      <w:bookmarkStart w:id="112" w:name="_Toc54103918"/>
      <w:bookmarkStart w:id="113" w:name="_Toc54104276"/>
      <w:bookmarkStart w:id="114" w:name="_Toc54104365"/>
      <w:bookmarkStart w:id="115" w:name="_Toc54104821"/>
      <w:bookmarkStart w:id="116" w:name="_Toc54104968"/>
      <w:bookmarkStart w:id="117" w:name="_Toc54105998"/>
      <w:bookmarkStart w:id="118" w:name="_Toc54106136"/>
      <w:r>
        <w:rPr>
          <w:rStyle w:val="CharSDivNo"/>
        </w:rPr>
        <w:t>Part 1</w:t>
      </w:r>
      <w:r>
        <w:t> — </w:t>
      </w:r>
      <w:r>
        <w:rPr>
          <w:rStyle w:val="CharSDivText"/>
        </w:rPr>
        <w:t>General</w:t>
      </w:r>
      <w:bookmarkEnd w:id="108"/>
      <w:bookmarkEnd w:id="109"/>
      <w:bookmarkEnd w:id="110"/>
      <w:bookmarkEnd w:id="111"/>
      <w:bookmarkEnd w:id="112"/>
      <w:bookmarkEnd w:id="113"/>
      <w:bookmarkEnd w:id="114"/>
      <w:bookmarkEnd w:id="115"/>
      <w:bookmarkEnd w:id="116"/>
      <w:bookmarkEnd w:id="117"/>
      <w:bookmarkEnd w:id="118"/>
    </w:p>
    <w:p>
      <w:pPr>
        <w:pStyle w:val="yFootnoteheading"/>
        <w:spacing w:after="60"/>
      </w:pPr>
      <w:r>
        <w:tab/>
        <w:t>[Heading inserted: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$87.85</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$70.55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$89.15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$200.25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$87.85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$200.25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$87.85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$160.30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$20.10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$20.10</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$200.25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$200.25</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Gazette 21 Oct 2016 p. 4845</w:t>
      </w:r>
      <w:r>
        <w:noBreakHyphen/>
        <w:t>53; amended: Gazette 6 Oct 2017 p. 5226</w:t>
      </w:r>
      <w:r>
        <w:noBreakHyphen/>
        <w:t>7; 19 Oct 2018 p. 4184; 22 Oct 2019 p. 3750.]</w:t>
      </w:r>
    </w:p>
    <w:p>
      <w:pPr>
        <w:pStyle w:val="yHeading3"/>
      </w:pPr>
      <w:bookmarkStart w:id="119" w:name="_Toc54101482"/>
      <w:bookmarkStart w:id="120" w:name="_Toc54103134"/>
      <w:bookmarkStart w:id="121" w:name="_Toc54103390"/>
      <w:bookmarkStart w:id="122" w:name="_Toc54103461"/>
      <w:bookmarkStart w:id="123" w:name="_Toc54103919"/>
      <w:bookmarkStart w:id="124" w:name="_Toc54104277"/>
      <w:bookmarkStart w:id="125" w:name="_Toc54104366"/>
      <w:bookmarkStart w:id="126" w:name="_Toc54104822"/>
      <w:bookmarkStart w:id="127" w:name="_Toc54104969"/>
      <w:bookmarkStart w:id="128" w:name="_Toc54105999"/>
      <w:bookmarkStart w:id="129" w:name="_Toc54106137"/>
      <w:r>
        <w:rPr>
          <w:rStyle w:val="CharSDivNo"/>
        </w:rPr>
        <w:t>Part 2</w:t>
      </w:r>
      <w:r>
        <w:t> — </w:t>
      </w:r>
      <w:r>
        <w:rPr>
          <w:rStyle w:val="CharSDivText"/>
        </w:rPr>
        <w:t>Exercise</w:t>
      </w:r>
      <w:r>
        <w:rPr>
          <w:rStyle w:val="CharSDivText"/>
        </w:rPr>
        <w:noBreakHyphen/>
        <w:t>based programmes</w:t>
      </w:r>
      <w:bookmarkEnd w:id="119"/>
      <w:bookmarkEnd w:id="120"/>
      <w:bookmarkEnd w:id="121"/>
      <w:bookmarkEnd w:id="122"/>
      <w:bookmarkEnd w:id="123"/>
      <w:bookmarkEnd w:id="124"/>
      <w:bookmarkEnd w:id="125"/>
      <w:bookmarkEnd w:id="126"/>
      <w:bookmarkEnd w:id="127"/>
      <w:bookmarkEnd w:id="128"/>
      <w:bookmarkEnd w:id="129"/>
    </w:p>
    <w:p>
      <w:pPr>
        <w:pStyle w:val="yFootnoteheading"/>
        <w:spacing w:after="60"/>
      </w:pPr>
      <w:r>
        <w:tab/>
        <w:t>[Heading inserted: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$200.25</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$200.25</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$200.25</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$200.25</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$200.25</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$160.30</w:t>
            </w:r>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$20.10</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$200.25</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Gazette 21 Oct 2016 p. 4853</w:t>
      </w:r>
      <w:r>
        <w:noBreakHyphen/>
        <w:t>6; amended: Gazette 6 Oct 2017 p. 5226</w:t>
      </w:r>
      <w:r>
        <w:noBreakHyphen/>
        <w:t>7; 19 Oct 2018 p. 4184; 22 Oct 2019 p. 3750.]</w:t>
      </w:r>
    </w:p>
    <w:p>
      <w:pPr>
        <w:pStyle w:val="yScheduleHeading"/>
      </w:pPr>
      <w:bookmarkStart w:id="130" w:name="_Toc54101483"/>
      <w:bookmarkStart w:id="131" w:name="_Toc54103135"/>
      <w:bookmarkStart w:id="132" w:name="_Toc54103391"/>
      <w:bookmarkStart w:id="133" w:name="_Toc54103462"/>
      <w:bookmarkStart w:id="134" w:name="_Toc54103920"/>
      <w:bookmarkStart w:id="135" w:name="_Toc54104278"/>
      <w:bookmarkStart w:id="136" w:name="_Toc54104367"/>
      <w:bookmarkStart w:id="137" w:name="_Toc54104823"/>
      <w:bookmarkStart w:id="138" w:name="_Toc54104970"/>
      <w:bookmarkStart w:id="139" w:name="_Toc54106000"/>
      <w:bookmarkStart w:id="140" w:name="_Toc54106138"/>
      <w:r>
        <w:rPr>
          <w:rStyle w:val="CharSchNo"/>
        </w:rPr>
        <w:t>Schedule 3</w:t>
      </w:r>
      <w:r>
        <w:rPr>
          <w:rStyle w:val="CharSDivNo"/>
        </w:rPr>
        <w:t> </w:t>
      </w:r>
      <w:r>
        <w:t>—</w:t>
      </w:r>
      <w:r>
        <w:rPr>
          <w:rStyle w:val="CharSDivText"/>
        </w:rPr>
        <w:t> </w:t>
      </w:r>
      <w:r>
        <w:rPr>
          <w:rStyle w:val="CharSchText"/>
        </w:rPr>
        <w:t>Scale of fees: chiropractors</w:t>
      </w:r>
      <w:bookmarkEnd w:id="130"/>
      <w:bookmarkEnd w:id="131"/>
      <w:bookmarkEnd w:id="132"/>
      <w:bookmarkEnd w:id="133"/>
      <w:bookmarkEnd w:id="134"/>
      <w:bookmarkEnd w:id="135"/>
      <w:bookmarkEnd w:id="136"/>
      <w:bookmarkEnd w:id="137"/>
      <w:bookmarkEnd w:id="138"/>
      <w:bookmarkEnd w:id="139"/>
      <w:bookmarkEnd w:id="140"/>
    </w:p>
    <w:p>
      <w:pPr>
        <w:pStyle w:val="yShoulderClause"/>
      </w:pPr>
      <w:r>
        <w:t>[r. 4]</w:t>
      </w:r>
    </w:p>
    <w:p>
      <w:pPr>
        <w:pStyle w:val="yFootnoteheading"/>
        <w:spacing w:after="60"/>
      </w:pPr>
      <w:r>
        <w:tab/>
        <w:t>[Heading inserted: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$69.40</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$57.90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$137.95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$207.10</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Gazette 21 Oct 2016 p. 4856; amended: Gazette 6 Oct 2017 p. 5227; 19 Oct 2018 p. 4185; 22 Oct 2019 p. 3750.]</w:t>
      </w:r>
    </w:p>
    <w:p>
      <w:pPr>
        <w:pStyle w:val="yScheduleHeading"/>
      </w:pPr>
      <w:bookmarkStart w:id="141" w:name="_Toc54101484"/>
      <w:bookmarkStart w:id="142" w:name="_Toc54103136"/>
      <w:bookmarkStart w:id="143" w:name="_Toc54103392"/>
      <w:bookmarkStart w:id="144" w:name="_Toc54103463"/>
      <w:bookmarkStart w:id="145" w:name="_Toc54103921"/>
      <w:bookmarkStart w:id="146" w:name="_Toc54104279"/>
      <w:bookmarkStart w:id="147" w:name="_Toc54104368"/>
      <w:bookmarkStart w:id="148" w:name="_Toc54104824"/>
      <w:bookmarkStart w:id="149" w:name="_Toc54104971"/>
      <w:bookmarkStart w:id="150" w:name="_Toc54106001"/>
      <w:bookmarkStart w:id="151" w:name="_Toc54106139"/>
      <w:r>
        <w:rPr>
          <w:rStyle w:val="CharSchNo"/>
        </w:rPr>
        <w:t>Schedule 4</w:t>
      </w:r>
      <w:r>
        <w:rPr>
          <w:rStyle w:val="CharSDivNo"/>
        </w:rPr>
        <w:t> </w:t>
      </w:r>
      <w:r>
        <w:t>—</w:t>
      </w:r>
      <w:r>
        <w:rPr>
          <w:rStyle w:val="CharSDivText"/>
        </w:rPr>
        <w:t> </w:t>
      </w:r>
      <w:r>
        <w:rPr>
          <w:rStyle w:val="CharSchText"/>
        </w:rPr>
        <w:t>Scale of fees: occupational therapists</w:t>
      </w:r>
      <w:bookmarkEnd w:id="141"/>
      <w:bookmarkEnd w:id="142"/>
      <w:bookmarkEnd w:id="143"/>
      <w:bookmarkEnd w:id="144"/>
      <w:bookmarkEnd w:id="145"/>
      <w:bookmarkEnd w:id="146"/>
      <w:bookmarkEnd w:id="147"/>
      <w:bookmarkEnd w:id="148"/>
      <w:bookmarkEnd w:id="149"/>
      <w:bookmarkEnd w:id="150"/>
      <w:bookmarkEnd w:id="151"/>
    </w:p>
    <w:p>
      <w:pPr>
        <w:pStyle w:val="yShoulderClause"/>
      </w:pPr>
      <w:r>
        <w:t>[r. 5]</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$29.85</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$60.05</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$99.05</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$148.50</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$198.20</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$65.10</w:t>
            </w:r>
          </w:p>
        </w:tc>
      </w:tr>
      <w:tr>
        <w:trPr>
          <w:cantSplit/>
        </w:trPr>
        <w:tc>
          <w:tcPr>
            <w:tcW w:w="578" w:type="dxa"/>
          </w:tcPr>
          <w:p>
            <w:pPr>
              <w:pStyle w:val="yTableNAm"/>
            </w:pPr>
            <w:r>
              <w:t>7.</w:t>
            </w:r>
          </w:p>
        </w:tc>
        <w:tc>
          <w:tcPr>
            <w:tcW w:w="5092" w:type="dxa"/>
          </w:tcPr>
          <w:p>
            <w:pPr>
              <w:pStyle w:val="yTableNAm"/>
            </w:pPr>
            <w:r>
              <w:t>Travel costs</w:t>
            </w:r>
          </w:p>
        </w:tc>
        <w:tc>
          <w:tcPr>
            <w:tcW w:w="1134" w:type="dxa"/>
          </w:tcPr>
          <w:p>
            <w:pPr>
              <w:pStyle w:val="yTableNAm"/>
            </w:pPr>
            <w:r>
              <w:t>$198.20 per hour**</w:t>
            </w:r>
          </w:p>
        </w:tc>
      </w:tr>
      <w:tr>
        <w:trPr>
          <w:cantSplit/>
        </w:trPr>
        <w:tc>
          <w:tcPr>
            <w:tcW w:w="578" w:type="dxa"/>
          </w:tcPr>
          <w:p>
            <w:pPr>
              <w:pStyle w:val="yTableNAm"/>
            </w:pPr>
            <w:r>
              <w:t>8.</w:t>
            </w:r>
          </w:p>
        </w:tc>
        <w:tc>
          <w:tcPr>
            <w:tcW w:w="5092" w:type="dxa"/>
          </w:tcPr>
          <w:p>
            <w:pPr>
              <w:pStyle w:val="yTableNAm"/>
            </w:pPr>
            <w:r>
              <w:t>Treatment management plan for an upper limb injury</w:t>
            </w:r>
          </w:p>
        </w:tc>
        <w:tc>
          <w:tcPr>
            <w:tcW w:w="1134" w:type="dxa"/>
          </w:tcPr>
          <w:p>
            <w:pPr>
              <w:pStyle w:val="yTableNAm"/>
            </w:pPr>
            <w:r>
              <w:t>$87.85</w:t>
            </w: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4 inserted: Gazette 21 Oct 2016 p. 4857; amended: Gazette 6 Oct 2017 p. 5228; 19 Oct 2018 p. 4185; 22 Oct 2019 p. 3750</w:t>
      </w:r>
      <w:r>
        <w:noBreakHyphen/>
        <w:t>1.]</w:t>
      </w:r>
    </w:p>
    <w:p>
      <w:pPr>
        <w:pStyle w:val="yScheduleHeading"/>
      </w:pPr>
      <w:bookmarkStart w:id="152" w:name="_Toc54101485"/>
      <w:bookmarkStart w:id="153" w:name="_Toc54103137"/>
      <w:bookmarkStart w:id="154" w:name="_Toc54103393"/>
      <w:bookmarkStart w:id="155" w:name="_Toc54103464"/>
      <w:bookmarkStart w:id="156" w:name="_Toc54103922"/>
      <w:bookmarkStart w:id="157" w:name="_Toc54104280"/>
      <w:bookmarkStart w:id="158" w:name="_Toc54104369"/>
      <w:bookmarkStart w:id="159" w:name="_Toc54104825"/>
      <w:bookmarkStart w:id="160" w:name="_Toc54104972"/>
      <w:bookmarkStart w:id="161" w:name="_Toc54106002"/>
      <w:bookmarkStart w:id="162" w:name="_Toc54106140"/>
      <w:r>
        <w:rPr>
          <w:rStyle w:val="CharSchNo"/>
        </w:rPr>
        <w:t>Schedule 5</w:t>
      </w:r>
      <w:r>
        <w:rPr>
          <w:rStyle w:val="CharSDivNo"/>
        </w:rPr>
        <w:t> </w:t>
      </w:r>
      <w:r>
        <w:t>—</w:t>
      </w:r>
      <w:r>
        <w:rPr>
          <w:rStyle w:val="CharSDivText"/>
        </w:rPr>
        <w:t> </w:t>
      </w:r>
      <w:r>
        <w:rPr>
          <w:rStyle w:val="CharSchText"/>
        </w:rPr>
        <w:t>Scale of fees: speech pathologists</w:t>
      </w:r>
      <w:bookmarkEnd w:id="152"/>
      <w:bookmarkEnd w:id="153"/>
      <w:bookmarkEnd w:id="154"/>
      <w:bookmarkEnd w:id="155"/>
      <w:bookmarkEnd w:id="156"/>
      <w:bookmarkEnd w:id="157"/>
      <w:bookmarkEnd w:id="158"/>
      <w:bookmarkEnd w:id="159"/>
      <w:bookmarkEnd w:id="160"/>
      <w:bookmarkEnd w:id="161"/>
      <w:bookmarkEnd w:id="162"/>
    </w:p>
    <w:p>
      <w:pPr>
        <w:pStyle w:val="yShoulderClause"/>
      </w:pPr>
      <w:r>
        <w:t>[r. 7]</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t>$183.10</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t>$237.10</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t>$79.85</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t>$103.70</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t>$139.95</w:t>
            </w:r>
          </w:p>
        </w:tc>
      </w:tr>
    </w:tbl>
    <w:p>
      <w:pPr>
        <w:pStyle w:val="yFootnoteheading"/>
        <w:spacing w:after="60"/>
      </w:pPr>
      <w:r>
        <w:tab/>
        <w:t>[Schedule 5 inserted: Gazette 21 Oct 2016 p. 4857; amended: Gazette 6 Oct 2017 p. 5228; 19 Oct 2018 p. 4186; 22 Oct 2019 p. 3751.]</w:t>
      </w:r>
    </w:p>
    <w:p>
      <w:pPr>
        <w:pStyle w:val="yScheduleHeading"/>
      </w:pPr>
      <w:bookmarkStart w:id="163" w:name="_Toc54101486"/>
      <w:bookmarkStart w:id="164" w:name="_Toc54103138"/>
      <w:bookmarkStart w:id="165" w:name="_Toc54103394"/>
      <w:bookmarkStart w:id="166" w:name="_Toc54103465"/>
      <w:bookmarkStart w:id="167" w:name="_Toc54103923"/>
      <w:bookmarkStart w:id="168" w:name="_Toc54104281"/>
      <w:bookmarkStart w:id="169" w:name="_Toc54104370"/>
      <w:bookmarkStart w:id="170" w:name="_Toc54104826"/>
      <w:bookmarkStart w:id="171" w:name="_Toc54104973"/>
      <w:bookmarkStart w:id="172" w:name="_Toc54106003"/>
      <w:bookmarkStart w:id="173" w:name="_Toc54106141"/>
      <w:r>
        <w:rPr>
          <w:rStyle w:val="CharSchNo"/>
        </w:rPr>
        <w:t>Schedule 5A</w:t>
      </w:r>
      <w:r>
        <w:rPr>
          <w:rStyle w:val="CharSDivNo"/>
        </w:rPr>
        <w:t> </w:t>
      </w:r>
      <w:r>
        <w:t>—</w:t>
      </w:r>
      <w:r>
        <w:rPr>
          <w:rStyle w:val="CharSDivText"/>
        </w:rPr>
        <w:t> </w:t>
      </w:r>
      <w:r>
        <w:rPr>
          <w:rStyle w:val="CharSchText"/>
        </w:rPr>
        <w:t>Scale of fees: exercise physiologists</w:t>
      </w:r>
      <w:bookmarkEnd w:id="163"/>
      <w:bookmarkEnd w:id="164"/>
      <w:bookmarkEnd w:id="165"/>
      <w:bookmarkEnd w:id="166"/>
      <w:bookmarkEnd w:id="167"/>
      <w:bookmarkEnd w:id="168"/>
      <w:bookmarkEnd w:id="169"/>
      <w:bookmarkEnd w:id="170"/>
      <w:bookmarkEnd w:id="171"/>
      <w:bookmarkEnd w:id="172"/>
      <w:bookmarkEnd w:id="173"/>
    </w:p>
    <w:p>
      <w:pPr>
        <w:pStyle w:val="yShoulderClause"/>
      </w:pPr>
      <w:r>
        <w:t>[r. 7B]</w:t>
      </w:r>
    </w:p>
    <w:p>
      <w:pPr>
        <w:pStyle w:val="yFootnoteheading"/>
        <w:spacing w:after="60"/>
      </w:pPr>
      <w:r>
        <w:tab/>
        <w:t>[Heading inserted: Gazette 21 Oct 2016 p. 4858.]</w:t>
      </w:r>
    </w:p>
    <w:p>
      <w:pPr>
        <w:pStyle w:val="yHeading3"/>
      </w:pPr>
      <w:bookmarkStart w:id="174" w:name="_Toc54101487"/>
      <w:bookmarkStart w:id="175" w:name="_Toc54103139"/>
      <w:bookmarkStart w:id="176" w:name="_Toc54103395"/>
      <w:bookmarkStart w:id="177" w:name="_Toc54103466"/>
      <w:bookmarkStart w:id="178" w:name="_Toc54103924"/>
      <w:bookmarkStart w:id="179" w:name="_Toc54104282"/>
      <w:bookmarkStart w:id="180" w:name="_Toc54104371"/>
      <w:bookmarkStart w:id="181" w:name="_Toc54104827"/>
      <w:bookmarkStart w:id="182" w:name="_Toc54104974"/>
      <w:bookmarkStart w:id="183" w:name="_Toc54106004"/>
      <w:bookmarkStart w:id="184" w:name="_Toc54106142"/>
      <w:r>
        <w:t>Exercise</w:t>
      </w:r>
      <w:r>
        <w:noBreakHyphen/>
        <w:t>based programmes</w:t>
      </w:r>
      <w:bookmarkEnd w:id="174"/>
      <w:bookmarkEnd w:id="175"/>
      <w:bookmarkEnd w:id="176"/>
      <w:bookmarkEnd w:id="177"/>
      <w:bookmarkEnd w:id="178"/>
      <w:bookmarkEnd w:id="179"/>
      <w:bookmarkEnd w:id="180"/>
      <w:bookmarkEnd w:id="181"/>
      <w:bookmarkEnd w:id="182"/>
      <w:bookmarkEnd w:id="183"/>
      <w:bookmarkEnd w:id="184"/>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EPE20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$200.25</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EPE21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$200.25</w:t>
            </w:r>
            <w:r>
              <w:br/>
              <w:t>per hour to a maximum of 1 hour**</w:t>
            </w:r>
          </w:p>
        </w:tc>
      </w:tr>
      <w:tr>
        <w:trPr>
          <w:cantSplit/>
        </w:trPr>
        <w:tc>
          <w:tcPr>
            <w:tcW w:w="992" w:type="dxa"/>
            <w:tcBorders>
              <w:top w:val="single" w:sz="4" w:space="0" w:color="auto"/>
            </w:tcBorders>
          </w:tcPr>
          <w:p>
            <w:pPr>
              <w:pStyle w:val="yTableNAm"/>
            </w:pPr>
            <w:r>
              <w:t>EPE02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$200.25</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EPE03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$200.25</w:t>
            </w:r>
            <w:r>
              <w:br/>
              <w:t>per hour to a maximum of 30 minutes**</w:t>
            </w:r>
          </w:p>
        </w:tc>
      </w:tr>
      <w:tr>
        <w:trPr>
          <w:cantSplit/>
        </w:trPr>
        <w:tc>
          <w:tcPr>
            <w:tcW w:w="992" w:type="dxa"/>
            <w:tcBorders>
              <w:top w:val="single" w:sz="4" w:space="0" w:color="auto"/>
              <w:bottom w:val="single" w:sz="4" w:space="0" w:color="auto"/>
            </w:tcBorders>
          </w:tcPr>
          <w:p>
            <w:pPr>
              <w:pStyle w:val="yTableNAm"/>
            </w:pPr>
            <w:r>
              <w:t>EPE04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$200.25</w:t>
            </w:r>
            <w:r>
              <w:br/>
              <w:t>per hour to a maximum of 30 minutes**</w:t>
            </w:r>
          </w:p>
        </w:tc>
      </w:tr>
      <w:tr>
        <w:trPr>
          <w:cantSplit/>
        </w:trPr>
        <w:tc>
          <w:tcPr>
            <w:tcW w:w="992" w:type="dxa"/>
            <w:tcBorders>
              <w:top w:val="single" w:sz="4" w:space="0" w:color="auto"/>
              <w:bottom w:val="single" w:sz="4" w:space="0" w:color="auto"/>
            </w:tcBorders>
          </w:tcPr>
          <w:p>
            <w:pPr>
              <w:pStyle w:val="yTableNAm"/>
            </w:pPr>
            <w:r>
              <w:t>EPE05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EPE06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$160.30</w:t>
            </w:r>
            <w:r>
              <w:br/>
              <w:t>per hour**</w:t>
            </w:r>
          </w:p>
        </w:tc>
      </w:tr>
      <w:tr>
        <w:trPr>
          <w:cantSplit/>
        </w:trPr>
        <w:tc>
          <w:tcPr>
            <w:tcW w:w="992" w:type="dxa"/>
            <w:tcBorders>
              <w:top w:val="single" w:sz="4" w:space="0" w:color="auto"/>
              <w:bottom w:val="single" w:sz="4" w:space="0" w:color="auto"/>
            </w:tcBorders>
          </w:tcPr>
          <w:p>
            <w:pPr>
              <w:pStyle w:val="yTableNAm"/>
            </w:pPr>
            <w:r>
              <w:t>EPE08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$20.10</w:t>
            </w:r>
            <w:r>
              <w:br/>
              <w:t>per 6 minute block</w:t>
            </w:r>
          </w:p>
        </w:tc>
      </w:tr>
      <w:tr>
        <w:trPr>
          <w:cantSplit/>
        </w:trPr>
        <w:tc>
          <w:tcPr>
            <w:tcW w:w="992" w:type="dxa"/>
            <w:tcBorders>
              <w:top w:val="single" w:sz="4" w:space="0" w:color="auto"/>
              <w:bottom w:val="single" w:sz="4" w:space="0" w:color="auto"/>
            </w:tcBorders>
          </w:tcPr>
          <w:p>
            <w:pPr>
              <w:pStyle w:val="yTableNAm"/>
            </w:pPr>
            <w:r>
              <w:t>EPE09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$200.25</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Gazette 21 Oct 2016 p. 4858</w:t>
      </w:r>
      <w:r>
        <w:noBreakHyphen/>
        <w:t>60; amended: Gazette 6 Oct 2017 p. 5229; 19 Oct 2018 p. 4186; 22 Oct 2019 p. 3751</w:t>
      </w:r>
      <w:r>
        <w:noBreakHyphen/>
        <w:t>2.]</w:t>
      </w:r>
    </w:p>
    <w:p>
      <w:pPr>
        <w:pStyle w:val="yScheduleHeading"/>
      </w:pPr>
      <w:bookmarkStart w:id="185" w:name="_Toc54101488"/>
      <w:bookmarkStart w:id="186" w:name="_Toc54103140"/>
      <w:bookmarkStart w:id="187" w:name="_Toc54103396"/>
      <w:bookmarkStart w:id="188" w:name="_Toc54103467"/>
      <w:bookmarkStart w:id="189" w:name="_Toc54103925"/>
      <w:bookmarkStart w:id="190" w:name="_Toc54104283"/>
      <w:bookmarkStart w:id="191" w:name="_Toc54104372"/>
      <w:bookmarkStart w:id="192" w:name="_Toc54104828"/>
      <w:bookmarkStart w:id="193" w:name="_Toc54104975"/>
      <w:bookmarkStart w:id="194" w:name="_Toc54106005"/>
      <w:bookmarkStart w:id="195" w:name="_Toc54106143"/>
      <w:r>
        <w:rPr>
          <w:rStyle w:val="CharSchNo"/>
        </w:rPr>
        <w:t>Schedule 6</w:t>
      </w:r>
      <w:r>
        <w:t> — </w:t>
      </w:r>
      <w:r>
        <w:rPr>
          <w:rStyle w:val="CharSchText"/>
        </w:rPr>
        <w:t>Scale of maximum fees: approved medical specialists</w:t>
      </w:r>
      <w:bookmarkEnd w:id="185"/>
      <w:bookmarkEnd w:id="186"/>
      <w:bookmarkEnd w:id="187"/>
      <w:bookmarkEnd w:id="188"/>
      <w:bookmarkEnd w:id="189"/>
      <w:bookmarkEnd w:id="190"/>
      <w:bookmarkEnd w:id="191"/>
      <w:bookmarkEnd w:id="192"/>
      <w:bookmarkEnd w:id="193"/>
      <w:bookmarkEnd w:id="194"/>
      <w:bookmarkEnd w:id="195"/>
    </w:p>
    <w:p>
      <w:pPr>
        <w:pStyle w:val="yShoulderClause"/>
      </w:pPr>
      <w:r>
        <w:t>[r. 9]</w:t>
      </w:r>
    </w:p>
    <w:p>
      <w:pPr>
        <w:pStyle w:val="yFootnoteheading"/>
        <w:spacing w:after="60"/>
      </w:pPr>
      <w:r>
        <w:tab/>
        <w:t>[Heading inserted: Gazette 21 Oct 2016 p. 4861.]</w:t>
      </w:r>
    </w:p>
    <w:p>
      <w:pPr>
        <w:pStyle w:val="yHeading3"/>
      </w:pPr>
      <w:bookmarkStart w:id="196" w:name="_Toc54101489"/>
      <w:bookmarkStart w:id="197" w:name="_Toc54103141"/>
      <w:bookmarkStart w:id="198" w:name="_Toc54103397"/>
      <w:bookmarkStart w:id="199" w:name="_Toc54103468"/>
      <w:bookmarkStart w:id="200" w:name="_Toc54103926"/>
      <w:bookmarkStart w:id="201" w:name="_Toc54104284"/>
      <w:bookmarkStart w:id="202" w:name="_Toc54104373"/>
      <w:bookmarkStart w:id="203" w:name="_Toc54104829"/>
      <w:bookmarkStart w:id="204" w:name="_Toc54104976"/>
      <w:bookmarkStart w:id="205" w:name="_Toc54106006"/>
      <w:bookmarkStart w:id="206" w:name="_Toc54106144"/>
      <w:r>
        <w:rPr>
          <w:rStyle w:val="CharSDivNo"/>
        </w:rPr>
        <w:t>Part 1</w:t>
      </w:r>
      <w:r>
        <w:t> — </w:t>
      </w:r>
      <w:r>
        <w:rPr>
          <w:rStyle w:val="CharSDivText"/>
        </w:rPr>
        <w:t>Assessments</w:t>
      </w:r>
      <w:bookmarkEnd w:id="196"/>
      <w:bookmarkEnd w:id="197"/>
      <w:bookmarkEnd w:id="198"/>
      <w:bookmarkEnd w:id="199"/>
      <w:bookmarkEnd w:id="200"/>
      <w:bookmarkEnd w:id="201"/>
      <w:bookmarkEnd w:id="202"/>
      <w:bookmarkEnd w:id="203"/>
      <w:bookmarkEnd w:id="204"/>
      <w:bookmarkEnd w:id="205"/>
      <w:bookmarkEnd w:id="206"/>
    </w:p>
    <w:p>
      <w:pPr>
        <w:pStyle w:val="yFootnoteheading"/>
        <w:spacing w:after="60"/>
      </w:pPr>
      <w:r>
        <w:tab/>
        <w:t>[Heading inserted: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$1 350.90 (or, if an interpreter is present at the examination, $1 688.60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$1 688.60 (or, if an interpreter is present at the examination, $2 026.30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$2 026.30 (or, if an interpreter is present at the examination, $2 363.95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$1 350.90 (or, if an interpreter is present at the examination, $1 688.60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$2 026.30 (or, if an interpreter is present at the examination, $2 363.95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$3 377.00 (or, if an interpreter is present at the examination, $3 714.65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$675.40</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$1 013.10 (or, if an interpreter is present at the examination, $1 350.90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$337.75</w:t>
            </w:r>
          </w:p>
        </w:tc>
      </w:tr>
    </w:tbl>
    <w:p>
      <w:pPr>
        <w:pStyle w:val="yFootnoteheading"/>
        <w:spacing w:after="60"/>
      </w:pPr>
      <w:r>
        <w:tab/>
        <w:t>[Part 1 inserted: Gazette 21 Oct 2016 p. 4861</w:t>
      </w:r>
      <w:r>
        <w:noBreakHyphen/>
        <w:t>2; amended: Gazette 6 Oct 2017 p. 5229</w:t>
      </w:r>
      <w:r>
        <w:noBreakHyphen/>
        <w:t>30; 19 Oct 2018 p. 4187; 22 Oct 2019 p. 3752.]</w:t>
      </w:r>
    </w:p>
    <w:p>
      <w:pPr>
        <w:pStyle w:val="yHeading3"/>
        <w:pageBreakBefore/>
      </w:pPr>
      <w:bookmarkStart w:id="207" w:name="_Toc54101490"/>
      <w:bookmarkStart w:id="208" w:name="_Toc54103142"/>
      <w:bookmarkStart w:id="209" w:name="_Toc54103398"/>
      <w:bookmarkStart w:id="210" w:name="_Toc54103469"/>
      <w:bookmarkStart w:id="211" w:name="_Toc54103927"/>
      <w:bookmarkStart w:id="212" w:name="_Toc54104285"/>
      <w:bookmarkStart w:id="213" w:name="_Toc54104374"/>
      <w:bookmarkStart w:id="214" w:name="_Toc54104830"/>
      <w:bookmarkStart w:id="215" w:name="_Toc54104977"/>
      <w:bookmarkStart w:id="216" w:name="_Toc54106007"/>
      <w:bookmarkStart w:id="217" w:name="_Toc54106145"/>
      <w:r>
        <w:rPr>
          <w:rStyle w:val="CharSDivNo"/>
        </w:rPr>
        <w:t>Part 2</w:t>
      </w:r>
      <w:r>
        <w:t> — </w:t>
      </w:r>
      <w:r>
        <w:rPr>
          <w:rStyle w:val="CharSDivText"/>
        </w:rPr>
        <w:t>Attempted assessments</w:t>
      </w:r>
      <w:bookmarkEnd w:id="207"/>
      <w:bookmarkEnd w:id="208"/>
      <w:bookmarkEnd w:id="209"/>
      <w:bookmarkEnd w:id="210"/>
      <w:bookmarkEnd w:id="211"/>
      <w:bookmarkEnd w:id="212"/>
      <w:bookmarkEnd w:id="213"/>
      <w:bookmarkEnd w:id="214"/>
      <w:bookmarkEnd w:id="215"/>
      <w:bookmarkEnd w:id="216"/>
      <w:bookmarkEnd w:id="217"/>
    </w:p>
    <w:p>
      <w:pPr>
        <w:pStyle w:val="yFootnoteheading"/>
        <w:spacing w:after="60"/>
      </w:pPr>
      <w:r>
        <w:tab/>
        <w:t>[Heading inserted: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$675.40</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Gazette 21 Oct 2016 p. 4862</w:t>
      </w:r>
      <w:r>
        <w:noBreakHyphen/>
        <w:t>3; amended: Gazette 6 Oct 2017 p. 5229</w:t>
      </w:r>
      <w:r>
        <w:noBreakHyphen/>
        <w:t>30; 19 Oct 2018 p. 4187.]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9" w:name="_Toc54103143"/>
      <w:bookmarkStart w:id="220" w:name="_Toc54103399"/>
      <w:bookmarkStart w:id="221" w:name="_Toc54103470"/>
      <w:bookmarkStart w:id="222" w:name="_Toc54103928"/>
      <w:bookmarkStart w:id="223" w:name="_Toc54104286"/>
      <w:bookmarkStart w:id="224" w:name="_Toc54104375"/>
      <w:bookmarkStart w:id="225" w:name="_Toc54104831"/>
      <w:bookmarkStart w:id="226" w:name="_Toc54104978"/>
      <w:bookmarkStart w:id="227" w:name="_Toc54106008"/>
      <w:bookmarkStart w:id="228" w:name="_Toc54106146"/>
      <w:bookmarkStart w:id="229" w:name="_Toc54101493"/>
      <w:r>
        <w:t>Notes</w:t>
      </w:r>
      <w:bookmarkEnd w:id="219"/>
      <w:bookmarkEnd w:id="220"/>
      <w:bookmarkEnd w:id="221"/>
      <w:bookmarkEnd w:id="222"/>
      <w:bookmarkEnd w:id="223"/>
      <w:bookmarkEnd w:id="224"/>
      <w:bookmarkEnd w:id="225"/>
      <w:bookmarkEnd w:id="226"/>
      <w:bookmarkEnd w:id="227"/>
      <w:bookmarkEnd w:id="228"/>
    </w:p>
    <w:p>
      <w:pPr>
        <w:pStyle w:val="nStatement"/>
      </w:pPr>
      <w:r>
        <w:t xml:space="preserve">This is a compilation of the </w:t>
      </w:r>
      <w:r>
        <w:rPr>
          <w:i/>
          <w:noProof/>
        </w:rPr>
        <w:t>Workers’ Compensation and Injury Management (Scales of Fees) Regulations 1998</w:t>
      </w:r>
      <w:r>
        <w:t xml:space="preserve"> and includes amendments made by other written laws </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230" w:name="_Toc54104376"/>
      <w:bookmarkStart w:id="231" w:name="_Toc54106147"/>
      <w:r>
        <w:t>Compilation table</w:t>
      </w:r>
      <w:bookmarkEnd w:id="230"/>
      <w:bookmarkEnd w:id="2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pPr>
            <w:r>
              <w:rPr>
                <w:i/>
              </w:rPr>
              <w:t>Workers’ Compensation and Injury Management (Scales of Fees) Amendment Regulations 2019</w:t>
            </w:r>
          </w:p>
        </w:tc>
        <w:tc>
          <w:tcPr>
            <w:tcW w:w="1276" w:type="dxa"/>
            <w:tcBorders>
              <w:bottom w:val="single" w:sz="4" w:space="0" w:color="auto"/>
            </w:tcBorders>
          </w:tcPr>
          <w:p>
            <w:pPr>
              <w:pStyle w:val="nTable"/>
              <w:spacing w:after="40"/>
            </w:pPr>
            <w:r>
              <w:t>22 Oct 2019</w:t>
            </w:r>
            <w:r>
              <w:br/>
              <w:t>p. 3733</w:t>
            </w:r>
            <w:r>
              <w:noBreakHyphen/>
              <w:t>52</w:t>
            </w:r>
          </w:p>
        </w:tc>
        <w:tc>
          <w:tcPr>
            <w:tcW w:w="2693" w:type="dxa"/>
            <w:tcBorders>
              <w:bottom w:val="single" w:sz="4" w:space="0" w:color="auto"/>
            </w:tcBorders>
          </w:tcPr>
          <w:p>
            <w:pPr>
              <w:pStyle w:val="nTable"/>
              <w:spacing w:after="40"/>
              <w:rPr>
                <w:bCs/>
                <w:noProof/>
                <w:snapToGrid w:val="0"/>
                <w:spacing w:val="-2"/>
              </w:rPr>
            </w:pPr>
            <w:r>
              <w:t>r. 1 and 2: 22 Oct 2019 (see r. 2(a));</w:t>
            </w:r>
            <w:r>
              <w:br/>
              <w:t>Regulations other than r. 1 and 2: 1 Nov 2019 (see r. 2(b))</w:t>
            </w:r>
          </w:p>
        </w:tc>
      </w:tr>
    </w:tbl>
    <w:p>
      <w:pPr>
        <w:pStyle w:val="nHeading3"/>
      </w:pPr>
      <w:bookmarkStart w:id="232" w:name="_Toc54104377"/>
      <w:bookmarkStart w:id="233" w:name="_Toc54106148"/>
      <w:r>
        <w:t>Uncommenced provisions table</w:t>
      </w:r>
      <w:bookmarkEnd w:id="232"/>
      <w:bookmarkEnd w:id="2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Workers’ Compensation and Injury Management (Scales of Fees) Amendment Regulations 2020 </w:t>
            </w:r>
            <w:r>
              <w:t>r. 3-8</w:t>
            </w:r>
          </w:p>
        </w:tc>
        <w:tc>
          <w:tcPr>
            <w:tcW w:w="1276" w:type="dxa"/>
          </w:tcPr>
          <w:p>
            <w:pPr>
              <w:pStyle w:val="nTable"/>
              <w:spacing w:after="40"/>
            </w:pPr>
            <w:r>
              <w:t>SL 2020/203 23 Oct 2020</w:t>
            </w:r>
          </w:p>
        </w:tc>
        <w:tc>
          <w:tcPr>
            <w:tcW w:w="2693" w:type="dxa"/>
          </w:tcPr>
          <w:p>
            <w:pPr>
              <w:pStyle w:val="nTable"/>
              <w:spacing w:after="40"/>
            </w:pPr>
            <w:r>
              <w:t>1 Nov 2020 (see r. 2(b))</w:t>
            </w:r>
          </w:p>
        </w:tc>
      </w:tr>
    </w:tbl>
    <w:p>
      <w:pPr>
        <w:pStyle w:val="nHeading3"/>
      </w:pPr>
      <w:bookmarkStart w:id="234" w:name="_Toc54104378"/>
      <w:bookmarkStart w:id="235" w:name="_Toc54106149"/>
      <w:r>
        <w:t>Other notes</w:t>
      </w:r>
      <w:bookmarkEnd w:id="234"/>
      <w:bookmarkEnd w:id="235"/>
    </w:p>
    <w:p>
      <w:pPr>
        <w:pStyle w:val="nNote"/>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sectPr>
          <w:headerReference w:type="even" r:id="rId29"/>
          <w:headerReference w:type="default" r:id="rId30"/>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237" w:name="_Toc54103147"/>
      <w:bookmarkStart w:id="238" w:name="_Toc54103403"/>
      <w:bookmarkStart w:id="239" w:name="_Toc54103474"/>
      <w:bookmarkStart w:id="240" w:name="_Toc54103932"/>
      <w:bookmarkStart w:id="241" w:name="_Toc54104290"/>
      <w:bookmarkStart w:id="242" w:name="_Toc54104379"/>
      <w:bookmarkStart w:id="243" w:name="_Toc54104835"/>
      <w:bookmarkStart w:id="244" w:name="_Toc54104982"/>
      <w:bookmarkStart w:id="245" w:name="_Toc54106012"/>
      <w:bookmarkStart w:id="246" w:name="_Toc54106150"/>
      <w:r>
        <w:rPr>
          <w:sz w:val="28"/>
        </w:rPr>
        <w:t>Defined terms</w:t>
      </w:r>
      <w:bookmarkEnd w:id="229"/>
      <w:bookmarkEnd w:id="237"/>
      <w:bookmarkEnd w:id="238"/>
      <w:bookmarkEnd w:id="239"/>
      <w:bookmarkEnd w:id="240"/>
      <w:bookmarkEnd w:id="241"/>
      <w:bookmarkEnd w:id="242"/>
      <w:bookmarkEnd w:id="243"/>
      <w:bookmarkEnd w:id="244"/>
      <w:bookmarkEnd w:id="245"/>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and</w:t>
      </w:r>
      <w:r>
        <w:tab/>
        <w:t>Sch. 1</w:t>
      </w:r>
    </w:p>
    <w:p>
      <w:pPr>
        <w:pStyle w:val="DefinedTerms"/>
      </w:pPr>
      <w:r>
        <w:t>closed reduction</w:t>
      </w:r>
      <w:r>
        <w:tab/>
        <w:t>Sch. 1</w:t>
      </w:r>
    </w:p>
    <w:p>
      <w:pPr>
        <w:pStyle w:val="DefinedTerms"/>
      </w:pPr>
      <w:r>
        <w:t>exposure</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Pr>
        <w:pStyle w:val="DefinedTerms"/>
      </w:pPr>
      <w:r>
        <w:t>use</w:t>
      </w:r>
      <w:r>
        <w:tab/>
        <w:t>Sch. 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8" w:name="Schedule"/>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7" w:name="DefinedTerms"/>
    <w:bookmarkEnd w:id="2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 w:name="Coversheet"/>
    <w:bookmarkEnd w:id="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lvlText w:val="%1."/>
      <w:lvlJc w:val="left"/>
      <w:pPr>
        <w:tabs>
          <w:tab w:val="num" w:pos="1492"/>
        </w:tabs>
        <w:ind w:left="1492" w:hanging="360"/>
      </w:pPr>
    </w:lvl>
  </w:abstractNum>
  <w:abstractNum w:abstractNumId="1">
    <w:nsid w:val="FFFFFF7D"/>
    <w:multiLevelType w:val="singleLevel"/>
    <w:tmpl w:val="AC780C5E"/>
    <w:lvl w:ilvl="0">
      <w:start w:val="1"/>
      <w:numFmt w:val="decimal"/>
      <w:lvlText w:val="%1."/>
      <w:lvlJc w:val="left"/>
      <w:pPr>
        <w:tabs>
          <w:tab w:val="num" w:pos="1209"/>
        </w:tabs>
        <w:ind w:left="1209" w:hanging="360"/>
      </w:pPr>
    </w:lvl>
  </w:abstractNum>
  <w:abstractNum w:abstractNumId="2">
    <w:nsid w:val="FFFFFF7E"/>
    <w:multiLevelType w:val="singleLevel"/>
    <w:tmpl w:val="3906ECD8"/>
    <w:lvl w:ilvl="0">
      <w:start w:val="1"/>
      <w:numFmt w:val="decimal"/>
      <w:lvlText w:val="%1."/>
      <w:lvlJc w:val="left"/>
      <w:pPr>
        <w:tabs>
          <w:tab w:val="num" w:pos="926"/>
        </w:tabs>
        <w:ind w:left="926" w:hanging="360"/>
      </w:pPr>
    </w:lvl>
  </w:abstractNum>
  <w:abstractNum w:abstractNumId="3">
    <w:nsid w:val="FFFFFF7F"/>
    <w:multiLevelType w:val="singleLevel"/>
    <w:tmpl w:val="B3126976"/>
    <w:lvl w:ilvl="0">
      <w:start w:val="1"/>
      <w:numFmt w:val="decimal"/>
      <w:lvlText w:val="%1."/>
      <w:lvlJc w:val="left"/>
      <w:pPr>
        <w:tabs>
          <w:tab w:val="num" w:pos="643"/>
        </w:tabs>
        <w:ind w:left="643" w:hanging="360"/>
      </w:pPr>
    </w:lvl>
  </w:abstractNum>
  <w:abstractNum w:abstractNumId="4">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lvlText w:val="%1."/>
      <w:lvlJc w:val="left"/>
      <w:pPr>
        <w:tabs>
          <w:tab w:val="num" w:pos="360"/>
        </w:tabs>
        <w:ind w:left="360" w:hanging="360"/>
      </w:pPr>
    </w:lvl>
  </w:abstractNum>
  <w:abstractNum w:abstractNumId="9">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0154946"/>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36617-E5D3-478E-94DA-0006D999B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13942</Words>
  <Characters>76266</Characters>
  <Application>Microsoft Office Word</Application>
  <DocSecurity>0</DocSecurity>
  <Lines>4486</Lines>
  <Paragraphs>3469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86739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1998 - 05-o0-00</dc:title>
  <dc:subject/>
  <dc:creator/>
  <cp:keywords/>
  <dc:description/>
  <cp:lastModifiedBy>svcMRProcess</cp:lastModifiedBy>
  <cp:revision>4</cp:revision>
  <cp:lastPrinted>2019-10-30T04:52:00Z</cp:lastPrinted>
  <dcterms:created xsi:type="dcterms:W3CDTF">2020-10-22T06:56:00Z</dcterms:created>
  <dcterms:modified xsi:type="dcterms:W3CDTF">2020-10-22T06:56:00Z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CommencementDate">
    <vt:lpwstr>20201023</vt:lpwstr>
  </property>
  <property fmtid="{D5CDD505-2E9C-101B-9397-08002B2CF9AE}" pid="8" name="AsAtDate">
    <vt:lpwstr>23 Oct 2020</vt:lpwstr>
  </property>
  <property fmtid="{D5CDD505-2E9C-101B-9397-08002B2CF9AE}" pid="9" name="Suffix">
    <vt:lpwstr>05-o0-00</vt:lpwstr>
  </property>
</Properties>
</file>