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Dog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Dog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_Toc55305604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_Toc55305605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_Toc55305606 \h </w:instrText>
      </w:r>
      <w:r>
        <w:fldChar w:fldCharType="separate"/>
      </w:r>
      <w:r>
        <w:t>1</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_Toc55305607 \h </w:instrText>
      </w:r>
      <w:r>
        <w:fldChar w:fldCharType="separate"/>
      </w:r>
      <w:r>
        <w:t>1</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_Toc55305608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_Toc55305609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_Toc55305610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_Toc55305611 \h </w:instrText>
      </w:r>
      <w:r>
        <w:fldChar w:fldCharType="separate"/>
      </w:r>
      <w:r>
        <w:t>3</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_Toc55305612 \h </w:instrText>
      </w:r>
      <w:r>
        <w:fldChar w:fldCharType="separate"/>
      </w:r>
      <w:r>
        <w:t>3</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_Toc55305613 \h </w:instrText>
      </w:r>
      <w:r>
        <w:fldChar w:fldCharType="separate"/>
      </w:r>
      <w:r>
        <w:t>5</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_Toc55305614 \h </w:instrText>
      </w:r>
      <w:r>
        <w:fldChar w:fldCharType="separate"/>
      </w:r>
      <w:r>
        <w:t>5</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_Toc55305615 \h </w:instrText>
      </w:r>
      <w:r>
        <w:fldChar w:fldCharType="separate"/>
      </w:r>
      <w:r>
        <w:t>5</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_Toc55305616 \h </w:instrText>
      </w:r>
      <w:r>
        <w:fldChar w:fldCharType="separate"/>
      </w:r>
      <w:r>
        <w:t>5</w:t>
      </w:r>
      <w:r>
        <w:fldChar w:fldCharType="end"/>
      </w:r>
    </w:p>
    <w:p>
      <w:pPr>
        <w:pStyle w:val="TOC8"/>
        <w:rPr>
          <w:rFonts w:asciiTheme="minorHAnsi" w:eastAsiaTheme="minorEastAsia" w:hAnsiTheme="minorHAnsi" w:cstheme="minorBidi"/>
          <w:szCs w:val="22"/>
        </w:rPr>
      </w:pPr>
      <w:r>
        <w:t>14.</w:t>
      </w:r>
      <w:r>
        <w:tab/>
        <w:t>Certificates of authorisation</w:t>
      </w:r>
      <w:r>
        <w:tab/>
      </w:r>
      <w:r>
        <w:fldChar w:fldCharType="begin"/>
      </w:r>
      <w:r>
        <w:instrText xml:space="preserve"> PAGEREF _Toc55305617 \h </w:instrText>
      </w:r>
      <w:r>
        <w:fldChar w:fldCharType="separate"/>
      </w:r>
      <w:r>
        <w:t>6</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_Toc55305618 \h </w:instrText>
      </w:r>
      <w:r>
        <w:fldChar w:fldCharType="separate"/>
      </w:r>
      <w:r>
        <w:t>6</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_Toc55305619 \h </w:instrText>
      </w:r>
      <w:r>
        <w:fldChar w:fldCharType="separate"/>
      </w:r>
      <w:r>
        <w:t>6</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_Toc55305620 \h </w:instrText>
      </w:r>
      <w:r>
        <w:fldChar w:fldCharType="separate"/>
      </w:r>
      <w:r>
        <w:t>7</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_Toc55305621 \h </w:instrText>
      </w:r>
      <w:r>
        <w:fldChar w:fldCharType="separate"/>
      </w:r>
      <w:r>
        <w:t>8</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_Toc55305622 \h </w:instrText>
      </w:r>
      <w:r>
        <w:fldChar w:fldCharType="separate"/>
      </w:r>
      <w:r>
        <w:t>8</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_Toc55305623 \h </w:instrText>
      </w:r>
      <w:r>
        <w:fldChar w:fldCharType="separate"/>
      </w:r>
      <w:r>
        <w:t>10</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_Toc55305624 \h </w:instrText>
      </w:r>
      <w:r>
        <w:fldChar w:fldCharType="separate"/>
      </w:r>
      <w:r>
        <w:t>10</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_Toc55305625 \h </w:instrText>
      </w:r>
      <w:r>
        <w:fldChar w:fldCharType="separate"/>
      </w:r>
      <w:r>
        <w:t>11</w:t>
      </w:r>
      <w:r>
        <w:fldChar w:fldCharType="end"/>
      </w:r>
    </w:p>
    <w:p>
      <w:pPr>
        <w:pStyle w:val="TOC8"/>
        <w:rPr>
          <w:rFonts w:asciiTheme="minorHAnsi" w:eastAsiaTheme="minorEastAsia" w:hAnsiTheme="minorHAnsi" w:cstheme="minorBidi"/>
          <w:szCs w:val="22"/>
        </w:rPr>
      </w:pPr>
      <w:r>
        <w:t>23.</w:t>
      </w:r>
      <w:r>
        <w:tab/>
        <w:t>Change of ownership form</w:t>
      </w:r>
      <w:r>
        <w:tab/>
      </w:r>
      <w:r>
        <w:fldChar w:fldCharType="begin"/>
      </w:r>
      <w:r>
        <w:instrText xml:space="preserve"> PAGEREF _Toc55305626 \h </w:instrText>
      </w:r>
      <w:r>
        <w:fldChar w:fldCharType="separate"/>
      </w:r>
      <w:r>
        <w:t>11</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_Toc55305627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25.</w:t>
      </w:r>
      <w:r>
        <w:tab/>
        <w:t>Information to be given by microchip implanter to microchip database company</w:t>
      </w:r>
      <w:r>
        <w:tab/>
      </w:r>
      <w:r>
        <w:fldChar w:fldCharType="begin"/>
      </w:r>
      <w:r>
        <w:instrText xml:space="preserve"> PAGEREF _Toc55305628 \h </w:instrText>
      </w:r>
      <w:r>
        <w:fldChar w:fldCharType="separate"/>
      </w:r>
      <w:r>
        <w:t>11</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_Toc55305629 \h </w:instrText>
      </w:r>
      <w:r>
        <w:fldChar w:fldCharType="separate"/>
      </w:r>
      <w:r>
        <w:t>12</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_Toc55305630 \h </w:instrText>
      </w:r>
      <w:r>
        <w:fldChar w:fldCharType="separate"/>
      </w:r>
      <w:r>
        <w:t>12</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_Toc55305631 \h </w:instrText>
      </w:r>
      <w:r>
        <w:fldChar w:fldCharType="separate"/>
      </w:r>
      <w:r>
        <w:t>12</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_Toc55305632 \h </w:instrText>
      </w:r>
      <w:r>
        <w:fldChar w:fldCharType="separate"/>
      </w:r>
      <w:r>
        <w:t>12</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_Toc55305633 \h </w:instrText>
      </w:r>
      <w:r>
        <w:fldChar w:fldCharType="separate"/>
      </w:r>
      <w:r>
        <w:t>13</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_Toc55305634 \h </w:instrText>
      </w:r>
      <w:r>
        <w:fldChar w:fldCharType="separate"/>
      </w:r>
      <w:r>
        <w:t>14</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_Toc55305635 \h </w:instrText>
      </w:r>
      <w:r>
        <w:fldChar w:fldCharType="separate"/>
      </w:r>
      <w:r>
        <w:t>15</w:t>
      </w:r>
      <w:r>
        <w:fldChar w:fldCharType="end"/>
      </w:r>
    </w:p>
    <w:p>
      <w:pPr>
        <w:pStyle w:val="TOC8"/>
        <w:rPr>
          <w:rFonts w:asciiTheme="minorHAnsi" w:eastAsiaTheme="minorEastAsia" w:hAnsiTheme="minorHAnsi" w:cstheme="minorBidi"/>
          <w:szCs w:val="22"/>
        </w:rPr>
      </w:pPr>
      <w:r>
        <w:t>33A.</w:t>
      </w:r>
      <w:r>
        <w:tab/>
        <w:t>Form of order to prevent a dog being a nuisance</w:t>
      </w:r>
      <w:r>
        <w:tab/>
      </w:r>
      <w:r>
        <w:fldChar w:fldCharType="begin"/>
      </w:r>
      <w:r>
        <w:instrText xml:space="preserve"> PAGEREF _Toc55305636 \h </w:instrText>
      </w:r>
      <w:r>
        <w:fldChar w:fldCharType="separate"/>
      </w:r>
      <w:r>
        <w:t>15</w:t>
      </w:r>
      <w:r>
        <w:fldChar w:fldCharType="end"/>
      </w:r>
    </w:p>
    <w:p>
      <w:pPr>
        <w:pStyle w:val="TOC8"/>
        <w:rPr>
          <w:rFonts w:asciiTheme="minorHAnsi" w:eastAsiaTheme="minorEastAsia" w:hAnsiTheme="minorHAnsi" w:cstheme="minorBidi"/>
          <w:szCs w:val="22"/>
        </w:rPr>
      </w:pPr>
      <w:r>
        <w:t>33.</w:t>
      </w:r>
      <w:r>
        <w:tab/>
        <w:t>Modified penalties for offences under the principal Act</w:t>
      </w:r>
      <w:r>
        <w:tab/>
      </w:r>
      <w:r>
        <w:fldChar w:fldCharType="begin"/>
      </w:r>
      <w:r>
        <w:instrText xml:space="preserve"> PAGEREF _Toc55305637 \h </w:instrText>
      </w:r>
      <w:r>
        <w:fldChar w:fldCharType="separate"/>
      </w:r>
      <w:r>
        <w:t>15</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_Toc55305638 \h </w:instrText>
      </w:r>
      <w:r>
        <w:fldChar w:fldCharType="separate"/>
      </w:r>
      <w:r>
        <w:t>25</w:t>
      </w:r>
      <w:r>
        <w:fldChar w:fldCharType="end"/>
      </w:r>
    </w:p>
    <w:p>
      <w:pPr>
        <w:pStyle w:val="TOC8"/>
        <w:rPr>
          <w:rFonts w:asciiTheme="minorHAnsi" w:eastAsiaTheme="minorEastAsia" w:hAnsiTheme="minorHAnsi" w:cstheme="minorBidi"/>
          <w:szCs w:val="22"/>
        </w:rPr>
      </w:pPr>
      <w:r>
        <w:t>35.</w:t>
      </w:r>
      <w:r>
        <w:tab/>
        <w:t>Dealing with alleged offenders without prosecuting them</w:t>
      </w:r>
      <w:r>
        <w:tab/>
      </w:r>
      <w:r>
        <w:fldChar w:fldCharType="begin"/>
      </w:r>
      <w:r>
        <w:instrText xml:space="preserve"> PAGEREF _Toc55305639 \h </w:instrText>
      </w:r>
      <w:r>
        <w:fldChar w:fldCharType="separate"/>
      </w:r>
      <w:r>
        <w:t>26</w:t>
      </w:r>
      <w:r>
        <w:fldChar w:fldCharType="end"/>
      </w:r>
    </w:p>
    <w:p>
      <w:pPr>
        <w:pStyle w:val="TOC8"/>
        <w:rPr>
          <w:rFonts w:asciiTheme="minorHAnsi" w:eastAsiaTheme="minorEastAsia" w:hAnsiTheme="minorHAnsi" w:cstheme="minorBidi"/>
          <w:szCs w:val="22"/>
        </w:rPr>
      </w:pPr>
      <w:r>
        <w:t>37.</w:t>
      </w:r>
      <w:r>
        <w:tab/>
        <w:t>Transitional regulation: provisions of certain local laws have no effect after 31 July 2014</w:t>
      </w:r>
      <w:r>
        <w:tab/>
      </w:r>
      <w:r>
        <w:fldChar w:fldCharType="begin"/>
      </w:r>
      <w:r>
        <w:instrText xml:space="preserve"> PAGEREF _Toc55305640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_Toc55305643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Dog Act 1976</w:t>
      </w:r>
    </w:p>
    <w:p>
      <w:pPr>
        <w:pStyle w:val="NameofActReg"/>
      </w:pPr>
      <w:r>
        <w:t>Dog Regulations 2013</w:t>
      </w:r>
    </w:p>
    <w:p>
      <w:pPr>
        <w:pStyle w:val="Heading5"/>
      </w:pPr>
      <w:bookmarkStart w:id="3" w:name="_Toc55305604"/>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5" w:name="_Toc5530560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6" w:name="_Toc55305606"/>
      <w:r>
        <w:rPr>
          <w:rStyle w:val="CharSectno"/>
        </w:rPr>
        <w:t>3</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 xml:space="preserve">RWWA </w:t>
      </w:r>
      <w:r>
        <w:t xml:space="preserve">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Footnotesection"/>
        <w:spacing w:before="100"/>
        <w:ind w:left="890" w:hanging="890"/>
      </w:pPr>
      <w:r>
        <w:tab/>
        <w:t>[Regulation 3 amended: Gazette 23 Mar 2018 p. 1027.]</w:t>
      </w:r>
    </w:p>
    <w:p>
      <w:pPr>
        <w:pStyle w:val="Heading5"/>
      </w:pPr>
      <w:bookmarkStart w:id="7" w:name="_Toc55305607"/>
      <w:r>
        <w:rPr>
          <w:rStyle w:val="CharSectno"/>
        </w:rPr>
        <w:t>4</w:t>
      </w:r>
      <w:r>
        <w:t>.</w:t>
      </w:r>
      <w:r>
        <w:tab/>
        <w:t>Dangerous dog (restricted breed) breeds</w:t>
      </w:r>
      <w:bookmarkEnd w:id="7"/>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keepNext/>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8" w:name="_Toc55305608"/>
      <w:r>
        <w:rPr>
          <w:rStyle w:val="CharSectno"/>
        </w:rPr>
        <w:t>5</w:t>
      </w:r>
      <w:r>
        <w:t>.</w:t>
      </w:r>
      <w:r>
        <w:tab/>
        <w:t>Dog management facility operators</w:t>
      </w:r>
      <w:bookmarkEnd w:id="8"/>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Western Australia (Incorporated);</w:t>
      </w:r>
    </w:p>
    <w:p>
      <w:pPr>
        <w:pStyle w:val="Indenta"/>
      </w:pPr>
      <w:r>
        <w:tab/>
        <w:t>(b)</w:t>
      </w:r>
      <w:r>
        <w:tab/>
        <w:t>Dogs’ Refuge Home (W.A.) Inc.</w:t>
      </w:r>
    </w:p>
    <w:p>
      <w:pPr>
        <w:pStyle w:val="Footnotesection"/>
        <w:spacing w:before="100"/>
        <w:ind w:left="890" w:hanging="890"/>
      </w:pPr>
      <w:r>
        <w:tab/>
        <w:t>[Regulation 5 amended: Gazette 23 Mar 2018 p. 1027.]</w:t>
      </w:r>
    </w:p>
    <w:p>
      <w:pPr>
        <w:pStyle w:val="Heading5"/>
      </w:pPr>
      <w:bookmarkStart w:id="9" w:name="_Toc55305609"/>
      <w:r>
        <w:rPr>
          <w:rStyle w:val="CharSectno"/>
        </w:rPr>
        <w:t>6</w:t>
      </w:r>
      <w:r>
        <w:t>.</w:t>
      </w:r>
      <w:r>
        <w:tab/>
        <w:t>Microchip identification devices</w:t>
      </w:r>
      <w:bookmarkEnd w:id="9"/>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0" w:name="_Toc55305610"/>
      <w:r>
        <w:rPr>
          <w:rStyle w:val="CharSectno"/>
        </w:rPr>
        <w:t>7</w:t>
      </w:r>
      <w:r>
        <w:t>.</w:t>
      </w:r>
      <w:r>
        <w:tab/>
        <w:t>Microchip database company bodies</w:t>
      </w:r>
      <w:bookmarkEnd w:id="10"/>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11" w:name="_Toc55305611"/>
      <w:r>
        <w:rPr>
          <w:rStyle w:val="CharSectno"/>
        </w:rPr>
        <w:t>8</w:t>
      </w:r>
      <w:r>
        <w:t>.</w:t>
      </w:r>
      <w:r>
        <w:tab/>
        <w:t>Microchip implanter: persons</w:t>
      </w:r>
      <w:bookmarkEnd w:id="11"/>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12" w:name="_Toc55305612"/>
      <w:r>
        <w:rPr>
          <w:rStyle w:val="CharSectno"/>
        </w:rPr>
        <w:t>9</w:t>
      </w:r>
      <w:r>
        <w:t>.</w:t>
      </w:r>
      <w:r>
        <w:tab/>
        <w:t>Microchip implanter: qualifications</w:t>
      </w:r>
      <w:bookmarkEnd w:id="12"/>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keepNext/>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(iva)</w:t>
      </w:r>
      <w:r>
        <w:tab/>
        <w:t>ACMSS00001 Microchip Implantation for Dogs and Cats Skill Set;</w:t>
      </w:r>
    </w:p>
    <w:p>
      <w:pPr>
        <w:pStyle w:val="Indenti"/>
      </w:pPr>
      <w:r>
        <w:tab/>
        <w:t>(v)</w:t>
      </w:r>
      <w:r>
        <w:tab/>
        <w:t>ACMSS00007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keepNext/>
      </w:pPr>
      <w:r>
        <w:tab/>
        <w:t>(ix)</w:t>
      </w:r>
      <w:r>
        <w:tab/>
        <w:t>ACM40310 Certificate IV in Companion Animal Services.</w:t>
      </w:r>
    </w:p>
    <w:p>
      <w:pPr>
        <w:pStyle w:val="Footnotesection"/>
        <w:spacing w:before="100"/>
        <w:ind w:left="890" w:hanging="890"/>
      </w:pPr>
      <w:r>
        <w:tab/>
        <w:t>[Regulation 9 amended: Gazette 20 May 2014 p. 1603; SL 2020/9 r. 4; SL 2020/70 r. 4.]</w:t>
      </w:r>
    </w:p>
    <w:p>
      <w:pPr>
        <w:pStyle w:val="Heading5"/>
      </w:pPr>
      <w:bookmarkStart w:id="13" w:name="_Toc55305613"/>
      <w:r>
        <w:rPr>
          <w:rStyle w:val="CharSectno"/>
        </w:rPr>
        <w:t>10</w:t>
      </w:r>
      <w:r>
        <w:t>.</w:t>
      </w:r>
      <w:r>
        <w:tab/>
        <w:t>Microchipping a dog</w:t>
      </w:r>
      <w:bookmarkEnd w:id="13"/>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14" w:name="_Toc55305614"/>
      <w:r>
        <w:rPr>
          <w:rStyle w:val="CharSectno"/>
        </w:rPr>
        <w:t>11</w:t>
      </w:r>
      <w:r>
        <w:t>.</w:t>
      </w:r>
      <w:r>
        <w:tab/>
        <w:t>Bodies having custody of dogs for which registration not required</w:t>
      </w:r>
      <w:bookmarkEnd w:id="14"/>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15" w:name="_Toc55305615"/>
      <w:r>
        <w:rPr>
          <w:rStyle w:val="CharSectno"/>
        </w:rPr>
        <w:t>12</w:t>
      </w:r>
      <w:r>
        <w:t>.</w:t>
      </w:r>
      <w:r>
        <w:tab/>
        <w:t>Training organisations for assistance dogs</w:t>
      </w:r>
      <w:bookmarkEnd w:id="15"/>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Indenta"/>
      </w:pPr>
      <w:r>
        <w:tab/>
        <w:t>(e)</w:t>
      </w:r>
      <w:r>
        <w:tab/>
        <w:t>VisAbility Limited.</w:t>
      </w:r>
    </w:p>
    <w:p>
      <w:pPr>
        <w:pStyle w:val="Footnotesection"/>
      </w:pPr>
      <w:r>
        <w:tab/>
        <w:t>[Regulation 12 amended: SL 2020/98 r. 4.]</w:t>
      </w:r>
    </w:p>
    <w:p>
      <w:pPr>
        <w:pStyle w:val="Heading5"/>
      </w:pPr>
      <w:bookmarkStart w:id="16" w:name="_Toc55305616"/>
      <w:r>
        <w:rPr>
          <w:rStyle w:val="CharSectno"/>
        </w:rPr>
        <w:t>13</w:t>
      </w:r>
      <w:r>
        <w:t>.</w:t>
      </w:r>
      <w:r>
        <w:tab/>
        <w:t>Review of CEO’s decisions about assistance dogs</w:t>
      </w:r>
      <w:bookmarkEnd w:id="16"/>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keepNext/>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17" w:name="_Toc55305617"/>
      <w:r>
        <w:rPr>
          <w:rStyle w:val="CharSectno"/>
        </w:rPr>
        <w:t>14</w:t>
      </w:r>
      <w:r>
        <w:t>.</w:t>
      </w:r>
      <w:r>
        <w:tab/>
        <w:t>Certificates of authorisation</w:t>
      </w:r>
      <w:bookmarkEnd w:id="17"/>
    </w:p>
    <w:p>
      <w:pPr>
        <w:pStyle w:val="Subsection"/>
      </w:pPr>
      <w:r>
        <w:tab/>
      </w:r>
      <w:r>
        <w:tab/>
        <w:t>The certificate required by section 11(3) is to be in the form of Form 1.</w:t>
      </w:r>
    </w:p>
    <w:p>
      <w:pPr>
        <w:pStyle w:val="Heading5"/>
      </w:pPr>
      <w:bookmarkStart w:id="18" w:name="_Toc55305618"/>
      <w:r>
        <w:rPr>
          <w:rStyle w:val="CharSectno"/>
        </w:rPr>
        <w:t>15</w:t>
      </w:r>
      <w:r>
        <w:t>.</w:t>
      </w:r>
      <w:r>
        <w:tab/>
        <w:t>Warrants</w:t>
      </w:r>
      <w:bookmarkEnd w:id="18"/>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19" w:name="_Toc55305619"/>
      <w:r>
        <w:rPr>
          <w:rStyle w:val="CharSectno"/>
        </w:rPr>
        <w:t>16</w:t>
      </w:r>
      <w:r>
        <w:t>.</w:t>
      </w:r>
      <w:r>
        <w:tab/>
        <w:t>Information to be recorded in register of dogs</w:t>
      </w:r>
      <w:bookmarkEnd w:id="19"/>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20" w:name="_Toc55305620"/>
      <w:r>
        <w:rPr>
          <w:rStyle w:val="CharSectno"/>
        </w:rPr>
        <w:t>17</w:t>
      </w:r>
      <w:r>
        <w:t>.</w:t>
      </w:r>
      <w:r>
        <w:tab/>
        <w:t>Registration fees</w:t>
      </w:r>
      <w:bookmarkEnd w:id="20"/>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21" w:name="_Toc55305621"/>
      <w:r>
        <w:rPr>
          <w:rStyle w:val="CharSectno"/>
        </w:rPr>
        <w:t>18</w:t>
      </w:r>
      <w:r>
        <w:t>.</w:t>
      </w:r>
      <w:r>
        <w:tab/>
        <w:t>Extended period of registration</w:t>
      </w:r>
      <w:bookmarkEnd w:id="21"/>
    </w:p>
    <w:p>
      <w:pPr>
        <w:pStyle w:val="Subsection"/>
      </w:pPr>
      <w:r>
        <w:tab/>
      </w:r>
      <w:r>
        <w:tab/>
        <w:t>The period for section 15(3)(b) is a period of 3 years.</w:t>
      </w:r>
    </w:p>
    <w:p>
      <w:pPr>
        <w:pStyle w:val="Heading5"/>
      </w:pPr>
      <w:bookmarkStart w:id="22" w:name="_Toc55305622"/>
      <w:r>
        <w:rPr>
          <w:rStyle w:val="CharSectno"/>
        </w:rPr>
        <w:t>19</w:t>
      </w:r>
      <w:r>
        <w:t>.</w:t>
      </w:r>
      <w:r>
        <w:tab/>
        <w:t>Refund of portion of registration fees for subsequently sterilised dogs</w:t>
      </w:r>
      <w:bookmarkEnd w:id="22"/>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23" w:name="_Toc55305623"/>
      <w:r>
        <w:rPr>
          <w:rStyle w:val="CharSectno"/>
        </w:rPr>
        <w:t>20</w:t>
      </w:r>
      <w:r>
        <w:t>.</w:t>
      </w:r>
      <w:r>
        <w:tab/>
        <w:t>Application for registration, evidence for concessional rates</w:t>
      </w:r>
      <w:bookmarkEnd w:id="23"/>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24" w:name="_Toc55305624"/>
      <w:r>
        <w:rPr>
          <w:rStyle w:val="CharSectno"/>
        </w:rPr>
        <w:t>21</w:t>
      </w:r>
      <w:r>
        <w:t>.</w:t>
      </w:r>
      <w:r>
        <w:tab/>
        <w:t>Certificate of registration</w:t>
      </w:r>
      <w:bookmarkEnd w:id="24"/>
    </w:p>
    <w:p>
      <w:pPr>
        <w:pStyle w:val="Subsection"/>
      </w:pPr>
      <w:r>
        <w:tab/>
      </w:r>
      <w:r>
        <w:tab/>
        <w:t>A certificate under section 16(6)(a) is to be in the form of Form 5.</w:t>
      </w:r>
    </w:p>
    <w:p>
      <w:pPr>
        <w:pStyle w:val="Heading5"/>
      </w:pPr>
      <w:bookmarkStart w:id="25" w:name="_Toc55305625"/>
      <w:r>
        <w:rPr>
          <w:rStyle w:val="CharSectno"/>
        </w:rPr>
        <w:t>22</w:t>
      </w:r>
      <w:r>
        <w:t>.</w:t>
      </w:r>
      <w:r>
        <w:tab/>
        <w:t>Owner’s delegate appointment form</w:t>
      </w:r>
      <w:bookmarkEnd w:id="25"/>
    </w:p>
    <w:p>
      <w:pPr>
        <w:pStyle w:val="Subsection"/>
      </w:pPr>
      <w:r>
        <w:tab/>
      </w:r>
      <w:r>
        <w:tab/>
        <w:t>An appointment under section 16AA(1) is to be in the form of Form 4 Parts A, B, E and F.</w:t>
      </w:r>
    </w:p>
    <w:p>
      <w:pPr>
        <w:pStyle w:val="Heading5"/>
      </w:pPr>
      <w:bookmarkStart w:id="26" w:name="_Toc55305626"/>
      <w:r>
        <w:rPr>
          <w:rStyle w:val="CharSectno"/>
        </w:rPr>
        <w:t>23</w:t>
      </w:r>
      <w:r>
        <w:t>.</w:t>
      </w:r>
      <w:r>
        <w:tab/>
        <w:t>Change of ownership form</w:t>
      </w:r>
      <w:bookmarkEnd w:id="26"/>
    </w:p>
    <w:p>
      <w:pPr>
        <w:pStyle w:val="Subsection"/>
      </w:pPr>
      <w:r>
        <w:tab/>
      </w:r>
      <w:r>
        <w:tab/>
        <w:t>A notification under section 16A(1) is to be in the form of Form 4 Parts A, B, C, E and F.</w:t>
      </w:r>
    </w:p>
    <w:p>
      <w:pPr>
        <w:pStyle w:val="Heading5"/>
      </w:pPr>
      <w:bookmarkStart w:id="27" w:name="_Toc55305627"/>
      <w:r>
        <w:rPr>
          <w:rStyle w:val="CharSectno"/>
        </w:rPr>
        <w:t>24</w:t>
      </w:r>
      <w:r>
        <w:t>.</w:t>
      </w:r>
      <w:r>
        <w:tab/>
        <w:t>Particulars to be contained in registration tag</w:t>
      </w:r>
      <w:bookmarkEnd w:id="27"/>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28" w:name="_Toc55305628"/>
      <w:r>
        <w:rPr>
          <w:rStyle w:val="CharSectno"/>
        </w:rPr>
        <w:t>25</w:t>
      </w:r>
      <w:r>
        <w:t>.</w:t>
      </w:r>
      <w:r>
        <w:tab/>
        <w:t>Information to be given by microchip implanter to microchip database company</w:t>
      </w:r>
      <w:bookmarkEnd w:id="28"/>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keepNext/>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29" w:name="_Toc55305629"/>
      <w:r>
        <w:rPr>
          <w:rStyle w:val="CharSectno"/>
        </w:rPr>
        <w:t>26</w:t>
      </w:r>
      <w:r>
        <w:t>.</w:t>
      </w:r>
      <w:r>
        <w:tab/>
        <w:t>Notice of dog’s seizure and detention form</w:t>
      </w:r>
      <w:bookmarkEnd w:id="29"/>
    </w:p>
    <w:p>
      <w:pPr>
        <w:pStyle w:val="Subsection"/>
      </w:pPr>
      <w:r>
        <w:tab/>
      </w:r>
      <w:r>
        <w:tab/>
        <w:t>A notice under section 29(8)(a) or (8A)(a) is to be in the form of Form 6.</w:t>
      </w:r>
    </w:p>
    <w:p>
      <w:pPr>
        <w:pStyle w:val="Heading5"/>
      </w:pPr>
      <w:bookmarkStart w:id="30" w:name="_Toc55305630"/>
      <w:r>
        <w:rPr>
          <w:rStyle w:val="CharSectno"/>
        </w:rPr>
        <w:t>27</w:t>
      </w:r>
      <w:r>
        <w:t>.</w:t>
      </w:r>
      <w:r>
        <w:tab/>
        <w:t>Holding, tethering of dogs</w:t>
      </w:r>
      <w:bookmarkEnd w:id="30"/>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31" w:name="_Toc55305631"/>
      <w:r>
        <w:rPr>
          <w:rStyle w:val="CharSectno"/>
        </w:rPr>
        <w:t>28</w:t>
      </w:r>
      <w:r>
        <w:t>.</w:t>
      </w:r>
      <w:r>
        <w:tab/>
        <w:t>Training programme for greyhounds</w:t>
      </w:r>
      <w:bookmarkEnd w:id="31"/>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32" w:name="_Toc55305632"/>
      <w:r>
        <w:rPr>
          <w:rStyle w:val="CharSectno"/>
        </w:rPr>
        <w:t>29</w:t>
      </w:r>
      <w:r>
        <w:t>.</w:t>
      </w:r>
      <w:r>
        <w:tab/>
        <w:t>Collars for dangerous dogs</w:t>
      </w:r>
      <w:bookmarkEnd w:id="32"/>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33" w:name="_Toc55305633"/>
      <w:r>
        <w:rPr>
          <w:rStyle w:val="CharSectno"/>
        </w:rPr>
        <w:t>30</w:t>
      </w:r>
      <w:r>
        <w:t>.</w:t>
      </w:r>
      <w:r>
        <w:tab/>
        <w:t>Warning signs about dangerous dogs</w:t>
      </w:r>
      <w:bookmarkEnd w:id="33"/>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keepNext w:val="0"/>
      </w:pPr>
      <w:bookmarkStart w:id="34" w:name="_Toc55305634"/>
      <w:r>
        <w:rPr>
          <w:rStyle w:val="CharSectno"/>
        </w:rPr>
        <w:t>31</w:t>
      </w:r>
      <w:r>
        <w:t>.</w:t>
      </w:r>
      <w:r>
        <w:tab/>
        <w:t>Local government expenses as to dangerous dogs (declared)</w:t>
      </w:r>
      <w:bookmarkEnd w:id="34"/>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35" w:name="_Toc55305635"/>
      <w:r>
        <w:rPr>
          <w:rStyle w:val="CharSectno"/>
        </w:rPr>
        <w:t>32</w:t>
      </w:r>
      <w:r>
        <w:t>.</w:t>
      </w:r>
      <w:r>
        <w:tab/>
        <w:t>Nuisance dog complaint form</w:t>
      </w:r>
      <w:bookmarkEnd w:id="35"/>
    </w:p>
    <w:p>
      <w:pPr>
        <w:pStyle w:val="Subsection"/>
      </w:pPr>
      <w:r>
        <w:tab/>
      </w:r>
      <w:r>
        <w:tab/>
        <w:t>A complaint under section 38(2) is to be in the form of Form 7.</w:t>
      </w:r>
    </w:p>
    <w:p>
      <w:pPr>
        <w:pStyle w:val="Heading5"/>
      </w:pPr>
      <w:bookmarkStart w:id="36" w:name="_Toc55305636"/>
      <w:r>
        <w:rPr>
          <w:rStyle w:val="CharSectno"/>
        </w:rPr>
        <w:t>33A</w:t>
      </w:r>
      <w:r>
        <w:t>.</w:t>
      </w:r>
      <w:r>
        <w:tab/>
        <w:t>Form of order to prevent a dog being a nuisance</w:t>
      </w:r>
      <w:bookmarkEnd w:id="36"/>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37" w:name="_Toc55305637"/>
      <w:r>
        <w:rPr>
          <w:rStyle w:val="CharSectno"/>
        </w:rPr>
        <w:t>33</w:t>
      </w:r>
      <w:r>
        <w:t>.</w:t>
      </w:r>
      <w:r>
        <w:tab/>
        <w:t>Modified penalties for offences under the principal Act</w:t>
      </w:r>
      <w:bookmarkEnd w:id="37"/>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keepNext/>
              <w:spacing w:before="40"/>
              <w:ind w:left="-79" w:right="-23"/>
              <w:jc w:val="center"/>
              <w:rPr>
                <w:b/>
              </w:rPr>
            </w:pPr>
            <w:r>
              <w:rPr>
                <w:b/>
              </w:rPr>
              <w:t>Item</w:t>
            </w:r>
          </w:p>
        </w:tc>
        <w:tc>
          <w:tcPr>
            <w:tcW w:w="1229" w:type="dxa"/>
          </w:tcPr>
          <w:p>
            <w:pPr>
              <w:pStyle w:val="TableNAm"/>
              <w:keepNext/>
              <w:spacing w:before="40"/>
              <w:ind w:left="-80" w:right="-23"/>
              <w:jc w:val="center"/>
              <w:rPr>
                <w:b/>
              </w:rPr>
            </w:pPr>
            <w:r>
              <w:rPr>
                <w:b/>
              </w:rPr>
              <w:t>Provision of Act</w:t>
            </w:r>
          </w:p>
        </w:tc>
        <w:tc>
          <w:tcPr>
            <w:tcW w:w="1417" w:type="dxa"/>
          </w:tcPr>
          <w:p>
            <w:pPr>
              <w:pStyle w:val="TableNAm"/>
              <w:keepNext/>
              <w:spacing w:before="40"/>
              <w:ind w:left="-108" w:right="-23"/>
              <w:jc w:val="center"/>
              <w:rPr>
                <w:b/>
              </w:rPr>
            </w:pPr>
            <w:r>
              <w:rPr>
                <w:b/>
              </w:rPr>
              <w:t>Nature of offence</w:t>
            </w:r>
          </w:p>
        </w:tc>
        <w:tc>
          <w:tcPr>
            <w:tcW w:w="1218" w:type="dxa"/>
          </w:tcPr>
          <w:p>
            <w:pPr>
              <w:pStyle w:val="TableNAm"/>
              <w:keepNext/>
              <w:spacing w:before="40"/>
              <w:ind w:left="-80" w:right="-23"/>
              <w:jc w:val="center"/>
              <w:rPr>
                <w:b/>
              </w:rPr>
            </w:pPr>
            <w:r>
              <w:rPr>
                <w:b/>
              </w:rPr>
              <w:t>Modified penalty for dogs other than dangerous dogs</w:t>
            </w:r>
            <w:r>
              <w:rPr>
                <w:b/>
              </w:rPr>
              <w:br/>
            </w:r>
            <w:r>
              <w:rPr>
                <w:b/>
              </w:rPr>
              <w:br/>
              <w:t>$</w:t>
            </w:r>
          </w:p>
        </w:tc>
        <w:tc>
          <w:tcPr>
            <w:tcW w:w="1217" w:type="dxa"/>
          </w:tcPr>
          <w:p>
            <w:pPr>
              <w:pStyle w:val="TableNAm"/>
              <w:keepNext/>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keepNext/>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keepNext/>
              <w:spacing w:before="40"/>
              <w:ind w:left="-79" w:right="-23"/>
            </w:pPr>
            <w:r>
              <w:t>1.</w:t>
            </w:r>
          </w:p>
        </w:tc>
        <w:tc>
          <w:tcPr>
            <w:tcW w:w="1229" w:type="dxa"/>
          </w:tcPr>
          <w:p>
            <w:pPr>
              <w:pStyle w:val="TableNAm"/>
              <w:keepNext/>
              <w:spacing w:before="40"/>
              <w:ind w:left="-80" w:right="-23"/>
            </w:pPr>
            <w:r>
              <w:t>s. 7(1)</w:t>
            </w:r>
          </w:p>
        </w:tc>
        <w:tc>
          <w:tcPr>
            <w:tcW w:w="1417" w:type="dxa"/>
          </w:tcPr>
          <w:p>
            <w:pPr>
              <w:pStyle w:val="TableNAm"/>
              <w:keepNext/>
              <w:spacing w:before="40"/>
              <w:ind w:left="-108" w:right="-23"/>
            </w:pPr>
            <w:r>
              <w:t>Unregistered dog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Gazette 20 May 2014 p. 1604; 11 Mar 2016 p. 689.]</w:t>
      </w:r>
    </w:p>
    <w:p>
      <w:pPr>
        <w:pStyle w:val="Heading5"/>
      </w:pPr>
      <w:bookmarkStart w:id="38" w:name="_Toc55305638"/>
      <w:r>
        <w:rPr>
          <w:rStyle w:val="CharSectno"/>
        </w:rPr>
        <w:t>34</w:t>
      </w:r>
      <w:r>
        <w:t>.</w:t>
      </w:r>
      <w:r>
        <w:tab/>
        <w:t>Modified penalties for offences under the regulations</w:t>
      </w:r>
      <w:bookmarkEnd w:id="38"/>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39" w:name="_Toc55305639"/>
      <w:r>
        <w:rPr>
          <w:rStyle w:val="CharSectno"/>
        </w:rPr>
        <w:t>35</w:t>
      </w:r>
      <w:r>
        <w:t>.</w:t>
      </w:r>
      <w:r>
        <w:tab/>
        <w:t>Dealing with alleged offenders without prosecuting them</w:t>
      </w:r>
      <w:bookmarkEnd w:id="39"/>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An authorised person who serves an infringement notice under subregulation (1) cannot withdraw the infringement notice on behalf of the local government under subregulation (5).</w:t>
      </w:r>
    </w:p>
    <w:p>
      <w:pPr>
        <w:pStyle w:val="Footnotesection"/>
        <w:spacing w:before="100"/>
        <w:ind w:left="890" w:hanging="890"/>
      </w:pPr>
      <w:r>
        <w:tab/>
        <w:t>[Regulation 35 amended: SL 2020/213 r. 12.]</w:t>
      </w:r>
    </w:p>
    <w:p>
      <w:pPr>
        <w:pStyle w:val="Ednotesection"/>
        <w:rPr>
          <w:i w:val="0"/>
        </w:rPr>
      </w:pPr>
      <w:r>
        <w:t>[</w:t>
      </w:r>
      <w:r>
        <w:rPr>
          <w:b/>
        </w:rPr>
        <w:t>36.</w:t>
      </w:r>
      <w:r>
        <w:tab/>
        <w:t>Omitted under the Reprints Act 1984 s. 7(4)(e).]</w:t>
      </w:r>
    </w:p>
    <w:p>
      <w:pPr>
        <w:pStyle w:val="Heading5"/>
      </w:pPr>
      <w:bookmarkStart w:id="40" w:name="_Toc55305640"/>
      <w:r>
        <w:rPr>
          <w:rStyle w:val="CharSectno"/>
        </w:rPr>
        <w:t>37</w:t>
      </w:r>
      <w:r>
        <w:t>.</w:t>
      </w:r>
      <w:r>
        <w:tab/>
        <w:t>Transitional regulation: provisions of certain local laws have no effect after 31 July 2014</w:t>
      </w:r>
      <w:bookmarkEnd w:id="40"/>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Footnotesection"/>
      </w:pPr>
    </w:p>
    <w:p>
      <w:pPr>
        <w:pStyle w:val="Subsection"/>
        <w:sectPr>
          <w:headerReference w:type="even" r:id="rId24"/>
          <w:head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41" w:name="_Toc55227583"/>
      <w:bookmarkStart w:id="42" w:name="_Toc55227922"/>
      <w:bookmarkStart w:id="43" w:name="_Toc55305641"/>
      <w:r>
        <w:rPr>
          <w:rStyle w:val="CharSchNo"/>
        </w:rPr>
        <w:t>Schedule 1</w:t>
      </w:r>
      <w:r>
        <w:rPr>
          <w:rStyle w:val="CharSDivNo"/>
        </w:rPr>
        <w:t> </w:t>
      </w:r>
      <w:r>
        <w:t>—</w:t>
      </w:r>
      <w:r>
        <w:rPr>
          <w:rStyle w:val="CharSDivText"/>
        </w:rPr>
        <w:t> </w:t>
      </w:r>
      <w:r>
        <w:rPr>
          <w:rStyle w:val="CharSchText"/>
        </w:rPr>
        <w:t>Forms</w:t>
      </w:r>
      <w:bookmarkEnd w:id="41"/>
      <w:bookmarkEnd w:id="42"/>
      <w:bookmarkEnd w:id="43"/>
    </w:p>
    <w:p>
      <w:pPr>
        <w:pStyle w:val="yMiscellaneousHeading"/>
        <w:keepLines/>
        <w:rPr>
          <w:b/>
        </w:rPr>
      </w:pPr>
      <w:r>
        <w:rPr>
          <w:rStyle w:val="CharSClsNo"/>
          <w:b/>
        </w:rPr>
        <w:t>Form 1</w:t>
      </w:r>
    </w:p>
    <w:p>
      <w:pPr>
        <w:pStyle w:val="yShoulderClause"/>
        <w:rPr>
          <w:snapToGrid w:val="0"/>
        </w:rPr>
      </w:pPr>
      <w:r>
        <w:rPr>
          <w:snapToGrid w:val="0"/>
        </w:rPr>
        <w:t>[r. </w:t>
      </w:r>
      <w:r>
        <w:t>14</w:t>
      </w:r>
      <w:r>
        <w:rPr>
          <w:snapToGrid w:val="0"/>
        </w:rPr>
        <w:t>]</w:t>
      </w:r>
    </w:p>
    <w:p>
      <w:pPr>
        <w:pStyle w:val="yFootnoteheading"/>
        <w:spacing w:after="120"/>
      </w:pPr>
      <w:r>
        <w:tab/>
        <w:t>[Heading inserted: SL 2020/213 r. 13.]</w:t>
      </w:r>
    </w:p>
    <w:tbl>
      <w:tblPr>
        <w:tblW w:w="0" w:type="auto"/>
        <w:jc w:val="center"/>
        <w:tblLayout w:type="fixed"/>
        <w:tblLook w:val="0000" w:firstRow="0" w:lastRow="0" w:firstColumn="0" w:lastColumn="0" w:noHBand="0" w:noVBand="0"/>
      </w:tblPr>
      <w:tblGrid>
        <w:gridCol w:w="285"/>
        <w:gridCol w:w="1701"/>
        <w:gridCol w:w="4891"/>
      </w:tblGrid>
      <w:tr>
        <w:trPr>
          <w:jc w:val="center"/>
        </w:trPr>
        <w:tc>
          <w:tcPr>
            <w:tcW w:w="6877" w:type="dxa"/>
            <w:gridSpan w:val="3"/>
            <w:noWrap/>
          </w:tcPr>
          <w:p>
            <w:pPr>
              <w:pStyle w:val="yTableNAm"/>
              <w:keepNext/>
              <w:keepLines/>
              <w:jc w:val="center"/>
              <w:rPr>
                <w:i/>
                <w:iCs/>
                <w:snapToGrid w:val="0"/>
              </w:rPr>
            </w:pPr>
            <w:r>
              <w:rPr>
                <w:i/>
                <w:iCs/>
                <w:snapToGrid w:val="0"/>
              </w:rPr>
              <w:t xml:space="preserve">Dog Act 1976 </w:t>
            </w:r>
            <w:r>
              <w:rPr>
                <w:iCs/>
                <w:snapToGrid w:val="0"/>
              </w:rPr>
              <w:t>s. 11(3)</w:t>
            </w:r>
          </w:p>
          <w:p>
            <w:pPr>
              <w:pStyle w:val="yTableNAm"/>
              <w:keepNext/>
              <w:keepLines/>
              <w:jc w:val="center"/>
            </w:pPr>
            <w:r>
              <w:rPr>
                <w:b/>
                <w:snapToGrid w:val="0"/>
              </w:rPr>
              <w:t>Certificate of authorisation</w:t>
            </w:r>
          </w:p>
          <w:p>
            <w:pPr>
              <w:pStyle w:val="yTableNAm"/>
              <w:keepNext/>
              <w:keepLines/>
              <w:spacing w:after="120"/>
              <w:rPr>
                <w:snapToGrid w:val="0"/>
              </w:rPr>
            </w:pPr>
            <w:r>
              <w:rPr>
                <w:snapToGrid w:val="0"/>
                <w:vertAlign w:val="superscript"/>
              </w:rPr>
              <w:t xml:space="preserve">(1) </w:t>
            </w:r>
            <w:r>
              <w:rPr>
                <w:snapToGrid w:val="0"/>
              </w:rPr>
              <w:t>______________________________________________________</w:t>
            </w:r>
          </w:p>
        </w:tc>
      </w:tr>
      <w:tr>
        <w:trPr>
          <w:trHeight w:val="2239"/>
          <w:jc w:val="center"/>
        </w:trPr>
        <w:tc>
          <w:tcPr>
            <w:tcW w:w="285" w:type="dxa"/>
            <w:noWrap/>
          </w:tcPr>
          <w:p>
            <w:pPr>
              <w:pStyle w:val="yTableNAm"/>
              <w:keepNext/>
              <w:keepLines/>
              <w:rPr>
                <w:b/>
              </w:rPr>
            </w:pPr>
          </w:p>
        </w:tc>
        <w:tc>
          <w:tcPr>
            <w:tcW w:w="1701" w:type="dxa"/>
            <w:noWrap/>
          </w:tcPr>
          <w:p>
            <w:pPr>
              <w:pStyle w:val="yTableNAm"/>
              <w:keepNext/>
              <w:keepLines/>
            </w:pPr>
            <w:r>
              <w:t>[Photograph of authorised person]</w:t>
            </w:r>
          </w:p>
        </w:tc>
        <w:tc>
          <w:tcPr>
            <w:tcW w:w="4891" w:type="dxa"/>
            <w:noWrap/>
          </w:tcPr>
          <w:p>
            <w:pPr>
              <w:pStyle w:val="yTableNAm"/>
              <w:keepNext/>
              <w:keepLines/>
            </w:pPr>
            <w:r>
              <w:t xml:space="preserve">This is to certify that </w:t>
            </w:r>
            <w:r>
              <w:rPr>
                <w:vertAlign w:val="superscript"/>
              </w:rPr>
              <w:t xml:space="preserve">(2) </w:t>
            </w:r>
            <w:r>
              <w:t>...............................................</w:t>
            </w:r>
          </w:p>
          <w:p>
            <w:pPr>
              <w:pStyle w:val="yTableNAm"/>
              <w:keepNext/>
              <w:keepLines/>
            </w:pPr>
            <w:r>
              <w:rPr>
                <w:snapToGrid w:val="0"/>
              </w:rPr>
              <w:t xml:space="preserve">has been appointed by the </w:t>
            </w:r>
            <w:r>
              <w:rPr>
                <w:snapToGrid w:val="0"/>
                <w:vertAlign w:val="superscript"/>
              </w:rPr>
              <w:t>(1)</w:t>
            </w:r>
            <w:r>
              <w:t>.......................................</w:t>
            </w:r>
          </w:p>
          <w:p>
            <w:pPr>
              <w:pStyle w:val="yTableNAm"/>
              <w:keepNext/>
              <w:keepLines/>
            </w:pPr>
            <w:r>
              <w:rPr>
                <w:snapToGrid w:val="0"/>
              </w:rPr>
              <w:t xml:space="preserve">........................................ to exercise the powers of a registration officer in accordance with the provisions of the </w:t>
            </w:r>
            <w:r>
              <w:rPr>
                <w:i/>
                <w:snapToGrid w:val="0"/>
              </w:rPr>
              <w:t>Dog Act 1976</w:t>
            </w:r>
            <w:r>
              <w:rPr>
                <w:snapToGrid w:val="0"/>
              </w:rPr>
              <w:t>.</w:t>
            </w:r>
          </w:p>
          <w:p>
            <w:pPr>
              <w:pStyle w:val="yTableNAm"/>
              <w:keepNext/>
              <w:keepLines/>
            </w:pPr>
          </w:p>
        </w:tc>
      </w:tr>
      <w:tr>
        <w:trPr>
          <w:jc w:val="center"/>
        </w:trPr>
        <w:tc>
          <w:tcPr>
            <w:tcW w:w="6877" w:type="dxa"/>
            <w:gridSpan w:val="3"/>
            <w:noWrap/>
          </w:tcPr>
          <w:p>
            <w:pPr>
              <w:pStyle w:val="yTableNAm"/>
              <w:keepNext/>
              <w:keepLines/>
              <w:rPr>
                <w:snapToGrid w:val="0"/>
              </w:rPr>
            </w:pPr>
          </w:p>
          <w:p>
            <w:pPr>
              <w:pStyle w:val="yTableNAm"/>
              <w:keepNext/>
              <w:keepLines/>
              <w:rPr>
                <w:snapToGrid w:val="0"/>
              </w:rPr>
            </w:pPr>
            <w:r>
              <w:rPr>
                <w:snapToGrid w:val="0"/>
              </w:rPr>
              <w:t xml:space="preserve">Signed </w:t>
            </w:r>
            <w:r>
              <w:t>...................................................................</w:t>
            </w:r>
            <w:r>
              <w:rPr>
                <w:snapToGrid w:val="0"/>
              </w:rPr>
              <w:br/>
            </w:r>
            <w:r>
              <w:rPr>
                <w:snapToGrid w:val="0"/>
              </w:rPr>
              <w:tab/>
            </w:r>
            <w:r>
              <w:rPr>
                <w:snapToGrid w:val="0"/>
              </w:rPr>
              <w:tab/>
              <w:t xml:space="preserve">CEO of the </w:t>
            </w:r>
            <w:r>
              <w:rPr>
                <w:snapToGrid w:val="0"/>
                <w:vertAlign w:val="superscript"/>
              </w:rPr>
              <w:t>(1)</w:t>
            </w:r>
            <w:r>
              <w:rPr>
                <w:snapToGrid w:val="0"/>
              </w:rPr>
              <w:t xml:space="preserve">.................................... </w:t>
            </w:r>
          </w:p>
        </w:tc>
      </w:tr>
      <w:tr>
        <w:trPr>
          <w:jc w:val="center"/>
        </w:trPr>
        <w:tc>
          <w:tcPr>
            <w:tcW w:w="6877" w:type="dxa"/>
            <w:gridSpan w:val="3"/>
            <w:noWrap/>
          </w:tcPr>
          <w:p>
            <w:pPr>
              <w:pStyle w:val="yTableNAm"/>
              <w:keepNext/>
              <w:keepLines/>
            </w:pPr>
          </w:p>
          <w:p>
            <w:pPr>
              <w:pStyle w:val="yTableNAm"/>
              <w:keepNext/>
              <w:keepLines/>
              <w:spacing w:after="120"/>
            </w:pPr>
            <w:r>
              <w:t>.....................................................</w:t>
            </w:r>
            <w:r>
              <w:tab/>
              <w:t xml:space="preserve">         ......................................</w:t>
            </w:r>
            <w:r>
              <w:br/>
              <w:t xml:space="preserve"> Signature of authorised person</w:t>
            </w:r>
            <w:r>
              <w:tab/>
            </w:r>
            <w:r>
              <w:tab/>
              <w:t xml:space="preserve">  Date</w:t>
            </w:r>
          </w:p>
        </w:tc>
      </w:tr>
    </w:tbl>
    <w:p>
      <w:pPr>
        <w:pStyle w:val="yMiscellaneousBody"/>
        <w:spacing w:after="80"/>
        <w:rPr>
          <w:b/>
          <w:snapToGrid w:val="0"/>
          <w:sz w:val="18"/>
        </w:rPr>
      </w:pPr>
      <w:r>
        <w:rPr>
          <w:b/>
          <w:snapToGrid w:val="0"/>
          <w:sz w:val="18"/>
        </w:rPr>
        <w:t>Insert:</w:t>
      </w:r>
    </w:p>
    <w:p>
      <w:pPr>
        <w:pStyle w:val="yMiscellaneousBody"/>
        <w:tabs>
          <w:tab w:val="left" w:pos="567"/>
          <w:tab w:val="left" w:pos="993"/>
        </w:tabs>
        <w:spacing w:before="0"/>
        <w:rPr>
          <w:snapToGrid w:val="0"/>
          <w:sz w:val="18"/>
        </w:rPr>
      </w:pPr>
      <w:r>
        <w:rPr>
          <w:snapToGrid w:val="0"/>
          <w:sz w:val="18"/>
          <w:vertAlign w:val="superscript"/>
        </w:rPr>
        <w:t>(1)</w:t>
      </w:r>
      <w:r>
        <w:rPr>
          <w:snapToGrid w:val="0"/>
          <w:sz w:val="18"/>
        </w:rPr>
        <w:tab/>
        <w:t>name of local government;</w:t>
      </w:r>
    </w:p>
    <w:p>
      <w:pPr>
        <w:pStyle w:val="yMiscellaneousBody"/>
        <w:tabs>
          <w:tab w:val="left" w:pos="567"/>
          <w:tab w:val="left" w:pos="993"/>
        </w:tabs>
        <w:spacing w:before="0"/>
        <w:rPr>
          <w:snapToGrid w:val="0"/>
          <w:sz w:val="18"/>
        </w:rPr>
      </w:pPr>
      <w:r>
        <w:rPr>
          <w:snapToGrid w:val="0"/>
          <w:sz w:val="18"/>
          <w:vertAlign w:val="superscript"/>
        </w:rPr>
        <w:t>(2)</w:t>
      </w:r>
      <w:r>
        <w:rPr>
          <w:snapToGrid w:val="0"/>
          <w:sz w:val="18"/>
        </w:rPr>
        <w:tab/>
        <w:t>name of authorised person.</w:t>
      </w:r>
    </w:p>
    <w:p>
      <w:pPr>
        <w:pStyle w:val="yFootnotesection"/>
      </w:pPr>
      <w:r>
        <w:tab/>
        <w:t>[Form 1 inserted: SL 2020/213 r. 13.]</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szCs w:val="22"/>
              </w:rPr>
              <w:t>[relevant local government and address]</w:t>
            </w:r>
            <w:r>
              <w:t xml:space="preserve"> within 28 days after the date of this notice.</w:t>
            </w:r>
          </w:p>
        </w:tc>
      </w:tr>
    </w:tbl>
    <w:p>
      <w:pPr>
        <w:pStyle w:val="yFootnotesection"/>
        <w:rPr>
          <w:sz w:val="18"/>
          <w:szCs w:val="18"/>
        </w:rPr>
      </w:pPr>
      <w:r>
        <w:tab/>
        <w:t>[Form 8 amended: SL 2020/99 r. 8; SL 2020/169 r. 8.]</w:t>
      </w:r>
    </w:p>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45" w:name="_Toc55227584"/>
      <w:bookmarkStart w:id="46" w:name="_Toc55227923"/>
      <w:bookmarkStart w:id="47" w:name="_Toc55305642"/>
      <w:r>
        <w:t>Notes</w:t>
      </w:r>
      <w:bookmarkEnd w:id="45"/>
      <w:bookmarkEnd w:id="46"/>
      <w:bookmarkEnd w:id="47"/>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48" w:name="_Toc55305643"/>
      <w:r>
        <w:t>Compilation table</w:t>
      </w:r>
      <w:bookmarkEnd w:id="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r>
        <w:tc>
          <w:tcPr>
            <w:tcW w:w="3118" w:type="dxa"/>
            <w:tcBorders>
              <w:top w:val="nil"/>
              <w:bottom w:val="nil"/>
            </w:tcBorders>
          </w:tcPr>
          <w:p>
            <w:pPr>
              <w:pStyle w:val="nTable"/>
              <w:spacing w:after="40"/>
              <w:rPr>
                <w:i/>
              </w:rPr>
            </w:pPr>
            <w:r>
              <w:rPr>
                <w:i/>
              </w:rPr>
              <w:t>Dog Amendment Regulations (No. 2) 2020</w:t>
            </w:r>
          </w:p>
        </w:tc>
        <w:tc>
          <w:tcPr>
            <w:tcW w:w="1276" w:type="dxa"/>
            <w:tcBorders>
              <w:top w:val="nil"/>
              <w:bottom w:val="nil"/>
            </w:tcBorders>
          </w:tcPr>
          <w:p>
            <w:pPr>
              <w:pStyle w:val="nTable"/>
              <w:spacing w:after="40"/>
            </w:pPr>
            <w:r>
              <w:t>SL 2020/70 5 Jun 2020</w:t>
            </w:r>
          </w:p>
        </w:tc>
        <w:tc>
          <w:tcPr>
            <w:tcW w:w="2693" w:type="dxa"/>
            <w:tcBorders>
              <w:top w:val="nil"/>
              <w:bottom w:val="nil"/>
            </w:tcBorders>
          </w:tcPr>
          <w:p>
            <w:pPr>
              <w:pStyle w:val="nTable"/>
              <w:spacing w:after="40"/>
              <w:rPr>
                <w:bCs/>
                <w:snapToGrid w:val="0"/>
                <w:spacing w:val="-2"/>
              </w:rPr>
            </w:pPr>
            <w:r>
              <w:rPr>
                <w:bCs/>
                <w:snapToGrid w:val="0"/>
                <w:spacing w:val="-2"/>
              </w:rPr>
              <w:t>r. 1 and 2: 5 Jun 2020 (see r. 2(a));</w:t>
            </w:r>
            <w:r>
              <w:rPr>
                <w:bCs/>
                <w:snapToGrid w:val="0"/>
                <w:spacing w:val="-2"/>
              </w:rPr>
              <w:br/>
              <w:t>Regulations other than r. 1 and 2: 6 Jun 2020 (see r. 2(b))</w:t>
            </w:r>
          </w:p>
        </w:tc>
      </w:tr>
      <w:tr>
        <w:tc>
          <w:tcPr>
            <w:tcW w:w="3118" w:type="dxa"/>
            <w:tcBorders>
              <w:top w:val="nil"/>
              <w:bottom w:val="nil"/>
            </w:tcBorders>
          </w:tcPr>
          <w:p>
            <w:pPr>
              <w:pStyle w:val="nTable"/>
              <w:spacing w:after="40"/>
              <w:rPr>
                <w:i/>
              </w:rPr>
            </w:pPr>
            <w:r>
              <w:rPr>
                <w:i/>
              </w:rPr>
              <w:t>Dog Amendment Regulations (No. 3) 2020</w:t>
            </w:r>
          </w:p>
        </w:tc>
        <w:tc>
          <w:tcPr>
            <w:tcW w:w="1276" w:type="dxa"/>
            <w:tcBorders>
              <w:top w:val="nil"/>
              <w:bottom w:val="nil"/>
            </w:tcBorders>
          </w:tcPr>
          <w:p>
            <w:pPr>
              <w:pStyle w:val="nTable"/>
              <w:spacing w:after="40"/>
            </w:pPr>
            <w:r>
              <w:t>SL 2020/98 30 Jun 2020</w:t>
            </w:r>
          </w:p>
        </w:tc>
        <w:tc>
          <w:tcPr>
            <w:tcW w:w="2693" w:type="dxa"/>
            <w:tcBorders>
              <w:top w:val="nil"/>
              <w:bottom w:val="nil"/>
            </w:tcBorders>
          </w:tcPr>
          <w:p>
            <w:pPr>
              <w:pStyle w:val="nTable"/>
              <w:spacing w:after="40"/>
              <w:rPr>
                <w:bCs/>
                <w:snapToGrid w:val="0"/>
                <w:spacing w:val="-2"/>
              </w:rPr>
            </w:pPr>
            <w:r>
              <w:rPr>
                <w:bCs/>
                <w:snapToGrid w:val="0"/>
                <w:spacing w:val="-2"/>
              </w:rPr>
              <w:t>r. 1 and 2: 30 Jun 2020 (see r. 2(a));</w:t>
            </w:r>
            <w:r>
              <w:rPr>
                <w:bCs/>
                <w:snapToGrid w:val="0"/>
                <w:spacing w:val="-2"/>
              </w:rPr>
              <w:br/>
              <w:t>Regulations other than r. 1 and 2: 1 Jul 2020 (see r. 2(b))</w:t>
            </w:r>
          </w:p>
        </w:tc>
      </w:tr>
      <w:tr>
        <w:trPr>
          <w:cantSplit/>
        </w:trPr>
        <w:tc>
          <w:tcPr>
            <w:tcW w:w="3118" w:type="dxa"/>
            <w:tcBorders>
              <w:top w:val="nil"/>
              <w:bottom w:val="nil"/>
            </w:tcBorders>
          </w:tcPr>
          <w:p>
            <w:pPr>
              <w:pStyle w:val="nTable"/>
              <w:spacing w:after="40"/>
              <w:rPr>
                <w:i/>
              </w:rPr>
            </w:pPr>
            <w:r>
              <w:rPr>
                <w:i/>
              </w:rPr>
              <w:t>Local Government Regulations Amendment (Payment Method) Regulations 2020</w:t>
            </w:r>
            <w:r>
              <w:t xml:space="preserve"> Pt. 4</w:t>
            </w:r>
          </w:p>
        </w:tc>
        <w:tc>
          <w:tcPr>
            <w:tcW w:w="1276" w:type="dxa"/>
            <w:tcBorders>
              <w:top w:val="nil"/>
              <w:bottom w:val="nil"/>
            </w:tcBorders>
          </w:tcPr>
          <w:p>
            <w:pPr>
              <w:pStyle w:val="nTable"/>
              <w:spacing w:after="40"/>
            </w:pPr>
            <w:r>
              <w:t>SL 2020/99</w:t>
            </w:r>
            <w:r>
              <w:br/>
              <w:t>30 Jun 2020</w:t>
            </w:r>
          </w:p>
        </w:tc>
        <w:tc>
          <w:tcPr>
            <w:tcW w:w="2693" w:type="dxa"/>
            <w:tcBorders>
              <w:top w:val="nil"/>
              <w:bottom w:val="nil"/>
            </w:tcBorders>
          </w:tcPr>
          <w:p>
            <w:pPr>
              <w:pStyle w:val="nTable"/>
              <w:spacing w:after="40"/>
              <w:rPr>
                <w:bCs/>
                <w:snapToGrid w:val="0"/>
                <w:spacing w:val="-2"/>
              </w:rPr>
            </w:pPr>
            <w:r>
              <w:rPr>
                <w:bCs/>
                <w:snapToGrid w:val="0"/>
                <w:spacing w:val="-2"/>
              </w:rPr>
              <w:t>1 Jul 2020 (see r. 2(b))</w:t>
            </w:r>
          </w:p>
        </w:tc>
      </w:tr>
      <w:tr>
        <w:trPr>
          <w:cantSplit/>
        </w:trPr>
        <w:tc>
          <w:tcPr>
            <w:tcW w:w="3118" w:type="dxa"/>
            <w:tcBorders>
              <w:top w:val="nil"/>
              <w:bottom w:val="nil"/>
            </w:tcBorders>
          </w:tcPr>
          <w:p>
            <w:pPr>
              <w:pStyle w:val="nTable"/>
              <w:spacing w:after="40"/>
              <w:rPr>
                <w:i/>
              </w:rPr>
            </w:pPr>
            <w:r>
              <w:rPr>
                <w:i/>
              </w:rPr>
              <w:t xml:space="preserve">Local Government Regulations Amendment (Infringement Notices) Regulations 2020 </w:t>
            </w:r>
            <w:r>
              <w:t>Pt. 4</w:t>
            </w:r>
          </w:p>
        </w:tc>
        <w:tc>
          <w:tcPr>
            <w:tcW w:w="1276" w:type="dxa"/>
            <w:tcBorders>
              <w:top w:val="nil"/>
              <w:bottom w:val="nil"/>
            </w:tcBorders>
          </w:tcPr>
          <w:p>
            <w:pPr>
              <w:pStyle w:val="nTable"/>
              <w:spacing w:after="40"/>
            </w:pPr>
            <w:r>
              <w:t>SL 2020/169</w:t>
            </w:r>
            <w:r>
              <w:br/>
              <w:t>25 Sep 2020</w:t>
            </w:r>
          </w:p>
        </w:tc>
        <w:tc>
          <w:tcPr>
            <w:tcW w:w="2693" w:type="dxa"/>
            <w:tcBorders>
              <w:top w:val="nil"/>
              <w:bottom w:val="nil"/>
            </w:tcBorders>
          </w:tcPr>
          <w:p>
            <w:pPr>
              <w:pStyle w:val="nTable"/>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rPr>
          <w:cantSplit/>
        </w:trPr>
        <w:tc>
          <w:tcPr>
            <w:tcW w:w="3118" w:type="dxa"/>
            <w:tcBorders>
              <w:top w:val="nil"/>
              <w:bottom w:val="single" w:sz="4" w:space="0" w:color="auto"/>
            </w:tcBorders>
          </w:tcPr>
          <w:p>
            <w:pPr>
              <w:pStyle w:val="nTable"/>
              <w:spacing w:after="40"/>
            </w:pPr>
            <w:r>
              <w:rPr>
                <w:i/>
              </w:rPr>
              <w:t>Local Government Regulations Amendment Regulations (No. 2) 2020</w:t>
            </w:r>
            <w:r>
              <w:t xml:space="preserve"> Pt. 4</w:t>
            </w:r>
          </w:p>
        </w:tc>
        <w:tc>
          <w:tcPr>
            <w:tcW w:w="1276" w:type="dxa"/>
            <w:tcBorders>
              <w:top w:val="nil"/>
              <w:bottom w:val="single" w:sz="4" w:space="0" w:color="auto"/>
            </w:tcBorders>
          </w:tcPr>
          <w:p>
            <w:pPr>
              <w:pStyle w:val="nTable"/>
              <w:spacing w:after="40"/>
            </w:pPr>
            <w:r>
              <w:t>SL 2020/213 6 Nov 2020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7 Nov 2020 (see r. 2(b) and SL 2020/212 cl. 2)</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50" w:name="_Toc55227586"/>
      <w:bookmarkStart w:id="51" w:name="_Toc55227925"/>
      <w:bookmarkStart w:id="52" w:name="_Toc55305644"/>
      <w:r>
        <w:rPr>
          <w:sz w:val="28"/>
        </w:rPr>
        <w:t>Defined terms</w:t>
      </w:r>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infringement notice</w:t>
      </w:r>
      <w:r>
        <w:tab/>
        <w:t>35(1)</w:t>
      </w:r>
    </w:p>
    <w:p>
      <w:pPr>
        <w:pStyle w:val="DefinedTerms"/>
      </w:pPr>
      <w:r>
        <w:t>pensioner</w:t>
      </w:r>
      <w:r>
        <w:tab/>
        <w:t>17(1)</w:t>
      </w:r>
    </w:p>
    <w:p>
      <w:pPr>
        <w:pStyle w:val="DefinedTerms"/>
      </w:pPr>
      <w:r>
        <w:t>place control provision</w:t>
      </w:r>
      <w:r>
        <w:tab/>
        <w:t>37(1)</w:t>
      </w:r>
    </w:p>
    <w:p>
      <w:pPr>
        <w:pStyle w:val="DefinedTerms"/>
      </w:pPr>
      <w:r>
        <w:t>registered training provider</w:t>
      </w:r>
      <w:r>
        <w:tab/>
        <w:t>9(1)</w:t>
      </w:r>
    </w:p>
    <w:p>
      <w:pPr>
        <w:pStyle w:val="DefinedTerms"/>
      </w:pPr>
      <w:r>
        <w:t>RWWA</w:t>
      </w:r>
      <w:r>
        <w:tab/>
        <w:t>3</w:t>
      </w:r>
    </w:p>
    <w:p>
      <w:pPr>
        <w:pStyle w:val="DefinedTerms"/>
      </w:pPr>
      <w:r>
        <w:t>section</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78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2163754"/>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 w:name="WAFER_20200630110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10031_GUID" w:val="b1d35310-be44-410f-b0f0-e453286a8298"/>
    <w:docVar w:name="WAFER_20200922164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64037_GUID" w:val="63ac2a1b-6303-4b06-afed-76e250f61485"/>
    <w:docVar w:name="WAFER_202011021637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3754_GUID" w:val="fb2c658f-9306-4d4d-9a89-8cf1ef99c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image" Target="media/image5.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22631-C539-4428-AA60-2600736D8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8026</Words>
  <Characters>43503</Characters>
  <Application>Microsoft Office Word</Application>
  <DocSecurity>0</DocSecurity>
  <Lines>1812</Lines>
  <Paragraphs>1096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2013 - 01-g0-00</dc:title>
  <dc:subject/>
  <dc:creator/>
  <cp:keywords/>
  <dc:description/>
  <cp:lastModifiedBy>svcMRProcess</cp:lastModifiedBy>
  <cp:revision>4</cp:revision>
  <cp:lastPrinted>2017-09-05T01:09:00Z</cp:lastPrinted>
  <dcterms:created xsi:type="dcterms:W3CDTF">2020-11-06T01:38:00Z</dcterms:created>
  <dcterms:modified xsi:type="dcterms:W3CDTF">2020-11-06T01:38:00Z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AsAtDate">
    <vt:lpwstr>07 Nov 2020</vt:lpwstr>
  </property>
  <property fmtid="{D5CDD505-2E9C-101B-9397-08002B2CF9AE}" pid="8" name="Suffix">
    <vt:lpwstr>01-g0-00</vt:lpwstr>
  </property>
  <property fmtid="{D5CDD505-2E9C-101B-9397-08002B2CF9AE}" pid="9" name="CommencementDate">
    <vt:lpwstr>20201107</vt:lpwstr>
  </property>
</Properties>
</file>