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rPr>
          <w:rFonts w:ascii="Times" w:hAnsi="Times"/>
        </w:rPr>
      </w:pPr>
      <w:bookmarkStart w:id="0" w:name="UpToHere"/>
      <w:bookmarkStart w:id="1" w:name="_GoBack"/>
      <w:bookmarkEnd w:id="0"/>
      <w:bookmarkEnd w:id="1"/>
      <w:r>
        <w:rPr>
          <w:rFonts w:ascii="Times" w:hAnsi="Times"/>
        </w:rPr>
        <w:t>Western Australia</w:t>
      </w:r>
    </w:p>
    <w:p>
      <w:pPr>
        <w:pStyle w:val="NameofActRegPage1"/>
        <w:spacing w:before="3760" w:after="4200"/>
        <w:rPr>
          <w:rFonts w:ascii="Times" w:hAnsi="Times"/>
        </w:rPr>
      </w:pPr>
      <w:r>
        <w:rPr>
          <w:rFonts w:ascii="Times" w:hAnsi="Times"/>
        </w:rPr>
        <w:fldChar w:fldCharType="begin"/>
      </w:r>
      <w:r>
        <w:rPr>
          <w:rFonts w:ascii="Times" w:hAnsi="Times"/>
        </w:rPr>
        <w:instrText xml:space="preserve"> STYLEREF "Name Of Act/Reg"</w:instrText>
      </w:r>
      <w:r>
        <w:rPr>
          <w:rFonts w:ascii="Times" w:hAnsi="Times"/>
        </w:rPr>
        <w:fldChar w:fldCharType="separate"/>
      </w:r>
      <w:r>
        <w:rPr>
          <w:rFonts w:ascii="Times" w:hAnsi="Times"/>
          <w:noProof/>
        </w:rPr>
        <w:t>Sentencing Regulations 1996</w:t>
      </w:r>
      <w:r>
        <w:rPr>
          <w:rFonts w:ascii="Times" w:hAnsi="Times"/>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_Toc125868522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_Toc125868523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_Toc125868524 \h </w:instrText>
      </w:r>
      <w:r>
        <w:fldChar w:fldCharType="separate"/>
      </w:r>
      <w:r>
        <w:t>1</w:t>
      </w:r>
      <w:r>
        <w:fldChar w:fldCharType="end"/>
      </w:r>
    </w:p>
    <w:p>
      <w:pPr>
        <w:pStyle w:val="TOC2"/>
        <w:tabs>
          <w:tab w:val="right" w:leader="dot" w:pos="7086"/>
        </w:tabs>
        <w:rPr>
          <w:b w:val="0"/>
          <w:sz w:val="24"/>
        </w:rPr>
      </w:pPr>
      <w:r>
        <w:t>Part 2 — Matters preliminary to sentencing</w:t>
      </w:r>
    </w:p>
    <w:p>
      <w:pPr>
        <w:pStyle w:val="TOC8"/>
        <w:rPr>
          <w:sz w:val="24"/>
        </w:rPr>
      </w:pPr>
      <w:r>
        <w:t>4</w:t>
      </w:r>
      <w:r>
        <w:rPr>
          <w:snapToGrid w:val="0"/>
        </w:rPr>
        <w:t>.</w:t>
      </w:r>
      <w:r>
        <w:rPr>
          <w:snapToGrid w:val="0"/>
        </w:rPr>
        <w:tab/>
        <w:t>Mediation (s. 27</w:t>
      </w:r>
      <w:r>
        <w:rPr>
          <w:snapToGrid w:val="0"/>
        </w:rPr>
        <w:noBreakHyphen/>
        <w:t>30)</w:t>
      </w:r>
      <w:r>
        <w:tab/>
      </w:r>
      <w:r>
        <w:fldChar w:fldCharType="begin"/>
      </w:r>
      <w:r>
        <w:instrText xml:space="preserve"> PAGEREF _Toc125868526 \h </w:instrText>
      </w:r>
      <w:r>
        <w:fldChar w:fldCharType="separate"/>
      </w:r>
      <w:r>
        <w:t>2</w:t>
      </w:r>
      <w:r>
        <w:fldChar w:fldCharType="end"/>
      </w:r>
    </w:p>
    <w:p>
      <w:pPr>
        <w:pStyle w:val="TOC2"/>
        <w:tabs>
          <w:tab w:val="right" w:leader="dot" w:pos="7086"/>
        </w:tabs>
        <w:rPr>
          <w:b w:val="0"/>
          <w:sz w:val="24"/>
        </w:rPr>
      </w:pPr>
      <w:r>
        <w:t>Part 2A</w:t>
      </w:r>
      <w:r>
        <w:rPr>
          <w:b w:val="0"/>
        </w:rPr>
        <w:t> </w:t>
      </w:r>
      <w:r>
        <w:t>—</w:t>
      </w:r>
      <w:r>
        <w:rPr>
          <w:b w:val="0"/>
        </w:rPr>
        <w:t> </w:t>
      </w:r>
      <w:r>
        <w:t>Pre</w:t>
      </w:r>
      <w:r>
        <w:noBreakHyphen/>
        <w:t>sentence order</w:t>
      </w:r>
    </w:p>
    <w:p>
      <w:pPr>
        <w:pStyle w:val="TOC8"/>
        <w:rPr>
          <w:sz w:val="24"/>
        </w:rPr>
      </w:pPr>
      <w:r>
        <w:t>4A.</w:t>
      </w:r>
      <w:r>
        <w:tab/>
        <w:t>Speciality court</w:t>
      </w:r>
      <w:r>
        <w:tab/>
      </w:r>
      <w:r>
        <w:fldChar w:fldCharType="begin"/>
      </w:r>
      <w:r>
        <w:instrText xml:space="preserve"> PAGEREF _Toc125868528 \h </w:instrText>
      </w:r>
      <w:r>
        <w:fldChar w:fldCharType="separate"/>
      </w:r>
      <w:r>
        <w:t>3</w:t>
      </w:r>
      <w:r>
        <w:fldChar w:fldCharType="end"/>
      </w:r>
    </w:p>
    <w:p>
      <w:pPr>
        <w:pStyle w:val="TOC8"/>
        <w:rPr>
          <w:sz w:val="24"/>
        </w:rPr>
      </w:pPr>
      <w:r>
        <w:t>4B.</w:t>
      </w:r>
      <w:r>
        <w:tab/>
        <w:t>Application to amend or cancel a PSO (s. 33M(2)(a) or (b))</w:t>
      </w:r>
      <w:r>
        <w:tab/>
      </w:r>
      <w:r>
        <w:fldChar w:fldCharType="begin"/>
      </w:r>
      <w:r>
        <w:instrText xml:space="preserve"> PAGEREF _Toc125868529 \h </w:instrText>
      </w:r>
      <w:r>
        <w:fldChar w:fldCharType="separate"/>
      </w:r>
      <w:r>
        <w:t>3</w:t>
      </w:r>
      <w:r>
        <w:fldChar w:fldCharType="end"/>
      </w:r>
    </w:p>
    <w:p>
      <w:pPr>
        <w:pStyle w:val="TOC8"/>
        <w:rPr>
          <w:sz w:val="24"/>
        </w:rPr>
      </w:pPr>
      <w:r>
        <w:t>4C.</w:t>
      </w:r>
      <w:r>
        <w:tab/>
        <w:t>Application to amend or cancel a PSO (s. 33M(2)(c))</w:t>
      </w:r>
      <w:r>
        <w:tab/>
      </w:r>
      <w:r>
        <w:fldChar w:fldCharType="begin"/>
      </w:r>
      <w:r>
        <w:instrText xml:space="preserve"> PAGEREF _Toc125868530 \h </w:instrText>
      </w:r>
      <w:r>
        <w:fldChar w:fldCharType="separate"/>
      </w:r>
      <w:r>
        <w:t>4</w:t>
      </w:r>
      <w:r>
        <w:fldChar w:fldCharType="end"/>
      </w:r>
    </w:p>
    <w:p>
      <w:pPr>
        <w:pStyle w:val="TOC8"/>
        <w:rPr>
          <w:sz w:val="24"/>
        </w:rPr>
      </w:pPr>
      <w:r>
        <w:t>4D.</w:t>
      </w:r>
      <w:r>
        <w:tab/>
        <w:t>CEO to be notified when court deals with offender on PSO</w:t>
      </w:r>
      <w:r>
        <w:tab/>
      </w:r>
      <w:r>
        <w:fldChar w:fldCharType="begin"/>
      </w:r>
      <w:r>
        <w:instrText xml:space="preserve"> PAGEREF _Toc125868531 \h </w:instrText>
      </w:r>
      <w:r>
        <w:fldChar w:fldCharType="separate"/>
      </w:r>
      <w:r>
        <w:t>4</w:t>
      </w:r>
      <w:r>
        <w:fldChar w:fldCharType="end"/>
      </w:r>
    </w:p>
    <w:p>
      <w:pPr>
        <w:pStyle w:val="TOC8"/>
        <w:rPr>
          <w:sz w:val="24"/>
        </w:rPr>
      </w:pPr>
      <w:r>
        <w:t>4E.</w:t>
      </w:r>
      <w:r>
        <w:tab/>
        <w:t>Lower court procedure on recalling an order imposing a sentence (s. 33O(5)(b))</w:t>
      </w:r>
      <w:r>
        <w:tab/>
      </w:r>
      <w:r>
        <w:fldChar w:fldCharType="begin"/>
      </w:r>
      <w:r>
        <w:instrText xml:space="preserve"> PAGEREF _Toc125868532 \h </w:instrText>
      </w:r>
      <w:r>
        <w:fldChar w:fldCharType="separate"/>
      </w:r>
      <w:r>
        <w:t>5</w:t>
      </w:r>
      <w:r>
        <w:fldChar w:fldCharType="end"/>
      </w:r>
    </w:p>
    <w:p>
      <w:pPr>
        <w:pStyle w:val="TOC8"/>
        <w:rPr>
          <w:sz w:val="24"/>
        </w:rPr>
      </w:pPr>
      <w:r>
        <w:t>4F.</w:t>
      </w:r>
      <w:r>
        <w:tab/>
        <w:t>Superior court procedure on recalling an order imposing a sentence (s. 33O(5)(b))</w:t>
      </w:r>
      <w:r>
        <w:tab/>
      </w:r>
      <w:r>
        <w:fldChar w:fldCharType="begin"/>
      </w:r>
      <w:r>
        <w:instrText xml:space="preserve"> PAGEREF _Toc125868533 \h </w:instrText>
      </w:r>
      <w:r>
        <w:fldChar w:fldCharType="separate"/>
      </w:r>
      <w:r>
        <w:t>5</w:t>
      </w:r>
      <w:r>
        <w:fldChar w:fldCharType="end"/>
      </w:r>
    </w:p>
    <w:p>
      <w:pPr>
        <w:pStyle w:val="TOC2"/>
        <w:tabs>
          <w:tab w:val="right" w:leader="dot" w:pos="7086"/>
        </w:tabs>
        <w:rPr>
          <w:b w:val="0"/>
          <w:sz w:val="24"/>
        </w:rPr>
      </w:pPr>
      <w:r>
        <w:t>Part 3 — The sentencing process</w:t>
      </w:r>
    </w:p>
    <w:p>
      <w:pPr>
        <w:pStyle w:val="TOC8"/>
        <w:rPr>
          <w:sz w:val="24"/>
        </w:rPr>
      </w:pPr>
      <w:r>
        <w:t>5</w:t>
      </w:r>
      <w:r>
        <w:rPr>
          <w:snapToGrid w:val="0"/>
        </w:rPr>
        <w:t>.</w:t>
      </w:r>
      <w:r>
        <w:rPr>
          <w:snapToGrid w:val="0"/>
        </w:rPr>
        <w:tab/>
        <w:t>Correction of sentence (s. 37)</w:t>
      </w:r>
      <w:r>
        <w:tab/>
      </w:r>
      <w:r>
        <w:fldChar w:fldCharType="begin"/>
      </w:r>
      <w:r>
        <w:instrText xml:space="preserve"> PAGEREF _Toc125868535 \h </w:instrText>
      </w:r>
      <w:r>
        <w:fldChar w:fldCharType="separate"/>
      </w:r>
      <w:r>
        <w:t>6</w:t>
      </w:r>
      <w:r>
        <w:fldChar w:fldCharType="end"/>
      </w:r>
    </w:p>
    <w:p>
      <w:pPr>
        <w:pStyle w:val="TOC8"/>
        <w:rPr>
          <w:sz w:val="24"/>
        </w:rPr>
      </w:pPr>
      <w:r>
        <w:t>5A.</w:t>
      </w:r>
      <w:r>
        <w:tab/>
        <w:t>Re</w:t>
      </w:r>
      <w:r>
        <w:noBreakHyphen/>
        <w:t>sentencing of offender — courts of summary jurisdiction and Children’s Court (s. 37A)</w:t>
      </w:r>
      <w:r>
        <w:tab/>
      </w:r>
      <w:r>
        <w:fldChar w:fldCharType="begin"/>
      </w:r>
      <w:r>
        <w:instrText xml:space="preserve"> PAGEREF _Toc125868536 \h </w:instrText>
      </w:r>
      <w:r>
        <w:fldChar w:fldCharType="separate"/>
      </w:r>
      <w:r>
        <w:t>7</w:t>
      </w:r>
      <w:r>
        <w:fldChar w:fldCharType="end"/>
      </w:r>
    </w:p>
    <w:p>
      <w:pPr>
        <w:pStyle w:val="TOC8"/>
        <w:rPr>
          <w:sz w:val="24"/>
        </w:rPr>
      </w:pPr>
      <w:r>
        <w:lastRenderedPageBreak/>
        <w:t>5B.</w:t>
      </w:r>
      <w:r>
        <w:tab/>
        <w:t>Re</w:t>
      </w:r>
      <w:r>
        <w:noBreakHyphen/>
        <w:t>sentencing of offender — superior courts (s. 37A)</w:t>
      </w:r>
      <w:r>
        <w:tab/>
      </w:r>
      <w:r>
        <w:fldChar w:fldCharType="begin"/>
      </w:r>
      <w:r>
        <w:instrText xml:space="preserve"> PAGEREF _Toc125868537 \h </w:instrText>
      </w:r>
      <w:r>
        <w:fldChar w:fldCharType="separate"/>
      </w:r>
      <w:r>
        <w:t>7</w:t>
      </w:r>
      <w:r>
        <w:fldChar w:fldCharType="end"/>
      </w:r>
    </w:p>
    <w:p>
      <w:pPr>
        <w:pStyle w:val="TOC8"/>
        <w:rPr>
          <w:sz w:val="24"/>
        </w:rPr>
      </w:pPr>
      <w:r>
        <w:t>6</w:t>
      </w:r>
      <w:r>
        <w:rPr>
          <w:snapToGrid w:val="0"/>
        </w:rPr>
        <w:t>.</w:t>
      </w:r>
      <w:r>
        <w:rPr>
          <w:snapToGrid w:val="0"/>
        </w:rPr>
        <w:tab/>
        <w:t>Imprisonment by justices: magistrate to review (s. 38)</w:t>
      </w:r>
      <w:r>
        <w:tab/>
      </w:r>
      <w:r>
        <w:fldChar w:fldCharType="begin"/>
      </w:r>
      <w:r>
        <w:instrText xml:space="preserve"> PAGEREF _Toc125868538 \h </w:instrText>
      </w:r>
      <w:r>
        <w:fldChar w:fldCharType="separate"/>
      </w:r>
      <w:r>
        <w:t>8</w:t>
      </w:r>
      <w:r>
        <w:fldChar w:fldCharType="end"/>
      </w:r>
    </w:p>
    <w:p>
      <w:pPr>
        <w:pStyle w:val="TOC2"/>
        <w:tabs>
          <w:tab w:val="right" w:leader="dot" w:pos="7086"/>
        </w:tabs>
        <w:rPr>
          <w:b w:val="0"/>
          <w:sz w:val="24"/>
        </w:rPr>
      </w:pPr>
      <w:r>
        <w:t>Part 3A</w:t>
      </w:r>
      <w:r>
        <w:rPr>
          <w:b w:val="0"/>
        </w:rPr>
        <w:t> </w:t>
      </w:r>
      <w:r>
        <w:t>—</w:t>
      </w:r>
      <w:r>
        <w:rPr>
          <w:b w:val="0"/>
        </w:rPr>
        <w:t> </w:t>
      </w:r>
      <w:r>
        <w:t>Sentencing options</w:t>
      </w:r>
    </w:p>
    <w:p>
      <w:pPr>
        <w:pStyle w:val="TOC8"/>
        <w:rPr>
          <w:sz w:val="24"/>
        </w:rPr>
      </w:pPr>
      <w:r>
        <w:t>6AA.</w:t>
      </w:r>
      <w:r>
        <w:tab/>
        <w:t>Offences for which CBO may be imposed (s. 44(a)(ii))</w:t>
      </w:r>
      <w:r>
        <w:tab/>
      </w:r>
      <w:r>
        <w:fldChar w:fldCharType="begin"/>
      </w:r>
      <w:r>
        <w:instrText xml:space="preserve"> PAGEREF _Toc125868540 \h </w:instrText>
      </w:r>
      <w:r>
        <w:fldChar w:fldCharType="separate"/>
      </w:r>
      <w:r>
        <w:t>10</w:t>
      </w:r>
      <w:r>
        <w:fldChar w:fldCharType="end"/>
      </w:r>
    </w:p>
    <w:p>
      <w:pPr>
        <w:pStyle w:val="TOC8"/>
        <w:rPr>
          <w:sz w:val="24"/>
        </w:rPr>
      </w:pPr>
      <w:r>
        <w:t>6A.</w:t>
      </w:r>
      <w:r>
        <w:tab/>
        <w:t>Application for cancellation of order (s. 57B)</w:t>
      </w:r>
      <w:r>
        <w:tab/>
      </w:r>
      <w:r>
        <w:fldChar w:fldCharType="begin"/>
      </w:r>
      <w:r>
        <w:instrText xml:space="preserve"> PAGEREF _Toc125868541 \h </w:instrText>
      </w:r>
      <w:r>
        <w:fldChar w:fldCharType="separate"/>
      </w:r>
      <w:r>
        <w:t>10</w:t>
      </w:r>
      <w:r>
        <w:fldChar w:fldCharType="end"/>
      </w:r>
    </w:p>
    <w:p>
      <w:pPr>
        <w:pStyle w:val="TOC2"/>
        <w:tabs>
          <w:tab w:val="right" w:leader="dot" w:pos="7086"/>
        </w:tabs>
        <w:rPr>
          <w:b w:val="0"/>
          <w:sz w:val="24"/>
        </w:rPr>
      </w:pPr>
      <w:r>
        <w:t>Part 4 — Orders forming part of a sentence</w:t>
      </w:r>
    </w:p>
    <w:p>
      <w:pPr>
        <w:pStyle w:val="TOC8"/>
        <w:rPr>
          <w:sz w:val="24"/>
        </w:rPr>
      </w:pPr>
      <w:r>
        <w:t>7</w:t>
      </w:r>
      <w:r>
        <w:rPr>
          <w:snapToGrid w:val="0"/>
        </w:rPr>
        <w:t>.</w:t>
      </w:r>
      <w:r>
        <w:rPr>
          <w:snapToGrid w:val="0"/>
        </w:rPr>
        <w:tab/>
        <w:t>Application for return of passport (s. 108)</w:t>
      </w:r>
      <w:r>
        <w:tab/>
      </w:r>
      <w:r>
        <w:fldChar w:fldCharType="begin"/>
      </w:r>
      <w:r>
        <w:instrText xml:space="preserve"> PAGEREF _Toc125868543 \h </w:instrText>
      </w:r>
      <w:r>
        <w:fldChar w:fldCharType="separate"/>
      </w:r>
      <w:r>
        <w:t>11</w:t>
      </w:r>
      <w:r>
        <w:fldChar w:fldCharType="end"/>
      </w:r>
    </w:p>
    <w:p>
      <w:pPr>
        <w:pStyle w:val="TOC2"/>
        <w:tabs>
          <w:tab w:val="right" w:leader="dot" w:pos="7086"/>
        </w:tabs>
        <w:rPr>
          <w:b w:val="0"/>
          <w:sz w:val="24"/>
        </w:rPr>
      </w:pPr>
      <w:r>
        <w:t>Part 5 — Reparation orders</w:t>
      </w:r>
    </w:p>
    <w:p>
      <w:pPr>
        <w:pStyle w:val="TOC8"/>
        <w:rPr>
          <w:sz w:val="24"/>
        </w:rPr>
      </w:pPr>
      <w:r>
        <w:t>8</w:t>
      </w:r>
      <w:r>
        <w:rPr>
          <w:snapToGrid w:val="0"/>
        </w:rPr>
        <w:t>.</w:t>
      </w:r>
      <w:r>
        <w:rPr>
          <w:snapToGrid w:val="0"/>
        </w:rPr>
        <w:tab/>
        <w:t>Application for a reparation order (s. 111)</w:t>
      </w:r>
      <w:r>
        <w:tab/>
      </w:r>
      <w:r>
        <w:fldChar w:fldCharType="begin"/>
      </w:r>
      <w:r>
        <w:instrText xml:space="preserve"> PAGEREF _Toc125868545 \h </w:instrText>
      </w:r>
      <w:r>
        <w:fldChar w:fldCharType="separate"/>
      </w:r>
      <w:r>
        <w:t>12</w:t>
      </w:r>
      <w:r>
        <w:fldChar w:fldCharType="end"/>
      </w:r>
    </w:p>
    <w:p>
      <w:pPr>
        <w:pStyle w:val="TOC8"/>
        <w:rPr>
          <w:sz w:val="24"/>
        </w:rPr>
      </w:pPr>
      <w:r>
        <w:t>8A.</w:t>
      </w:r>
      <w:r>
        <w:tab/>
        <w:t>Form of restitution order</w:t>
      </w:r>
      <w:r>
        <w:tab/>
      </w:r>
      <w:r>
        <w:fldChar w:fldCharType="begin"/>
      </w:r>
      <w:r>
        <w:instrText xml:space="preserve"> PAGEREF _Toc125868546 \h </w:instrText>
      </w:r>
      <w:r>
        <w:fldChar w:fldCharType="separate"/>
      </w:r>
      <w:r>
        <w:t>12</w:t>
      </w:r>
      <w:r>
        <w:fldChar w:fldCharType="end"/>
      </w:r>
    </w:p>
    <w:p>
      <w:pPr>
        <w:pStyle w:val="TOC8"/>
        <w:rPr>
          <w:sz w:val="24"/>
        </w:rPr>
      </w:pPr>
      <w:r>
        <w:t>8B.</w:t>
      </w:r>
      <w:r>
        <w:tab/>
        <w:t>Recovery of enforcement costs</w:t>
      </w:r>
      <w:r>
        <w:tab/>
      </w:r>
      <w:r>
        <w:fldChar w:fldCharType="begin"/>
      </w:r>
      <w:r>
        <w:instrText xml:space="preserve"> PAGEREF _Toc125868547 \h </w:instrText>
      </w:r>
      <w:r>
        <w:fldChar w:fldCharType="separate"/>
      </w:r>
      <w:r>
        <w:t>13</w:t>
      </w:r>
      <w:r>
        <w:fldChar w:fldCharType="end"/>
      </w:r>
    </w:p>
    <w:p>
      <w:pPr>
        <w:pStyle w:val="TOC8"/>
        <w:rPr>
          <w:sz w:val="24"/>
        </w:rPr>
      </w:pPr>
      <w:r>
        <w:t>9</w:t>
      </w:r>
      <w:r>
        <w:rPr>
          <w:snapToGrid w:val="0"/>
        </w:rPr>
        <w:t>.</w:t>
      </w:r>
      <w:r>
        <w:rPr>
          <w:snapToGrid w:val="0"/>
        </w:rPr>
        <w:tab/>
        <w:t>Enforcing a restitution order (s. 121)</w:t>
      </w:r>
      <w:r>
        <w:tab/>
      </w:r>
      <w:r>
        <w:fldChar w:fldCharType="begin"/>
      </w:r>
      <w:r>
        <w:instrText xml:space="preserve"> PAGEREF _Toc125868548 \h </w:instrText>
      </w:r>
      <w:r>
        <w:fldChar w:fldCharType="separate"/>
      </w:r>
      <w:r>
        <w:t>13</w:t>
      </w:r>
      <w:r>
        <w:fldChar w:fldCharType="end"/>
      </w:r>
    </w:p>
    <w:p>
      <w:pPr>
        <w:pStyle w:val="TOC2"/>
        <w:tabs>
          <w:tab w:val="right" w:leader="dot" w:pos="7086"/>
        </w:tabs>
        <w:rPr>
          <w:b w:val="0"/>
          <w:sz w:val="24"/>
        </w:rPr>
      </w:pPr>
      <w:r>
        <w:t>Part 6 — Amending and enforcing conditional release orders and community orders</w:t>
      </w:r>
    </w:p>
    <w:p>
      <w:pPr>
        <w:pStyle w:val="TOC8"/>
        <w:rPr>
          <w:sz w:val="24"/>
        </w:rPr>
      </w:pPr>
      <w:r>
        <w:t>10</w:t>
      </w:r>
      <w:r>
        <w:rPr>
          <w:snapToGrid w:val="0"/>
        </w:rPr>
        <w:t>.</w:t>
      </w:r>
      <w:r>
        <w:rPr>
          <w:snapToGrid w:val="0"/>
        </w:rPr>
        <w:tab/>
        <w:t>Application to amend or cancel (s. 126)</w:t>
      </w:r>
      <w:r>
        <w:tab/>
      </w:r>
      <w:r>
        <w:fldChar w:fldCharType="begin"/>
      </w:r>
      <w:r>
        <w:instrText xml:space="preserve"> PAGEREF _Toc125868550 \h </w:instrText>
      </w:r>
      <w:r>
        <w:fldChar w:fldCharType="separate"/>
      </w:r>
      <w:r>
        <w:t>14</w:t>
      </w:r>
      <w:r>
        <w:fldChar w:fldCharType="end"/>
      </w:r>
    </w:p>
    <w:p>
      <w:pPr>
        <w:pStyle w:val="TOC8"/>
        <w:rPr>
          <w:sz w:val="24"/>
        </w:rPr>
      </w:pPr>
      <w:r>
        <w:t>11</w:t>
      </w:r>
      <w:r>
        <w:rPr>
          <w:snapToGrid w:val="0"/>
        </w:rPr>
        <w:t>.</w:t>
      </w:r>
      <w:r>
        <w:rPr>
          <w:snapToGrid w:val="0"/>
        </w:rPr>
        <w:tab/>
        <w:t>CEO to be notified when court deals with offender on community order</w:t>
      </w:r>
      <w:r>
        <w:tab/>
      </w:r>
      <w:r>
        <w:fldChar w:fldCharType="begin"/>
      </w:r>
      <w:r>
        <w:instrText xml:space="preserve"> PAGEREF _Toc125868551 \h </w:instrText>
      </w:r>
      <w:r>
        <w:fldChar w:fldCharType="separate"/>
      </w:r>
      <w:r>
        <w:t>15</w:t>
      </w:r>
      <w:r>
        <w:fldChar w:fldCharType="end"/>
      </w:r>
    </w:p>
    <w:p>
      <w:pPr>
        <w:pStyle w:val="TOC2"/>
        <w:tabs>
          <w:tab w:val="right" w:leader="dot" w:pos="7086"/>
        </w:tabs>
        <w:rPr>
          <w:b w:val="0"/>
          <w:sz w:val="24"/>
        </w:rPr>
      </w:pPr>
      <w:r>
        <w:t>Part 7 — Miscellaneous</w:t>
      </w:r>
    </w:p>
    <w:p>
      <w:pPr>
        <w:pStyle w:val="TOC8"/>
        <w:rPr>
          <w:sz w:val="24"/>
        </w:rPr>
      </w:pPr>
      <w:r>
        <w:t>12</w:t>
      </w:r>
      <w:r>
        <w:rPr>
          <w:snapToGrid w:val="0"/>
        </w:rPr>
        <w:t>.</w:t>
      </w:r>
      <w:r>
        <w:rPr>
          <w:snapToGrid w:val="0"/>
        </w:rPr>
        <w:tab/>
        <w:t>Service</w:t>
      </w:r>
      <w:r>
        <w:tab/>
      </w:r>
      <w:r>
        <w:fldChar w:fldCharType="begin"/>
      </w:r>
      <w:r>
        <w:instrText xml:space="preserve"> PAGEREF _Toc125868553 \h </w:instrText>
      </w:r>
      <w:r>
        <w:fldChar w:fldCharType="separate"/>
      </w:r>
      <w:r>
        <w:t>16</w:t>
      </w:r>
      <w:r>
        <w:fldChar w:fldCharType="end"/>
      </w:r>
    </w:p>
    <w:p>
      <w:pPr>
        <w:pStyle w:val="TOC8"/>
        <w:rPr>
          <w:sz w:val="24"/>
        </w:rPr>
      </w:pPr>
      <w:r>
        <w:t>13</w:t>
      </w:r>
      <w:r>
        <w:rPr>
          <w:snapToGrid w:val="0"/>
        </w:rPr>
        <w:t>.</w:t>
      </w:r>
      <w:r>
        <w:rPr>
          <w:snapToGrid w:val="0"/>
        </w:rPr>
        <w:tab/>
        <w:t>Forms</w:t>
      </w:r>
      <w:r>
        <w:tab/>
      </w:r>
      <w:r>
        <w:fldChar w:fldCharType="begin"/>
      </w:r>
      <w:r>
        <w:instrText xml:space="preserve"> PAGEREF _Toc125868554 \h </w:instrText>
      </w:r>
      <w:r>
        <w:fldChar w:fldCharType="separate"/>
      </w:r>
      <w:r>
        <w:t>16</w:t>
      </w:r>
      <w:r>
        <w:fldChar w:fldCharType="end"/>
      </w:r>
    </w:p>
    <w:p>
      <w:pPr>
        <w:pStyle w:val="TOC2"/>
        <w:tabs>
          <w:tab w:val="right" w:leader="dot" w:pos="7086"/>
        </w:tabs>
        <w:rPr>
          <w:b w:val="0"/>
          <w:sz w:val="24"/>
        </w:rPr>
      </w:pPr>
      <w:r>
        <w:t>Schedule 1 — Forms</w:t>
      </w:r>
    </w:p>
    <w:p>
      <w:pPr>
        <w:pStyle w:val="TOC8"/>
        <w:rPr>
          <w:sz w:val="24"/>
        </w:rPr>
      </w:pPr>
      <w:r>
        <w:rPr>
          <w:snapToGrid w:val="0"/>
        </w:rPr>
        <w:t>1.</w:t>
      </w:r>
      <w:r>
        <w:rPr>
          <w:snapToGrid w:val="0"/>
        </w:rPr>
        <w:tab/>
        <w:t>Warrant of commitment</w:t>
      </w:r>
      <w:r>
        <w:tab/>
      </w:r>
      <w:r>
        <w:fldChar w:fldCharType="begin"/>
      </w:r>
      <w:r>
        <w:instrText xml:space="preserve"> PAGEREF _Toc125868556 \h </w:instrText>
      </w:r>
      <w:r>
        <w:fldChar w:fldCharType="separate"/>
      </w:r>
      <w:r>
        <w:t>18</w:t>
      </w:r>
      <w:r>
        <w:fldChar w:fldCharType="end"/>
      </w:r>
    </w:p>
    <w:p>
      <w:pPr>
        <w:pStyle w:val="TOC8"/>
        <w:rPr>
          <w:sz w:val="24"/>
        </w:rPr>
      </w:pPr>
      <w:r>
        <w:rPr>
          <w:snapToGrid w:val="0"/>
        </w:rPr>
        <w:t>2.</w:t>
      </w:r>
      <w:r>
        <w:rPr>
          <w:snapToGrid w:val="0"/>
        </w:rPr>
        <w:tab/>
        <w:t>Warrant of commitment until fine is paid</w:t>
      </w:r>
      <w:r>
        <w:tab/>
      </w:r>
      <w:r>
        <w:fldChar w:fldCharType="begin"/>
      </w:r>
      <w:r>
        <w:instrText xml:space="preserve"> PAGEREF _Toc125868557 \h </w:instrText>
      </w:r>
      <w:r>
        <w:fldChar w:fldCharType="separate"/>
      </w:r>
      <w:r>
        <w:t>19</w:t>
      </w:r>
      <w:r>
        <w:fldChar w:fldCharType="end"/>
      </w:r>
    </w:p>
    <w:p>
      <w:pPr>
        <w:pStyle w:val="TOC8"/>
        <w:rPr>
          <w:sz w:val="24"/>
        </w:rPr>
      </w:pPr>
      <w:r>
        <w:rPr>
          <w:snapToGrid w:val="0"/>
        </w:rPr>
        <w:t>3.</w:t>
      </w:r>
      <w:r>
        <w:rPr>
          <w:snapToGrid w:val="0"/>
        </w:rPr>
        <w:tab/>
        <w:t>Warrant of commitment for not paying a fine</w:t>
      </w:r>
      <w:r>
        <w:tab/>
      </w:r>
      <w:r>
        <w:fldChar w:fldCharType="begin"/>
      </w:r>
      <w:r>
        <w:instrText xml:space="preserve"> PAGEREF _Toc125868558 \h </w:instrText>
      </w:r>
      <w:r>
        <w:fldChar w:fldCharType="separate"/>
      </w:r>
      <w:r>
        <w:t>21</w:t>
      </w:r>
      <w:r>
        <w:fldChar w:fldCharType="end"/>
      </w:r>
    </w:p>
    <w:p>
      <w:pPr>
        <w:pStyle w:val="TOC8"/>
        <w:rPr>
          <w:sz w:val="24"/>
        </w:rPr>
      </w:pPr>
      <w:r>
        <w:rPr>
          <w:snapToGrid w:val="0"/>
        </w:rPr>
        <w:t>3A.</w:t>
      </w:r>
      <w:r>
        <w:rPr>
          <w:snapToGrid w:val="0"/>
        </w:rPr>
        <w:tab/>
        <w:t>Warrant of commitment for breach of compensation order</w:t>
      </w:r>
      <w:r>
        <w:tab/>
      </w:r>
      <w:r>
        <w:fldChar w:fldCharType="begin"/>
      </w:r>
      <w:r>
        <w:instrText xml:space="preserve"> PAGEREF _Toc125868559 \h </w:instrText>
      </w:r>
      <w:r>
        <w:fldChar w:fldCharType="separate"/>
      </w:r>
      <w:r>
        <w:t>23</w:t>
      </w:r>
      <w:r>
        <w:fldChar w:fldCharType="end"/>
      </w:r>
    </w:p>
    <w:p>
      <w:pPr>
        <w:pStyle w:val="TOC8"/>
        <w:rPr>
          <w:sz w:val="24"/>
        </w:rPr>
      </w:pPr>
      <w:r>
        <w:rPr>
          <w:snapToGrid w:val="0"/>
        </w:rPr>
        <w:t>4.</w:t>
      </w:r>
      <w:r>
        <w:rPr>
          <w:snapToGrid w:val="0"/>
        </w:rPr>
        <w:tab/>
        <w:t>Certificate of breach of community order</w:t>
      </w:r>
      <w:r>
        <w:tab/>
      </w:r>
      <w:r>
        <w:fldChar w:fldCharType="begin"/>
      </w:r>
      <w:r>
        <w:instrText xml:space="preserve"> PAGEREF _Toc125868560 \h </w:instrText>
      </w:r>
      <w:r>
        <w:fldChar w:fldCharType="separate"/>
      </w:r>
      <w:r>
        <w:t>24</w:t>
      </w:r>
      <w:r>
        <w:fldChar w:fldCharType="end"/>
      </w:r>
    </w:p>
    <w:p>
      <w:pPr>
        <w:pStyle w:val="TOC8"/>
        <w:rPr>
          <w:sz w:val="24"/>
        </w:rPr>
      </w:pPr>
      <w:r>
        <w:rPr>
          <w:snapToGrid w:val="0"/>
        </w:rPr>
        <w:t>5.</w:t>
      </w:r>
      <w:r>
        <w:rPr>
          <w:snapToGrid w:val="0"/>
        </w:rPr>
        <w:tab/>
        <w:t>Notice alleging commission of offence while subject to sentence</w:t>
      </w:r>
      <w:r>
        <w:tab/>
      </w:r>
      <w:r>
        <w:fldChar w:fldCharType="begin"/>
      </w:r>
      <w:r>
        <w:instrText xml:space="preserve"> PAGEREF _Toc125868561 \h </w:instrText>
      </w:r>
      <w:r>
        <w:fldChar w:fldCharType="separate"/>
      </w:r>
      <w:r>
        <w:t>24</w:t>
      </w:r>
      <w:r>
        <w:fldChar w:fldCharType="end"/>
      </w:r>
    </w:p>
    <w:p>
      <w:pPr>
        <w:pStyle w:val="TOC2"/>
        <w:tabs>
          <w:tab w:val="right" w:leader="dot" w:pos="7086"/>
        </w:tabs>
        <w:rPr>
          <w:b w:val="0"/>
          <w:sz w:val="24"/>
        </w:rPr>
      </w:pPr>
      <w:r>
        <w:t>Schedule 2 — Offences for which CBO may be imposed under s. 44 of the Act</w:t>
      </w:r>
    </w:p>
    <w:p>
      <w:pPr>
        <w:pStyle w:val="TOC8"/>
        <w:rPr>
          <w:sz w:val="24"/>
        </w:rPr>
      </w:pPr>
      <w:r>
        <w:tab/>
        <w:t>Acts</w:t>
      </w:r>
      <w:r>
        <w:tab/>
      </w:r>
      <w:r>
        <w:fldChar w:fldCharType="begin"/>
      </w:r>
      <w:r>
        <w:instrText xml:space="preserve"> PAGEREF _Toc125868563 \h </w:instrText>
      </w:r>
      <w:r>
        <w:fldChar w:fldCharType="separate"/>
      </w:r>
      <w:r>
        <w:t>27</w:t>
      </w:r>
      <w:r>
        <w:fldChar w:fldCharType="end"/>
      </w:r>
    </w:p>
    <w:p>
      <w:pPr>
        <w:pStyle w:val="TOC8"/>
        <w:rPr>
          <w:sz w:val="24"/>
        </w:rPr>
      </w:pPr>
      <w:r>
        <w:tab/>
        <w:t>Subsidiary legislation</w:t>
      </w:r>
      <w:r>
        <w:tab/>
      </w:r>
      <w:r>
        <w:fldChar w:fldCharType="begin"/>
      </w:r>
      <w:r>
        <w:instrText xml:space="preserve"> PAGEREF _Toc125868564 \h </w:instrText>
      </w:r>
      <w:r>
        <w:fldChar w:fldCharType="separate"/>
      </w:r>
      <w:r>
        <w:t>28</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_Toc125868566 \h </w:instrText>
      </w:r>
      <w:r>
        <w:fldChar w:fldCharType="separate"/>
      </w:r>
      <w:r>
        <w:t>30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40"/>
      </w:pPr>
      <w:bookmarkStart w:id="2" w:name="_Toc72549697"/>
      <w:bookmarkStart w:id="3" w:name="_Toc79216814"/>
      <w:bookmarkStart w:id="4" w:name="_Toc92192677"/>
      <w:bookmarkStart w:id="5" w:name="_Toc92192723"/>
      <w:bookmarkStart w:id="6" w:name="_Toc92259403"/>
      <w:bookmarkStart w:id="7" w:name="_Toc102888445"/>
      <w:bookmarkStart w:id="8" w:name="_Toc125783417"/>
      <w:bookmarkStart w:id="9" w:name="_Toc125783481"/>
      <w:bookmarkStart w:id="10" w:name="_Toc125783527"/>
      <w:bookmarkStart w:id="11" w:name="_Toc12586852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503860086"/>
      <w:bookmarkStart w:id="13" w:name="_Toc125783418"/>
      <w:bookmarkStart w:id="14" w:name="_Toc125868522"/>
      <w:r>
        <w:rPr>
          <w:rStyle w:val="CharSectno"/>
        </w:rPr>
        <w:t>1</w:t>
      </w:r>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rPr>
          <w:snapToGrid w:val="0"/>
        </w:rPr>
      </w:pPr>
      <w:bookmarkStart w:id="15" w:name="_Toc503860087"/>
      <w:bookmarkStart w:id="16" w:name="_Toc125783419"/>
      <w:bookmarkStart w:id="17" w:name="_Toc125868523"/>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18" w:name="_Toc503860088"/>
      <w:bookmarkStart w:id="19" w:name="_Toc125783420"/>
      <w:bookmarkStart w:id="20" w:name="_Toc125868524"/>
      <w:r>
        <w:rPr>
          <w:rStyle w:val="CharSectno"/>
        </w:rPr>
        <w:t>3</w:t>
      </w:r>
      <w:r>
        <w:rPr>
          <w:snapToGrid w:val="0"/>
        </w:rPr>
        <w:t>.</w:t>
      </w:r>
      <w:r>
        <w:rPr>
          <w:snapToGrid w:val="0"/>
        </w:rPr>
        <w:tab/>
        <w:t>Interpretation</w:t>
      </w:r>
      <w:bookmarkEnd w:id="18"/>
      <w:bookmarkEnd w:id="19"/>
      <w:bookmarkEnd w:id="20"/>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approved</w:t>
      </w:r>
      <w:r>
        <w:rPr>
          <w:b/>
        </w:rPr>
        <w:t>”</w:t>
      </w:r>
      <w:r>
        <w:t>, in relation to a form, means approved by the CEO;</w:t>
      </w:r>
    </w:p>
    <w:p>
      <w:pPr>
        <w:pStyle w:val="Defstart"/>
      </w:pPr>
      <w:r>
        <w:rPr>
          <w:b/>
        </w:rPr>
        <w:tab/>
        <w:t>“</w:t>
      </w:r>
      <w:r>
        <w:rPr>
          <w:rStyle w:val="CharDefText"/>
        </w:rPr>
        <w:t>court officer</w:t>
      </w:r>
      <w:r>
        <w:rPr>
          <w:b/>
        </w:rPr>
        <w:t>”</w:t>
      </w:r>
      <w:r>
        <w:t xml:space="preserve"> means — </w:t>
      </w:r>
    </w:p>
    <w:p>
      <w:pPr>
        <w:pStyle w:val="Defpara"/>
      </w:pPr>
      <w:r>
        <w:tab/>
        <w:t>(a)</w:t>
      </w:r>
      <w:r>
        <w:tab/>
        <w:t>in a superior court — a clerk of arraigns or the manager of the criminal registry;</w:t>
      </w:r>
    </w:p>
    <w:p>
      <w:pPr>
        <w:pStyle w:val="Defpara"/>
      </w:pPr>
      <w:r>
        <w:tab/>
        <w:t>(b)</w:t>
      </w:r>
      <w:r>
        <w:tab/>
        <w:t>in a court of summary jurisdiction — a clerk of petty sessions;</w:t>
      </w:r>
    </w:p>
    <w:p>
      <w:pPr>
        <w:pStyle w:val="Defpara"/>
      </w:pPr>
      <w:r>
        <w:tab/>
        <w:t>(c)</w:t>
      </w:r>
      <w:r>
        <w:tab/>
        <w:t>in the Children’s Court — a clerk of the court.</w:t>
      </w:r>
    </w:p>
    <w:p>
      <w:pPr>
        <w:pStyle w:val="Subsection"/>
        <w:rPr>
          <w:snapToGrid w:val="0"/>
        </w:rPr>
      </w:pPr>
      <w:r>
        <w:rPr>
          <w:snapToGrid w:val="0"/>
        </w:rPr>
        <w:tab/>
        <w:t>(2)</w:t>
      </w:r>
      <w:r>
        <w:rPr>
          <w:snapToGrid w:val="0"/>
        </w:rPr>
        <w:tab/>
        <w:t>The abbreviations used in these regulations are the same as those used in the Act.</w:t>
      </w:r>
    </w:p>
    <w:p>
      <w:pPr>
        <w:pStyle w:val="Footnotesection"/>
      </w:pPr>
      <w:r>
        <w:tab/>
        <w:t>[Regulation 3 amended in Gazette 3 Mar 2000 p. 1015.]</w:t>
      </w:r>
    </w:p>
    <w:p>
      <w:pPr>
        <w:pStyle w:val="Heading2"/>
      </w:pPr>
      <w:bookmarkStart w:id="21" w:name="_Toc72549701"/>
      <w:bookmarkStart w:id="22" w:name="_Toc79216818"/>
      <w:bookmarkStart w:id="23" w:name="_Toc92192681"/>
      <w:bookmarkStart w:id="24" w:name="_Toc92192727"/>
      <w:bookmarkStart w:id="25" w:name="_Toc92259407"/>
      <w:bookmarkStart w:id="26" w:name="_Toc102888449"/>
      <w:bookmarkStart w:id="27" w:name="_Toc125783421"/>
      <w:bookmarkStart w:id="28" w:name="_Toc125783485"/>
      <w:bookmarkStart w:id="29" w:name="_Toc125783531"/>
      <w:bookmarkStart w:id="30" w:name="_Toc125868525"/>
      <w:r>
        <w:rPr>
          <w:rStyle w:val="CharPartNo"/>
        </w:rPr>
        <w:t>Part 2</w:t>
      </w:r>
      <w:r>
        <w:rPr>
          <w:rStyle w:val="CharDivNo"/>
        </w:rPr>
        <w:t> </w:t>
      </w:r>
      <w:r>
        <w:t>—</w:t>
      </w:r>
      <w:r>
        <w:rPr>
          <w:rStyle w:val="CharDivText"/>
        </w:rPr>
        <w:t> </w:t>
      </w:r>
      <w:r>
        <w:rPr>
          <w:rStyle w:val="CharPartText"/>
        </w:rPr>
        <w:t>Matters preliminary to sentencing</w:t>
      </w:r>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503860089"/>
      <w:bookmarkStart w:id="32" w:name="_Toc125783422"/>
      <w:bookmarkStart w:id="33" w:name="_Toc125868526"/>
      <w:r>
        <w:rPr>
          <w:rStyle w:val="CharSectno"/>
        </w:rPr>
        <w:t>4</w:t>
      </w:r>
      <w:r>
        <w:rPr>
          <w:snapToGrid w:val="0"/>
        </w:rPr>
        <w:t>.</w:t>
      </w:r>
      <w:r>
        <w:rPr>
          <w:snapToGrid w:val="0"/>
        </w:rPr>
        <w:tab/>
        <w:t>Mediation (s. 27</w:t>
      </w:r>
      <w:r>
        <w:rPr>
          <w:snapToGrid w:val="0"/>
        </w:rPr>
        <w:noBreakHyphen/>
        <w:t>30)</w:t>
      </w:r>
      <w:bookmarkEnd w:id="31"/>
      <w:bookmarkEnd w:id="32"/>
      <w:bookmarkEnd w:id="33"/>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34" w:name="_Toc72549703"/>
      <w:bookmarkStart w:id="35" w:name="_Toc79216820"/>
      <w:bookmarkStart w:id="36" w:name="_Toc92192683"/>
      <w:bookmarkStart w:id="37" w:name="_Toc92192729"/>
      <w:bookmarkStart w:id="38" w:name="_Toc92259409"/>
      <w:bookmarkStart w:id="39" w:name="_Toc102888451"/>
      <w:bookmarkStart w:id="40" w:name="_Toc125783423"/>
      <w:bookmarkStart w:id="41" w:name="_Toc125783487"/>
      <w:bookmarkStart w:id="42" w:name="_Toc125783533"/>
      <w:bookmarkStart w:id="43" w:name="_Toc125868527"/>
      <w:r>
        <w:rPr>
          <w:rStyle w:val="CharPartNo"/>
        </w:rPr>
        <w:t>Part 2A</w:t>
      </w:r>
      <w:r>
        <w:rPr>
          <w:b w:val="0"/>
        </w:rPr>
        <w:t> </w:t>
      </w:r>
      <w:r>
        <w:t>—</w:t>
      </w:r>
      <w:r>
        <w:rPr>
          <w:b w:val="0"/>
        </w:rPr>
        <w:t> </w:t>
      </w:r>
      <w:r>
        <w:rPr>
          <w:rStyle w:val="CharPartText"/>
        </w:rPr>
        <w:t>Pre</w:t>
      </w:r>
      <w:r>
        <w:rPr>
          <w:rStyle w:val="CharPartText"/>
        </w:rPr>
        <w:noBreakHyphen/>
        <w:t>sentence order</w:t>
      </w:r>
      <w:bookmarkEnd w:id="34"/>
      <w:bookmarkEnd w:id="35"/>
      <w:bookmarkEnd w:id="36"/>
      <w:bookmarkEnd w:id="37"/>
      <w:bookmarkEnd w:id="38"/>
      <w:bookmarkEnd w:id="39"/>
      <w:bookmarkEnd w:id="40"/>
      <w:bookmarkEnd w:id="41"/>
      <w:bookmarkEnd w:id="42"/>
      <w:bookmarkEnd w:id="43"/>
    </w:p>
    <w:p>
      <w:pPr>
        <w:pStyle w:val="Footnoteheading"/>
        <w:tabs>
          <w:tab w:val="left" w:pos="851"/>
        </w:tabs>
      </w:pPr>
      <w:r>
        <w:tab/>
        <w:t>[Heading inserted in Gazette 29 Aug 2003 p. 3851.]</w:t>
      </w:r>
    </w:p>
    <w:p>
      <w:pPr>
        <w:pStyle w:val="Heading5"/>
      </w:pPr>
      <w:bookmarkStart w:id="44" w:name="_Toc125783424"/>
      <w:bookmarkStart w:id="45" w:name="_Toc125868528"/>
      <w:r>
        <w:rPr>
          <w:rStyle w:val="CharSectno"/>
        </w:rPr>
        <w:t>4A</w:t>
      </w:r>
      <w:r>
        <w:t>.</w:t>
      </w:r>
      <w:r>
        <w:tab/>
        <w:t>Speciality court</w:t>
      </w:r>
      <w:bookmarkEnd w:id="44"/>
      <w:bookmarkEnd w:id="45"/>
    </w:p>
    <w:p>
      <w:pPr>
        <w:pStyle w:val="Subsection"/>
      </w:pPr>
      <w:r>
        <w:tab/>
      </w:r>
      <w:r>
        <w:tab/>
        <w:t xml:space="preserve">For the purposes of the definition of “speciality court” in section 4(1) of the Act — </w:t>
      </w:r>
    </w:p>
    <w:p>
      <w:pPr>
        <w:pStyle w:val="Indenta"/>
      </w:pPr>
      <w:r>
        <w:tab/>
        <w:t>(a)</w:t>
      </w:r>
      <w:r>
        <w:tab/>
        <w:t>the court of petty sessions is prescribed;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w:t>
      </w:r>
    </w:p>
    <w:p>
      <w:pPr>
        <w:pStyle w:val="Heading5"/>
      </w:pPr>
      <w:bookmarkStart w:id="46" w:name="_Toc125783425"/>
      <w:bookmarkStart w:id="47" w:name="_Toc125868529"/>
      <w:r>
        <w:rPr>
          <w:rStyle w:val="CharSectno"/>
        </w:rPr>
        <w:t>4B</w:t>
      </w:r>
      <w:r>
        <w:t>.</w:t>
      </w:r>
      <w:r>
        <w:tab/>
        <w:t>Application to amend or cancel a PSO (s. 33M(2)(a) or (b))</w:t>
      </w:r>
      <w:bookmarkEnd w:id="46"/>
      <w:bookmarkEnd w:id="47"/>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t>“</w:t>
      </w:r>
      <w:r>
        <w:rPr>
          <w:rStyle w:val="CharDefText"/>
        </w:rPr>
        <w:t>prosecutor</w:t>
      </w:r>
      <w:r>
        <w:rPr>
          <w:b/>
        </w:rPr>
        <w:t>”</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48" w:name="_Toc125783426"/>
      <w:bookmarkStart w:id="49" w:name="_Toc125868530"/>
      <w:r>
        <w:rPr>
          <w:rStyle w:val="CharSectno"/>
        </w:rPr>
        <w:t>4C</w:t>
      </w:r>
      <w:r>
        <w:t>.</w:t>
      </w:r>
      <w:r>
        <w:tab/>
        <w:t>Application to amend or cancel a PSO (s. 33M(2)(c))</w:t>
      </w:r>
      <w:bookmarkEnd w:id="48"/>
      <w:bookmarkEnd w:id="49"/>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50" w:name="_Toc125783427"/>
      <w:bookmarkStart w:id="51" w:name="_Toc125868531"/>
      <w:r>
        <w:rPr>
          <w:rStyle w:val="CharSectno"/>
        </w:rPr>
        <w:t>4D</w:t>
      </w:r>
      <w:r>
        <w:t>.</w:t>
      </w:r>
      <w:r>
        <w:tab/>
        <w:t>CEO to be notified when court deals with offender on PSO</w:t>
      </w:r>
      <w:bookmarkEnd w:id="50"/>
      <w:bookmarkEnd w:id="51"/>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52" w:name="_Toc125783428"/>
      <w:bookmarkStart w:id="53" w:name="_Toc125868532"/>
      <w:r>
        <w:rPr>
          <w:rStyle w:val="CharSectno"/>
        </w:rPr>
        <w:t>4E</w:t>
      </w:r>
      <w:r>
        <w:t>.</w:t>
      </w:r>
      <w:r>
        <w:tab/>
        <w:t>Lower court procedure on recalling an order imposing a sentence (s. 33O(5)(b))</w:t>
      </w:r>
      <w:bookmarkEnd w:id="52"/>
      <w:bookmarkEnd w:id="53"/>
    </w:p>
    <w:p>
      <w:pPr>
        <w:pStyle w:val="Subsection"/>
      </w:pPr>
      <w:r>
        <w:tab/>
        <w:t>(1)</w:t>
      </w:r>
      <w:r>
        <w:tab/>
        <w:t>When the Children’s Court or a court of petty sessions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w:t>
      </w:r>
    </w:p>
    <w:p>
      <w:pPr>
        <w:pStyle w:val="Heading5"/>
      </w:pPr>
      <w:bookmarkStart w:id="54" w:name="_Toc125783429"/>
      <w:bookmarkStart w:id="55" w:name="_Toc125868533"/>
      <w:r>
        <w:rPr>
          <w:rStyle w:val="CharSectno"/>
        </w:rPr>
        <w:t>4F</w:t>
      </w:r>
      <w:r>
        <w:t>.</w:t>
      </w:r>
      <w:r>
        <w:tab/>
        <w:t>Superior court procedure on recalling an order imposing a sentence (s. 33O(5)(b))</w:t>
      </w:r>
      <w:bookmarkEnd w:id="54"/>
      <w:bookmarkEnd w:id="55"/>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56" w:name="_Toc72549710"/>
      <w:bookmarkStart w:id="57" w:name="_Toc79216827"/>
      <w:bookmarkStart w:id="58" w:name="_Toc92192690"/>
      <w:bookmarkStart w:id="59" w:name="_Toc92192736"/>
      <w:bookmarkStart w:id="60" w:name="_Toc92259416"/>
      <w:bookmarkStart w:id="61" w:name="_Toc102888458"/>
      <w:bookmarkStart w:id="62" w:name="_Toc125783430"/>
      <w:bookmarkStart w:id="63" w:name="_Toc125783494"/>
      <w:bookmarkStart w:id="64" w:name="_Toc125783540"/>
      <w:bookmarkStart w:id="65" w:name="_Toc125868534"/>
      <w:r>
        <w:rPr>
          <w:rStyle w:val="CharPartNo"/>
        </w:rPr>
        <w:t>Part 3</w:t>
      </w:r>
      <w:r>
        <w:rPr>
          <w:rStyle w:val="CharDivNo"/>
        </w:rPr>
        <w:t> </w:t>
      </w:r>
      <w:r>
        <w:t>—</w:t>
      </w:r>
      <w:r>
        <w:rPr>
          <w:rStyle w:val="CharDivText"/>
        </w:rPr>
        <w:t> </w:t>
      </w:r>
      <w:r>
        <w:rPr>
          <w:rStyle w:val="CharPartText"/>
        </w:rPr>
        <w:t>The sentencing process</w:t>
      </w:r>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503860090"/>
      <w:bookmarkStart w:id="67" w:name="_Toc125783431"/>
      <w:bookmarkStart w:id="68" w:name="_Toc125868535"/>
      <w:r>
        <w:rPr>
          <w:rStyle w:val="CharSectno"/>
        </w:rPr>
        <w:t>5</w:t>
      </w:r>
      <w:r>
        <w:rPr>
          <w:snapToGrid w:val="0"/>
        </w:rPr>
        <w:t>.</w:t>
      </w:r>
      <w:r>
        <w:rPr>
          <w:snapToGrid w:val="0"/>
        </w:rPr>
        <w:tab/>
        <w:t>Correction of sentence (s. 37)</w:t>
      </w:r>
      <w:bookmarkEnd w:id="66"/>
      <w:bookmarkEnd w:id="67"/>
      <w:bookmarkEnd w:id="68"/>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69" w:name="_Toc503860091"/>
      <w:bookmarkStart w:id="70" w:name="_Toc125783432"/>
      <w:bookmarkStart w:id="71" w:name="_Toc125868536"/>
      <w:r>
        <w:rPr>
          <w:rStyle w:val="CharSectno"/>
        </w:rPr>
        <w:t>5A</w:t>
      </w:r>
      <w:r>
        <w:t>.</w:t>
      </w:r>
      <w:r>
        <w:tab/>
        <w:t>Re</w:t>
      </w:r>
      <w:r>
        <w:noBreakHyphen/>
        <w:t>sentencing of offender — courts of summary jurisdiction and Children’s Court (s. 37A)</w:t>
      </w:r>
      <w:bookmarkEnd w:id="69"/>
      <w:bookmarkEnd w:id="70"/>
      <w:bookmarkEnd w:id="71"/>
    </w:p>
    <w:p>
      <w:pPr>
        <w:pStyle w:val="Subsection"/>
      </w:pPr>
      <w:r>
        <w:tab/>
        <w:t>(1)</w:t>
      </w:r>
      <w:r>
        <w:tab/>
        <w:t xml:space="preserve">This regulation applies to an application (a </w:t>
      </w:r>
      <w:r>
        <w:rPr>
          <w:b/>
        </w:rPr>
        <w:t>“</w:t>
      </w:r>
      <w:r>
        <w:rPr>
          <w:rStyle w:val="CharDefText"/>
        </w:rPr>
        <w:t>lower court application</w:t>
      </w:r>
      <w:r>
        <w:rPr>
          <w:b/>
        </w:rPr>
        <w:t>”</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72" w:name="_Toc503860092"/>
      <w:bookmarkStart w:id="73" w:name="_Toc125783433"/>
      <w:bookmarkStart w:id="74" w:name="_Toc125868537"/>
      <w:r>
        <w:rPr>
          <w:rStyle w:val="CharSectno"/>
        </w:rPr>
        <w:t>5B</w:t>
      </w:r>
      <w:r>
        <w:t>.</w:t>
      </w:r>
      <w:r>
        <w:tab/>
        <w:t>Re</w:t>
      </w:r>
      <w:r>
        <w:noBreakHyphen/>
        <w:t>sentencing of offender — superior courts (s. 37A)</w:t>
      </w:r>
      <w:bookmarkEnd w:id="72"/>
      <w:bookmarkEnd w:id="73"/>
      <w:bookmarkEnd w:id="74"/>
    </w:p>
    <w:p>
      <w:pPr>
        <w:pStyle w:val="Subsection"/>
      </w:pPr>
      <w:r>
        <w:tab/>
        <w:t>(1)</w:t>
      </w:r>
      <w:r>
        <w:tab/>
        <w:t xml:space="preserve">This regulation applies to an application (a </w:t>
      </w:r>
      <w:r>
        <w:rPr>
          <w:b/>
        </w:rPr>
        <w:t>“</w:t>
      </w:r>
      <w:r>
        <w:rPr>
          <w:rStyle w:val="CharDefText"/>
        </w:rPr>
        <w:t>superior court application</w:t>
      </w:r>
      <w:r>
        <w:rPr>
          <w:b/>
        </w:rPr>
        <w:t>”</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75" w:name="_Toc503860093"/>
      <w:bookmarkStart w:id="76" w:name="_Toc125783434"/>
      <w:bookmarkStart w:id="77" w:name="_Toc125868538"/>
      <w:r>
        <w:rPr>
          <w:rStyle w:val="CharSectno"/>
        </w:rPr>
        <w:t>6</w:t>
      </w:r>
      <w:r>
        <w:rPr>
          <w:snapToGrid w:val="0"/>
        </w:rPr>
        <w:t>.</w:t>
      </w:r>
      <w:r>
        <w:rPr>
          <w:snapToGrid w:val="0"/>
        </w:rPr>
        <w:tab/>
        <w:t>Imprisonment by justices: magistrate to review (s. 38)</w:t>
      </w:r>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Immediately after a justice or justices in a </w:t>
      </w:r>
      <w:r>
        <w:t>court of summary jurisdiction</w:t>
      </w:r>
      <w:r>
        <w:rPr>
          <w:snapToGrid w:val="0"/>
        </w:rPr>
        <w:t xml:space="preserve"> impose a sentence referred to in section 38(1) of the Act, the clerk of the court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complaint;</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w:t>
      </w:r>
    </w:p>
    <w:p>
      <w:pPr>
        <w:pStyle w:val="Heading2"/>
      </w:pPr>
      <w:bookmarkStart w:id="78" w:name="_Toc72549715"/>
      <w:bookmarkStart w:id="79" w:name="_Toc79216832"/>
      <w:bookmarkStart w:id="80" w:name="_Toc92192695"/>
      <w:bookmarkStart w:id="81" w:name="_Toc92192741"/>
      <w:bookmarkStart w:id="82" w:name="_Toc92259421"/>
      <w:bookmarkStart w:id="83" w:name="_Toc102888463"/>
      <w:bookmarkStart w:id="84" w:name="_Toc125783435"/>
      <w:bookmarkStart w:id="85" w:name="_Toc125783499"/>
      <w:bookmarkStart w:id="86" w:name="_Toc125783545"/>
      <w:bookmarkStart w:id="87" w:name="_Toc125868539"/>
      <w:r>
        <w:rPr>
          <w:rStyle w:val="CharPartNo"/>
        </w:rPr>
        <w:t>Part 3A</w:t>
      </w:r>
      <w:r>
        <w:rPr>
          <w:b w:val="0"/>
        </w:rPr>
        <w:t> </w:t>
      </w:r>
      <w:r>
        <w:t>—</w:t>
      </w:r>
      <w:r>
        <w:rPr>
          <w:b w:val="0"/>
        </w:rPr>
        <w:t> </w:t>
      </w:r>
      <w:r>
        <w:rPr>
          <w:rStyle w:val="CharPartText"/>
        </w:rPr>
        <w:t>Sentencing options</w:t>
      </w:r>
      <w:bookmarkEnd w:id="78"/>
      <w:bookmarkEnd w:id="79"/>
      <w:bookmarkEnd w:id="80"/>
      <w:bookmarkEnd w:id="81"/>
      <w:bookmarkEnd w:id="82"/>
      <w:bookmarkEnd w:id="83"/>
      <w:bookmarkEnd w:id="84"/>
      <w:bookmarkEnd w:id="85"/>
      <w:bookmarkEnd w:id="86"/>
      <w:bookmarkEnd w:id="87"/>
    </w:p>
    <w:p>
      <w:pPr>
        <w:pStyle w:val="Footnoteheading"/>
        <w:ind w:left="890"/>
      </w:pPr>
      <w:r>
        <w:tab/>
        <w:t>[Heading inserted in Gazette 14 May 2004 p. 1448.]</w:t>
      </w:r>
    </w:p>
    <w:p>
      <w:pPr>
        <w:pStyle w:val="Heading5"/>
      </w:pPr>
      <w:bookmarkStart w:id="88" w:name="_Toc125783436"/>
      <w:bookmarkStart w:id="89" w:name="_Toc125868540"/>
      <w:bookmarkStart w:id="90" w:name="_Toc503860094"/>
      <w:r>
        <w:rPr>
          <w:rStyle w:val="CharSectno"/>
        </w:rPr>
        <w:t>6AA</w:t>
      </w:r>
      <w:r>
        <w:t>.</w:t>
      </w:r>
      <w:r>
        <w:tab/>
        <w:t>Offences for which CBO may be imposed (s. 44(a)(ii))</w:t>
      </w:r>
      <w:bookmarkEnd w:id="88"/>
      <w:bookmarkEnd w:id="89"/>
    </w:p>
    <w:p>
      <w:pPr>
        <w:pStyle w:val="Subsection"/>
      </w:pPr>
      <w:r>
        <w:tab/>
      </w:r>
      <w:r>
        <w:tab/>
        <w:t>For the purposes of section 44(a)(ii)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w:t>
      </w:r>
    </w:p>
    <w:p>
      <w:pPr>
        <w:pStyle w:val="Heading5"/>
      </w:pPr>
      <w:bookmarkStart w:id="91" w:name="_Toc125783437"/>
      <w:bookmarkStart w:id="92" w:name="_Toc125868541"/>
      <w:r>
        <w:rPr>
          <w:rStyle w:val="CharSectno"/>
        </w:rPr>
        <w:t>6A</w:t>
      </w:r>
      <w:r>
        <w:t>.</w:t>
      </w:r>
      <w:r>
        <w:tab/>
        <w:t>Application for cancellation of order (s. 57B)</w:t>
      </w:r>
      <w:bookmarkEnd w:id="90"/>
      <w:bookmarkEnd w:id="91"/>
      <w:bookmarkEnd w:id="92"/>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2"/>
      </w:pPr>
      <w:bookmarkStart w:id="93" w:name="_Toc72549718"/>
      <w:bookmarkStart w:id="94" w:name="_Toc79216835"/>
      <w:bookmarkStart w:id="95" w:name="_Toc92192698"/>
      <w:bookmarkStart w:id="96" w:name="_Toc92192744"/>
      <w:bookmarkStart w:id="97" w:name="_Toc92259424"/>
      <w:bookmarkStart w:id="98" w:name="_Toc102888466"/>
      <w:bookmarkStart w:id="99" w:name="_Toc125783438"/>
      <w:bookmarkStart w:id="100" w:name="_Toc125783502"/>
      <w:bookmarkStart w:id="101" w:name="_Toc125783548"/>
      <w:bookmarkStart w:id="102" w:name="_Toc125868542"/>
      <w:r>
        <w:rPr>
          <w:rStyle w:val="CharPartNo"/>
        </w:rPr>
        <w:t>Part 4</w:t>
      </w:r>
      <w:r>
        <w:rPr>
          <w:rStyle w:val="CharDivNo"/>
        </w:rPr>
        <w:t> </w:t>
      </w:r>
      <w:r>
        <w:t>—</w:t>
      </w:r>
      <w:r>
        <w:rPr>
          <w:rStyle w:val="CharDivText"/>
        </w:rPr>
        <w:t> </w:t>
      </w:r>
      <w:r>
        <w:rPr>
          <w:rStyle w:val="CharPartText"/>
        </w:rPr>
        <w:t>Orders forming part of a sentence</w:t>
      </w:r>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503860095"/>
      <w:bookmarkStart w:id="104" w:name="_Toc125783439"/>
      <w:bookmarkStart w:id="105" w:name="_Toc125868543"/>
      <w:r>
        <w:rPr>
          <w:rStyle w:val="CharSectno"/>
        </w:rPr>
        <w:t>7</w:t>
      </w:r>
      <w:r>
        <w:rPr>
          <w:snapToGrid w:val="0"/>
        </w:rPr>
        <w:t>.</w:t>
      </w:r>
      <w:r>
        <w:rPr>
          <w:snapToGrid w:val="0"/>
        </w:rPr>
        <w:tab/>
        <w:t>Application for return of passport (s. 108)</w:t>
      </w:r>
      <w:bookmarkEnd w:id="103"/>
      <w:bookmarkEnd w:id="104"/>
      <w:bookmarkEnd w:id="105"/>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106" w:name="_Toc72549720"/>
      <w:bookmarkStart w:id="107" w:name="_Toc79216837"/>
      <w:bookmarkStart w:id="108" w:name="_Toc92192700"/>
      <w:bookmarkStart w:id="109" w:name="_Toc92192746"/>
      <w:bookmarkStart w:id="110" w:name="_Toc92259426"/>
      <w:bookmarkStart w:id="111" w:name="_Toc102888468"/>
      <w:bookmarkStart w:id="112" w:name="_Toc125783440"/>
      <w:bookmarkStart w:id="113" w:name="_Toc125783504"/>
      <w:bookmarkStart w:id="114" w:name="_Toc125783550"/>
      <w:bookmarkStart w:id="115" w:name="_Toc125868544"/>
      <w:r>
        <w:rPr>
          <w:rStyle w:val="CharPartNo"/>
        </w:rPr>
        <w:t>Part 5</w:t>
      </w:r>
      <w:r>
        <w:rPr>
          <w:rStyle w:val="CharDivNo"/>
        </w:rPr>
        <w:t> </w:t>
      </w:r>
      <w:r>
        <w:t>—</w:t>
      </w:r>
      <w:r>
        <w:rPr>
          <w:rStyle w:val="CharDivText"/>
        </w:rPr>
        <w:t> </w:t>
      </w:r>
      <w:r>
        <w:rPr>
          <w:rStyle w:val="CharPartText"/>
        </w:rPr>
        <w:t>Reparation orders</w:t>
      </w:r>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503860096"/>
      <w:bookmarkStart w:id="117" w:name="_Toc125783441"/>
      <w:bookmarkStart w:id="118" w:name="_Toc125868545"/>
      <w:r>
        <w:rPr>
          <w:rStyle w:val="CharSectno"/>
        </w:rPr>
        <w:t>8</w:t>
      </w:r>
      <w:r>
        <w:rPr>
          <w:snapToGrid w:val="0"/>
        </w:rPr>
        <w:t>.</w:t>
      </w:r>
      <w:r>
        <w:rPr>
          <w:snapToGrid w:val="0"/>
        </w:rPr>
        <w:tab/>
        <w:t>Application for a reparation order (s. 111)</w:t>
      </w:r>
      <w:bookmarkEnd w:id="116"/>
      <w:bookmarkEnd w:id="117"/>
      <w:bookmarkEnd w:id="118"/>
      <w:r>
        <w:rPr>
          <w:snapToGrid w:val="0"/>
        </w:rPr>
        <w:t xml:space="preserve"> </w:t>
      </w:r>
    </w:p>
    <w:p>
      <w:pPr>
        <w:pStyle w:val="Subsection"/>
        <w:spacing w:before="140"/>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spacing w:before="140"/>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spacing w:before="140"/>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spacing w:before="140"/>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119" w:name="_Toc503860097"/>
      <w:bookmarkStart w:id="120" w:name="_Toc125783442"/>
      <w:bookmarkStart w:id="121" w:name="_Toc125868546"/>
      <w:r>
        <w:rPr>
          <w:rStyle w:val="CharSectno"/>
        </w:rPr>
        <w:t>8A</w:t>
      </w:r>
      <w:r>
        <w:t>.</w:t>
      </w:r>
      <w:r>
        <w:tab/>
        <w:t>Form of restitution order</w:t>
      </w:r>
      <w:bookmarkEnd w:id="119"/>
      <w:bookmarkEnd w:id="120"/>
      <w:bookmarkEnd w:id="121"/>
    </w:p>
    <w:p>
      <w:pPr>
        <w:pStyle w:val="Subsection"/>
        <w:spacing w:before="140"/>
      </w:pPr>
      <w:r>
        <w:tab/>
      </w:r>
      <w:r>
        <w:tab/>
        <w:t>A restitution order is to be made in the approved form.</w:t>
      </w:r>
    </w:p>
    <w:p>
      <w:pPr>
        <w:pStyle w:val="Footnotesection"/>
      </w:pPr>
      <w:r>
        <w:tab/>
        <w:t xml:space="preserve">[Regulation 8A inserted in Gazette 29 Dec 2000 p. 7920.] </w:t>
      </w:r>
    </w:p>
    <w:p>
      <w:pPr>
        <w:pStyle w:val="Heading5"/>
      </w:pPr>
      <w:bookmarkStart w:id="122" w:name="_Toc503860098"/>
      <w:bookmarkStart w:id="123" w:name="_Toc125783443"/>
      <w:bookmarkStart w:id="124" w:name="_Toc125868547"/>
      <w:r>
        <w:rPr>
          <w:rStyle w:val="CharSectno"/>
        </w:rPr>
        <w:t>8B</w:t>
      </w:r>
      <w:r>
        <w:t>.</w:t>
      </w:r>
      <w:r>
        <w:tab/>
        <w:t>Recovery of enforcement costs</w:t>
      </w:r>
      <w:bookmarkEnd w:id="122"/>
      <w:bookmarkEnd w:id="123"/>
      <w:bookmarkEnd w:id="124"/>
    </w:p>
    <w:p>
      <w:pPr>
        <w:pStyle w:val="Subsection"/>
      </w:pPr>
      <w:r>
        <w:tab/>
        <w:t>(1)</w:t>
      </w:r>
      <w:r>
        <w:tab/>
        <w:t>In this regulation —</w:t>
      </w:r>
    </w:p>
    <w:p>
      <w:pPr>
        <w:pStyle w:val="Defstart"/>
      </w:pPr>
      <w:r>
        <w:tab/>
      </w:r>
      <w:r>
        <w:rPr>
          <w:b/>
        </w:rPr>
        <w:t>“</w:t>
      </w:r>
      <w:r>
        <w:rPr>
          <w:rStyle w:val="CharDefText"/>
        </w:rPr>
        <w:t>non</w:t>
      </w:r>
      <w:r>
        <w:rPr>
          <w:rStyle w:val="CharDefText"/>
        </w:rPr>
        <w:noBreakHyphen/>
        <w:t>complying person</w:t>
      </w:r>
      <w:r>
        <w:rPr>
          <w:b/>
        </w:rPr>
        <w:t>”</w:t>
      </w:r>
      <w:r>
        <w:t xml:space="preserve"> means a person who has failed to comply with a restitution order;</w:t>
      </w:r>
    </w:p>
    <w:p>
      <w:pPr>
        <w:pStyle w:val="Defstart"/>
      </w:pPr>
      <w:r>
        <w:tab/>
      </w:r>
      <w:r>
        <w:rPr>
          <w:b/>
        </w:rPr>
        <w:t>“</w:t>
      </w:r>
      <w:r>
        <w:rPr>
          <w:rStyle w:val="CharDefText"/>
        </w:rPr>
        <w:t>Sheriff’s costs</w:t>
      </w:r>
      <w:bookmarkStart w:id="125" w:name="endcomma"/>
      <w:bookmarkEnd w:id="125"/>
      <w:r>
        <w:rPr>
          <w:b/>
        </w:rPr>
        <w:t>”</w:t>
      </w:r>
      <w:r>
        <w:t xml:space="preserve"> </w:t>
      </w:r>
      <w:bookmarkStart w:id="126" w:name="comma"/>
      <w:bookmarkEnd w:id="126"/>
      <w:r>
        <w:t>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127" w:name="_Toc503860099"/>
      <w:bookmarkStart w:id="128" w:name="_Toc125783444"/>
      <w:bookmarkStart w:id="129" w:name="_Toc125868548"/>
      <w:r>
        <w:rPr>
          <w:rStyle w:val="CharSectno"/>
        </w:rPr>
        <w:t>9</w:t>
      </w:r>
      <w:r>
        <w:rPr>
          <w:snapToGrid w:val="0"/>
        </w:rPr>
        <w:t>.</w:t>
      </w:r>
      <w:r>
        <w:rPr>
          <w:snapToGrid w:val="0"/>
        </w:rPr>
        <w:tab/>
        <w:t>Enforcing a restitution order (s. 121)</w:t>
      </w:r>
      <w:bookmarkEnd w:id="127"/>
      <w:bookmarkEnd w:id="128"/>
      <w:bookmarkEnd w:id="129"/>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130" w:name="_Toc72549725"/>
      <w:bookmarkStart w:id="131" w:name="_Toc79216842"/>
      <w:bookmarkStart w:id="132" w:name="_Toc92192705"/>
      <w:bookmarkStart w:id="133" w:name="_Toc92192751"/>
      <w:bookmarkStart w:id="134" w:name="_Toc92259431"/>
      <w:bookmarkStart w:id="135" w:name="_Toc102888473"/>
      <w:bookmarkStart w:id="136" w:name="_Toc125783445"/>
      <w:bookmarkStart w:id="137" w:name="_Toc125783509"/>
      <w:bookmarkStart w:id="138" w:name="_Toc125783555"/>
      <w:bookmarkStart w:id="139" w:name="_Toc125868549"/>
      <w:r>
        <w:rPr>
          <w:rStyle w:val="CharPartNo"/>
        </w:rPr>
        <w:t>Part 6</w:t>
      </w:r>
      <w:r>
        <w:rPr>
          <w:rStyle w:val="CharDivNo"/>
        </w:rPr>
        <w:t> </w:t>
      </w:r>
      <w:r>
        <w:t>—</w:t>
      </w:r>
      <w:r>
        <w:rPr>
          <w:rStyle w:val="CharDivText"/>
        </w:rPr>
        <w:t> </w:t>
      </w:r>
      <w:r>
        <w:rPr>
          <w:rStyle w:val="CharPartText"/>
        </w:rPr>
        <w:t>Amending and enforcing conditional release orders and community orders</w:t>
      </w:r>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503860100"/>
      <w:bookmarkStart w:id="141" w:name="_Toc125783446"/>
      <w:bookmarkStart w:id="142" w:name="_Toc125868550"/>
      <w:r>
        <w:rPr>
          <w:rStyle w:val="CharSectno"/>
        </w:rPr>
        <w:t>10</w:t>
      </w:r>
      <w:r>
        <w:rPr>
          <w:snapToGrid w:val="0"/>
        </w:rPr>
        <w:t>.</w:t>
      </w:r>
      <w:r>
        <w:rPr>
          <w:snapToGrid w:val="0"/>
        </w:rPr>
        <w:tab/>
        <w:t>Application to amend or cancel (s. 126)</w:t>
      </w:r>
      <w:bookmarkEnd w:id="140"/>
      <w:bookmarkEnd w:id="141"/>
      <w:bookmarkEnd w:id="142"/>
      <w:r>
        <w:rPr>
          <w:snapToGrid w:val="0"/>
        </w:rPr>
        <w:t xml:space="preserve"> </w:t>
      </w:r>
    </w:p>
    <w:p>
      <w:pPr>
        <w:pStyle w:val="Subsection"/>
        <w:rPr>
          <w:snapToGrid w:val="0"/>
        </w:rPr>
      </w:pPr>
      <w:r>
        <w:rPr>
          <w:snapToGrid w:val="0"/>
        </w:rPr>
        <w:tab/>
        <w:t>(1)</w:t>
      </w:r>
      <w:r>
        <w:rPr>
          <w:snapToGrid w:val="0"/>
        </w:rPr>
        <w:tab/>
        <w:t>An application under section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 under section 126 of the Act.</w:t>
      </w:r>
    </w:p>
    <w:p>
      <w:pPr>
        <w:pStyle w:val="Subsection"/>
        <w:keepNext/>
        <w:rPr>
          <w:snapToGrid w:val="0"/>
        </w:rPr>
      </w:pPr>
      <w:r>
        <w:rPr>
          <w:snapToGrid w:val="0"/>
        </w:rPr>
        <w:tab/>
        <w:t>(8)</w:t>
      </w:r>
      <w:r>
        <w:rPr>
          <w:snapToGrid w:val="0"/>
        </w:rPr>
        <w:tab/>
        <w:t>In this regulation — </w:t>
      </w:r>
    </w:p>
    <w:p>
      <w:pPr>
        <w:pStyle w:val="Defstart"/>
      </w:pPr>
      <w:r>
        <w:rPr>
          <w:b/>
        </w:rPr>
        <w:tab/>
        <w:t>“</w:t>
      </w:r>
      <w:r>
        <w:rPr>
          <w:rStyle w:val="CharDefText"/>
        </w:rPr>
        <w:t>prosecutor</w:t>
      </w:r>
      <w:r>
        <w:rPr>
          <w:b/>
        </w:rPr>
        <w:t>”</w:t>
      </w:r>
      <w:r>
        <w:t xml:space="preserve"> means the DPP or a police prosecutor, as the case requires.</w:t>
      </w:r>
    </w:p>
    <w:p>
      <w:pPr>
        <w:pStyle w:val="Heading5"/>
        <w:rPr>
          <w:snapToGrid w:val="0"/>
        </w:rPr>
      </w:pPr>
      <w:bookmarkStart w:id="143" w:name="_Toc503860101"/>
      <w:bookmarkStart w:id="144" w:name="_Toc125783447"/>
      <w:bookmarkStart w:id="145" w:name="_Toc125868551"/>
      <w:r>
        <w:rPr>
          <w:rStyle w:val="CharSectno"/>
        </w:rPr>
        <w:t>11</w:t>
      </w:r>
      <w:r>
        <w:rPr>
          <w:snapToGrid w:val="0"/>
        </w:rPr>
        <w:t>.</w:t>
      </w:r>
      <w:r>
        <w:rPr>
          <w:snapToGrid w:val="0"/>
        </w:rPr>
        <w:tab/>
        <w:t>CEO to be notified when court deals with offender on community order</w:t>
      </w:r>
      <w:bookmarkEnd w:id="143"/>
      <w:bookmarkEnd w:id="144"/>
      <w:bookmarkEnd w:id="145"/>
      <w:r>
        <w:rPr>
          <w:snapToGrid w:val="0"/>
        </w:rPr>
        <w:t xml:space="preserve"> </w:t>
      </w:r>
    </w:p>
    <w:p>
      <w:pPr>
        <w:pStyle w:val="Subsection"/>
        <w:rPr>
          <w:snapToGrid w:val="0"/>
        </w:rPr>
      </w:pPr>
      <w:r>
        <w:rPr>
          <w:snapToGrid w:val="0"/>
        </w:rPr>
        <w:tab/>
      </w:r>
      <w:r>
        <w:rPr>
          <w:snapToGrid w:val="0"/>
        </w:rPr>
        <w:tab/>
        <w:t>If under section 127, 130, 132 or 133 of the Act a court deals with an offender in relation to a community order, a court officer is to notify the CEO of any orders made by the court.</w:t>
      </w:r>
    </w:p>
    <w:p>
      <w:pPr>
        <w:pStyle w:val="Heading2"/>
      </w:pPr>
      <w:bookmarkStart w:id="146" w:name="_Toc72549728"/>
      <w:bookmarkStart w:id="147" w:name="_Toc79216845"/>
      <w:bookmarkStart w:id="148" w:name="_Toc92192708"/>
      <w:bookmarkStart w:id="149" w:name="_Toc92192754"/>
      <w:bookmarkStart w:id="150" w:name="_Toc92259434"/>
      <w:bookmarkStart w:id="151" w:name="_Toc102888476"/>
      <w:bookmarkStart w:id="152" w:name="_Toc125783448"/>
      <w:bookmarkStart w:id="153" w:name="_Toc125783512"/>
      <w:bookmarkStart w:id="154" w:name="_Toc125783558"/>
      <w:bookmarkStart w:id="155" w:name="_Toc125868552"/>
      <w:r>
        <w:rPr>
          <w:rStyle w:val="CharPartNo"/>
        </w:rPr>
        <w:t>Part 7</w:t>
      </w:r>
      <w:r>
        <w:rPr>
          <w:rStyle w:val="CharDivNo"/>
        </w:rPr>
        <w:t> </w:t>
      </w:r>
      <w:r>
        <w:t>—</w:t>
      </w:r>
      <w:r>
        <w:rPr>
          <w:rStyle w:val="CharDivText"/>
        </w:rPr>
        <w:t> </w:t>
      </w:r>
      <w:r>
        <w:rPr>
          <w:rStyle w:val="CharPartText"/>
        </w:rPr>
        <w:t>Miscellaneous</w:t>
      </w:r>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503860102"/>
      <w:bookmarkStart w:id="157" w:name="_Toc125783449"/>
      <w:bookmarkStart w:id="158" w:name="_Toc125868553"/>
      <w:r>
        <w:rPr>
          <w:rStyle w:val="CharSectno"/>
        </w:rPr>
        <w:t>12</w:t>
      </w:r>
      <w:r>
        <w:rPr>
          <w:snapToGrid w:val="0"/>
        </w:rPr>
        <w:t>.</w:t>
      </w:r>
      <w:r>
        <w:rPr>
          <w:snapToGrid w:val="0"/>
        </w:rPr>
        <w:tab/>
        <w:t>Service</w:t>
      </w:r>
      <w:bookmarkEnd w:id="156"/>
      <w:bookmarkEnd w:id="157"/>
      <w:bookmarkEnd w:id="158"/>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159" w:name="_Toc503860103"/>
      <w:bookmarkStart w:id="160" w:name="_Toc125783450"/>
      <w:bookmarkStart w:id="161" w:name="_Toc125868554"/>
      <w:r>
        <w:rPr>
          <w:rStyle w:val="CharSectno"/>
        </w:rPr>
        <w:t>13</w:t>
      </w:r>
      <w:r>
        <w:rPr>
          <w:snapToGrid w:val="0"/>
        </w:rPr>
        <w:t>.</w:t>
      </w:r>
      <w:r>
        <w:rPr>
          <w:snapToGrid w:val="0"/>
        </w:rPr>
        <w:tab/>
        <w:t>Forms</w:t>
      </w:r>
      <w:bookmarkEnd w:id="159"/>
      <w:bookmarkEnd w:id="160"/>
      <w:bookmarkEnd w:id="161"/>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The prescribed form for an arrest warrant for the purposes of sections 14, 33J, 33P, 50, 79, 84E and 129 of the Act is Form 1 in the Criminal Procedure Regulations 2005 Schedule 1.</w:t>
      </w:r>
    </w:p>
    <w:p>
      <w:pPr>
        <w:pStyle w:val="Subsection"/>
        <w:rPr>
          <w:snapToGrid w:val="0"/>
        </w:rPr>
      </w:pPr>
      <w:r>
        <w:rPr>
          <w:snapToGrid w:val="0"/>
        </w:rPr>
        <w:tab/>
        <w:t>(3)</w:t>
      </w:r>
      <w:r>
        <w:rPr>
          <w:snapToGrid w:val="0"/>
        </w:rPr>
        <w:tab/>
        <w:t>The prescribed form for a remand warrant for the purposes of section 17 of the Act is Form 2 in the Criminal Procedure Regulations 2005 Schedule 1.</w:t>
      </w:r>
    </w:p>
    <w:p>
      <w:pPr>
        <w:pStyle w:val="Subsection"/>
        <w:rPr>
          <w:snapToGrid w:val="0"/>
        </w:rPr>
      </w:pPr>
      <w:r>
        <w:rPr>
          <w:snapToGrid w:val="0"/>
        </w:rPr>
        <w:tab/>
        <w:t>(4)</w:t>
      </w:r>
      <w:r>
        <w:rPr>
          <w:snapToGrid w:val="0"/>
        </w:rPr>
        <w:tab/>
        <w:t>The prescribed form for a warrant to commit a person to another court for the purposes of sections 78, 128 and 132 of the Act is Form 2 in the Criminal Procedure Regulations 2005 Schedule 1.</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Pr>
          <w:p>
            <w:pPr>
              <w:pStyle w:val="Table"/>
              <w:ind w:left="71"/>
            </w:pPr>
            <w:r>
              <w:t>79, 129</w:t>
            </w:r>
          </w:p>
        </w:tc>
        <w:tc>
          <w:tcPr>
            <w:tcW w:w="3827" w:type="dxa"/>
          </w:tcPr>
          <w:p>
            <w:pPr>
              <w:pStyle w:val="Table"/>
            </w:pPr>
            <w:r>
              <w:t xml:space="preserve">Notice alleging commission of offence while subject to sentence </w:t>
            </w:r>
          </w:p>
        </w:tc>
        <w:tc>
          <w:tcPr>
            <w:tcW w:w="1276" w:type="dxa"/>
          </w:tcPr>
          <w:p>
            <w:pPr>
              <w:pStyle w:val="Table"/>
            </w:pPr>
            <w:r>
              <w:br/>
              <w:t>5</w:t>
            </w:r>
          </w:p>
        </w:tc>
      </w:tr>
    </w:tbl>
    <w:p>
      <w:pPr>
        <w:pStyle w:val="Footnotesection"/>
      </w:pPr>
      <w:r>
        <w:tab/>
        <w:t>[Regulation 13 amended in Gazette 29 Dec 2000 p. 7920; 29 Aug 2003 p. 3853; 28 Apr 2005 p. 1764; 24 Jan 2006 p. 430.]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2" w:name="_Toc125783451"/>
      <w:bookmarkStart w:id="163" w:name="_Toc125783515"/>
      <w:bookmarkStart w:id="164" w:name="_Toc125783561"/>
      <w:bookmarkStart w:id="165" w:name="_Toc125868555"/>
      <w:r>
        <w:rPr>
          <w:rStyle w:val="CharSchNo"/>
        </w:rPr>
        <w:t>Schedule 1</w:t>
      </w:r>
      <w:r>
        <w:t> — </w:t>
      </w:r>
      <w:r>
        <w:rPr>
          <w:rStyle w:val="CharSchText"/>
        </w:rPr>
        <w:t>Forms</w:t>
      </w:r>
      <w:bookmarkEnd w:id="162"/>
      <w:bookmarkEnd w:id="163"/>
      <w:bookmarkEnd w:id="164"/>
      <w:bookmarkEnd w:id="165"/>
      <w:r>
        <w:t xml:space="preserve"> </w:t>
      </w:r>
    </w:p>
    <w:p>
      <w:pPr>
        <w:pStyle w:val="yShoulderClause"/>
        <w:rPr>
          <w:snapToGrid w:val="0"/>
        </w:rPr>
      </w:pPr>
      <w:r>
        <w:rPr>
          <w:snapToGrid w:val="0"/>
        </w:rPr>
        <w:t>[reg 13]</w:t>
      </w:r>
    </w:p>
    <w:p>
      <w:pPr>
        <w:pStyle w:val="yHeading5"/>
      </w:pPr>
      <w:bookmarkStart w:id="166" w:name="_Toc125783452"/>
      <w:bookmarkStart w:id="167" w:name="_Toc125868556"/>
      <w:r>
        <w:t>1.</w:t>
      </w:r>
      <w:r>
        <w:tab/>
        <w:t>Warrant of commitment</w:t>
      </w:r>
      <w:bookmarkEnd w:id="166"/>
      <w:bookmarkEnd w:id="16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4"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Total term</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 xml:space="preserve"> Parole eligibility order under  section 89 of the</w:t>
            </w:r>
            <w:r>
              <w:rPr>
                <w:sz w:val="18"/>
              </w:rPr>
              <w:t xml:space="preserve"> </w:t>
            </w:r>
            <w:r>
              <w:rPr>
                <w:b/>
                <w:i/>
                <w:sz w:val="18"/>
              </w:rPr>
              <w:t>Sentencing Act 1995</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tcBorders>
          </w:tcPr>
          <w:p>
            <w:pPr>
              <w:pStyle w:val="yTable"/>
              <w:rPr>
                <w:sz w:val="18"/>
              </w:rPr>
            </w:pPr>
            <w:r>
              <w:rPr>
                <w:b/>
                <w:sz w:val="18"/>
              </w:rPr>
              <w:t>Other orders</w:t>
            </w:r>
          </w:p>
        </w:tc>
        <w:tc>
          <w:tcPr>
            <w:tcW w:w="5812" w:type="dxa"/>
            <w:tcBorders>
              <w:top w:val="single" w:sz="7" w:space="0" w:color="auto"/>
              <w:left w:val="single" w:sz="7" w:space="0" w:color="auto"/>
              <w:right w:val="single" w:sz="7" w:space="0" w:color="auto"/>
            </w:tcBorders>
          </w:tcPr>
          <w:p>
            <w:pPr>
              <w:pStyle w:val="yTable"/>
              <w:tabs>
                <w:tab w:val="left" w:pos="2921"/>
              </w:tabs>
              <w:rPr>
                <w:sz w:val="18"/>
              </w:rPr>
            </w:pPr>
            <w:r>
              <w:rPr>
                <w:sz w:val="18"/>
              </w:rPr>
              <w:t>If life term imposed, minimum period:</w:t>
            </w:r>
          </w:p>
        </w:tc>
      </w:tr>
      <w:tr>
        <w:tc>
          <w:tcPr>
            <w:tcW w:w="1276" w:type="dxa"/>
            <w:tcBorders>
              <w:left w:val="single" w:sz="2" w:space="0" w:color="auto"/>
              <w:bottom w:val="single" w:sz="2" w:space="0" w:color="auto"/>
              <w:right w:val="single" w:sz="2" w:space="0" w:color="auto"/>
            </w:tcBorders>
          </w:tcPr>
          <w:p>
            <w:pPr>
              <w:pStyle w:val="yTable"/>
              <w:rPr>
                <w:sz w:val="18"/>
              </w:rPr>
            </w:pPr>
          </w:p>
        </w:tc>
        <w:tc>
          <w:tcPr>
            <w:tcW w:w="5812" w:type="dxa"/>
            <w:tcBorders>
              <w:top w:val="single" w:sz="7" w:space="0" w:color="auto"/>
              <w:left w:val="single" w:sz="2" w:space="0" w:color="auto"/>
              <w:bottom w:val="single" w:sz="2" w:space="0" w:color="auto"/>
              <w:right w:val="single" w:sz="2" w:space="0" w:color="auto"/>
            </w:tcBorders>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Sentence</w:t>
            </w:r>
            <w:r>
              <w:rPr>
                <w:b/>
                <w:sz w:val="18"/>
              </w:rPr>
              <w:br/>
              <w:t>imposed by</w:t>
            </w:r>
          </w:p>
          <w:p>
            <w:pPr>
              <w:pStyle w:val="yTable"/>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rPr>
                <w:sz w:val="18"/>
              </w:rPr>
            </w:pPr>
            <w:r>
              <w:rPr>
                <w:sz w:val="18"/>
              </w:rPr>
              <w:t>Name of Judicial Officer:</w:t>
            </w:r>
            <w:r>
              <w:rPr>
                <w:sz w:val="18"/>
              </w:rPr>
              <w:br/>
            </w:r>
          </w:p>
          <w:p>
            <w:pPr>
              <w:pStyle w:val="yTable"/>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yFootnotesection"/>
      </w:pPr>
      <w:r>
        <w:t>[Form 1 amended in Gazette 29 Aug 2003 p. 3853; 31 Dec 2004 p. 7151.]</w:t>
      </w:r>
    </w:p>
    <w:p>
      <w:pPr>
        <w:pStyle w:val="yFootnotesection"/>
      </w:pPr>
      <w:r>
        <w:t>[Form 1A deleted in Gazette 28 Apr 2005 p. 1765.]</w:t>
      </w:r>
    </w:p>
    <w:p>
      <w:pPr>
        <w:pStyle w:val="yHeading5"/>
      </w:pPr>
      <w:bookmarkStart w:id="168" w:name="_Toc125783453"/>
      <w:bookmarkStart w:id="169" w:name="_Toc125868557"/>
      <w:r>
        <w:t>2.</w:t>
      </w:r>
      <w:r>
        <w:tab/>
        <w:t>Warrant of commitment until fine is paid</w:t>
      </w:r>
      <w:bookmarkEnd w:id="168"/>
      <w:bookmarkEnd w:id="16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4"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Amount outstanding</w:t>
            </w:r>
          </w:p>
        </w:tc>
        <w:tc>
          <w:tcPr>
            <w:tcW w:w="4111" w:type="dxa"/>
            <w:tcBorders>
              <w:top w:val="single" w:sz="7" w:space="0" w:color="auto"/>
              <w:left w:val="single" w:sz="7" w:space="0" w:color="auto"/>
            </w:tcBorders>
          </w:tcPr>
          <w:p>
            <w:pPr>
              <w:pStyle w:val="yTable"/>
              <w:rPr>
                <w:sz w:val="18"/>
              </w:rPr>
            </w:pPr>
            <w:r>
              <w:rPr>
                <w:sz w:val="18"/>
              </w:rPr>
              <w:t>Total amount to be paid (fines + costs)</w:t>
            </w:r>
          </w:p>
        </w:tc>
        <w:tc>
          <w:tcPr>
            <w:tcW w:w="1701" w:type="dxa"/>
            <w:tcBorders>
              <w:top w:val="single" w:sz="7" w:space="0" w:color="auto"/>
              <w:left w:val="single" w:sz="7" w:space="0" w:color="auto"/>
              <w:right w:val="single" w:sz="7" w:space="0" w:color="auto"/>
            </w:tcBorders>
          </w:tcPr>
          <w:p>
            <w:pPr>
              <w:pStyle w:val="yTable"/>
              <w:rPr>
                <w:sz w:val="18"/>
              </w:rPr>
            </w:pPr>
            <w:r>
              <w:rPr>
                <w:sz w:val="18"/>
              </w:rPr>
              <w:t xml:space="preserve"> $</w:t>
            </w:r>
          </w:p>
        </w:tc>
      </w:tr>
      <w:tr>
        <w:trPr>
          <w:cantSplit/>
        </w:trPr>
        <w:tc>
          <w:tcPr>
            <w:tcW w:w="1276" w:type="dxa"/>
            <w:vMerge/>
            <w:tcBorders>
              <w:left w:val="single" w:sz="7" w:space="0" w:color="auto"/>
            </w:tcBorders>
          </w:tcPr>
          <w:p>
            <w:pPr>
              <w:pStyle w:val="yTable"/>
              <w:rPr>
                <w:sz w:val="18"/>
              </w:rPr>
            </w:pPr>
          </w:p>
        </w:tc>
        <w:tc>
          <w:tcPr>
            <w:tcW w:w="4111" w:type="dxa"/>
            <w:tcBorders>
              <w:top w:val="single" w:sz="7" w:space="0" w:color="auto"/>
              <w:left w:val="single" w:sz="7" w:space="0" w:color="auto"/>
            </w:tcBorders>
          </w:tcPr>
          <w:p>
            <w:pPr>
              <w:pStyle w:val="yTable"/>
              <w:rPr>
                <w:sz w:val="18"/>
              </w:rPr>
            </w:pPr>
            <w:r>
              <w:rPr>
                <w:sz w:val="18"/>
              </w:rPr>
              <w:t>Less any amount paid</w:t>
            </w:r>
          </w:p>
        </w:tc>
        <w:tc>
          <w:tcPr>
            <w:tcW w:w="1701" w:type="dxa"/>
            <w:tcBorders>
              <w:top w:val="single" w:sz="7" w:space="0" w:color="auto"/>
              <w:left w:val="single" w:sz="7" w:space="0" w:color="auto"/>
              <w:right w:val="single" w:sz="7" w:space="0" w:color="auto"/>
            </w:tcBorders>
          </w:tcPr>
          <w:p>
            <w:pPr>
              <w:pStyle w:val="yTable"/>
              <w:rPr>
                <w:sz w:val="18"/>
              </w:rPr>
            </w:pPr>
            <w:r>
              <w:rPr>
                <w:sz w:val="18"/>
              </w:rPr>
              <w:noBreakHyphen/>
              <w:t xml:space="preserve"> $</w:t>
            </w:r>
          </w:p>
        </w:tc>
      </w:tr>
      <w:tr>
        <w:trPr>
          <w:cantSplit/>
        </w:trPr>
        <w:tc>
          <w:tcPr>
            <w:tcW w:w="1276" w:type="dxa"/>
            <w:vMerge/>
            <w:tcBorders>
              <w:left w:val="single" w:sz="7" w:space="0" w:color="auto"/>
            </w:tcBorders>
          </w:tcPr>
          <w:p>
            <w:pPr>
              <w:pStyle w:val="yTable"/>
              <w:rPr>
                <w:sz w:val="18"/>
              </w:rPr>
            </w:pPr>
          </w:p>
        </w:tc>
        <w:tc>
          <w:tcPr>
            <w:tcW w:w="4111" w:type="dxa"/>
            <w:tcBorders>
              <w:top w:val="single" w:sz="7" w:space="0" w:color="auto"/>
              <w:left w:val="single" w:sz="7" w:space="0" w:color="auto"/>
            </w:tcBorders>
          </w:tcPr>
          <w:p>
            <w:pPr>
              <w:pStyle w:val="yTable"/>
              <w:rPr>
                <w:sz w:val="18"/>
              </w:rPr>
            </w:pPr>
            <w:r>
              <w:rPr>
                <w:sz w:val="18"/>
              </w:rPr>
              <w:t>Amount outstanding</w:t>
            </w:r>
          </w:p>
        </w:tc>
        <w:tc>
          <w:tcPr>
            <w:tcW w:w="1701" w:type="dxa"/>
            <w:tcBorders>
              <w:top w:val="single" w:sz="7" w:space="0" w:color="auto"/>
              <w:left w:val="single" w:sz="7" w:space="0" w:color="auto"/>
              <w:right w:val="single" w:sz="7" w:space="0" w:color="auto"/>
            </w:tcBorders>
          </w:tcPr>
          <w:p>
            <w:pPr>
              <w:pStyle w:val="yTable"/>
              <w:rPr>
                <w:sz w:val="18"/>
              </w:rPr>
            </w:pPr>
            <w:r>
              <w:rPr>
                <w:sz w:val="18"/>
              </w:rPr>
              <w:t>=$</w:t>
            </w:r>
          </w:p>
        </w:tc>
      </w:tr>
      <w:tr>
        <w:trPr>
          <w:cantSplit/>
        </w:trPr>
        <w:tc>
          <w:tcPr>
            <w:tcW w:w="1276" w:type="dxa"/>
            <w:vMerge/>
            <w:tcBorders>
              <w:left w:val="single" w:sz="7" w:space="0" w:color="auto"/>
              <w:bottom w:val="single" w:sz="7" w:space="0" w:color="auto"/>
            </w:tcBorders>
          </w:tcPr>
          <w:p>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yTable"/>
        <w:rPr>
          <w:sz w:val="18"/>
        </w:rPr>
      </w:pPr>
      <w:r>
        <w:rPr>
          <w:b/>
          <w:sz w:val="18"/>
        </w:rPr>
        <w:t>Note: The offender must either pay the amount outstanding in full or serve the maximum period of imprisonment in full. Reductions of the maximum period due to part payment are not permitted.</w:t>
      </w:r>
    </w:p>
    <w:p>
      <w:pPr>
        <w:pStyle w:val="yHeading5"/>
        <w:outlineLvl w:val="9"/>
        <w:rPr>
          <w:snapToGrid w:val="0"/>
        </w:rPr>
      </w:pPr>
      <w:r>
        <w:rPr>
          <w:rFonts w:ascii="Helvetica" w:hAnsi="Helvetica"/>
          <w:spacing w:val="-2"/>
          <w:sz w:val="20"/>
        </w:rPr>
        <w:br w:type="page"/>
      </w:r>
      <w:bookmarkStart w:id="170" w:name="_Toc125783454"/>
      <w:bookmarkStart w:id="171" w:name="_Toc125868558"/>
      <w:r>
        <w:rPr>
          <w:snapToGrid w:val="0"/>
        </w:rPr>
        <w:t>3.</w:t>
      </w:r>
      <w:r>
        <w:rPr>
          <w:snapToGrid w:val="0"/>
        </w:rPr>
        <w:tab/>
        <w:t>Warrant of commitment for not paying a fine</w:t>
      </w:r>
      <w:bookmarkEnd w:id="170"/>
      <w:bookmarkEnd w:id="17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nil"/>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top w:val="nil"/>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top w:val="nil"/>
              <w:bottom w:val="nil"/>
            </w:tcBorders>
          </w:tcPr>
          <w:p>
            <w:pPr>
              <w:pStyle w:val="yTable"/>
              <w:rPr>
                <w:b/>
                <w:spacing w:val="-3"/>
                <w:sz w:val="18"/>
              </w:rPr>
            </w:pPr>
          </w:p>
        </w:tc>
        <w:tc>
          <w:tcPr>
            <w:tcW w:w="2552" w:type="dxa"/>
            <w:tcBorders>
              <w:bottom w:val="single" w:sz="4" w:space="0" w:color="auto"/>
            </w:tcBorders>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7" w:space="0" w:color="auto"/>
              <w:left w:val="single" w:sz="7" w:space="0" w:color="auto"/>
            </w:tcBorders>
          </w:tcPr>
          <w:p>
            <w:pPr>
              <w:pStyle w:val="yTable"/>
              <w:rPr>
                <w:sz w:val="18"/>
              </w:rPr>
            </w:pPr>
            <w:r>
              <w:rPr>
                <w:b/>
                <w:sz w:val="18"/>
              </w:rPr>
              <w:t>Amount outstanding*</w:t>
            </w:r>
          </w:p>
        </w:tc>
        <w:tc>
          <w:tcPr>
            <w:tcW w:w="3686" w:type="dxa"/>
            <w:tcBorders>
              <w:top w:val="single" w:sz="7" w:space="0" w:color="auto"/>
              <w:left w:val="single" w:sz="7" w:space="0" w:color="auto"/>
            </w:tcBorders>
          </w:tcPr>
          <w:p>
            <w:pPr>
              <w:pStyle w:val="yTable"/>
              <w:rPr>
                <w:sz w:val="18"/>
              </w:rPr>
            </w:pPr>
            <w:r>
              <w:rPr>
                <w:sz w:val="18"/>
              </w:rPr>
              <w:t>Total fines</w:t>
            </w:r>
          </w:p>
        </w:tc>
        <w:tc>
          <w:tcPr>
            <w:tcW w:w="2126" w:type="dxa"/>
            <w:tcBorders>
              <w:top w:val="single" w:sz="7" w:space="0" w:color="auto"/>
              <w:left w:val="single" w:sz="7" w:space="0" w:color="auto"/>
              <w:right w:val="single" w:sz="7" w:space="0" w:color="auto"/>
            </w:tcBorders>
          </w:tcPr>
          <w:p>
            <w:pPr>
              <w:pStyle w:val="yTable"/>
              <w:rPr>
                <w:sz w:val="18"/>
              </w:rPr>
            </w:pPr>
            <w:r>
              <w:rPr>
                <w:sz w:val="18"/>
              </w:rPr>
              <w:t xml:space="preserve"> $</w:t>
            </w:r>
          </w:p>
        </w:tc>
      </w:tr>
      <w:tr>
        <w:trPr>
          <w:cantSplit/>
        </w:trPr>
        <w:tc>
          <w:tcPr>
            <w:tcW w:w="1276" w:type="dxa"/>
            <w:vMerge/>
            <w:tcBorders>
              <w:left w:val="single" w:sz="7" w:space="0" w:color="auto"/>
            </w:tcBorders>
          </w:tcPr>
          <w:p>
            <w:pPr>
              <w:pStyle w:val="yTable"/>
              <w:rPr>
                <w:sz w:val="18"/>
              </w:rPr>
            </w:pPr>
          </w:p>
        </w:tc>
        <w:tc>
          <w:tcPr>
            <w:tcW w:w="3686" w:type="dxa"/>
            <w:tcBorders>
              <w:top w:val="single" w:sz="7" w:space="0" w:color="auto"/>
              <w:left w:val="single" w:sz="7" w:space="0" w:color="auto"/>
            </w:tcBorders>
          </w:tcPr>
          <w:p>
            <w:pPr>
              <w:pStyle w:val="yTable"/>
              <w:rPr>
                <w:sz w:val="18"/>
              </w:rPr>
            </w:pPr>
            <w:r>
              <w:rPr>
                <w:sz w:val="18"/>
              </w:rPr>
              <w:t>Less any amount paid</w:t>
            </w:r>
          </w:p>
        </w:tc>
        <w:tc>
          <w:tcPr>
            <w:tcW w:w="2126" w:type="dxa"/>
            <w:tcBorders>
              <w:top w:val="single" w:sz="7" w:space="0" w:color="auto"/>
              <w:left w:val="single" w:sz="7" w:space="0" w:color="auto"/>
              <w:right w:val="single" w:sz="7" w:space="0" w:color="auto"/>
            </w:tcBorders>
          </w:tcPr>
          <w:p>
            <w:pPr>
              <w:pStyle w:val="yTable"/>
              <w:rPr>
                <w:sz w:val="18"/>
              </w:rPr>
            </w:pPr>
            <w:r>
              <w:rPr>
                <w:sz w:val="18"/>
              </w:rPr>
              <w:noBreakHyphen/>
              <w:t>$</w:t>
            </w:r>
          </w:p>
        </w:tc>
      </w:tr>
      <w:tr>
        <w:trPr>
          <w:cantSplit/>
        </w:trPr>
        <w:tc>
          <w:tcPr>
            <w:tcW w:w="1276" w:type="dxa"/>
            <w:vMerge/>
            <w:tcBorders>
              <w:left w:val="single" w:sz="7" w:space="0" w:color="auto"/>
            </w:tcBorders>
          </w:tcPr>
          <w:p>
            <w:pPr>
              <w:pStyle w:val="yTable"/>
              <w:rPr>
                <w:sz w:val="18"/>
              </w:rPr>
            </w:pPr>
          </w:p>
        </w:tc>
        <w:tc>
          <w:tcPr>
            <w:tcW w:w="3686" w:type="dxa"/>
            <w:tcBorders>
              <w:top w:val="single" w:sz="7" w:space="0" w:color="auto"/>
              <w:left w:val="single" w:sz="7" w:space="0" w:color="auto"/>
            </w:tcBorders>
          </w:tcPr>
          <w:p>
            <w:pPr>
              <w:pStyle w:val="yTable"/>
              <w:rPr>
                <w:sz w:val="18"/>
              </w:rPr>
            </w:pPr>
            <w:r>
              <w:rPr>
                <w:sz w:val="18"/>
              </w:rPr>
              <w:t>Amount outstanding</w:t>
            </w:r>
          </w:p>
        </w:tc>
        <w:tc>
          <w:tcPr>
            <w:tcW w:w="2126" w:type="dxa"/>
            <w:tcBorders>
              <w:top w:val="single" w:sz="7" w:space="0" w:color="auto"/>
              <w:left w:val="single" w:sz="7" w:space="0" w:color="auto"/>
              <w:right w:val="single" w:sz="7" w:space="0" w:color="auto"/>
            </w:tcBorders>
          </w:tcPr>
          <w:p>
            <w:pPr>
              <w:pStyle w:val="yTable"/>
              <w:rPr>
                <w:sz w:val="18"/>
              </w:rPr>
            </w:pPr>
            <w:r>
              <w:rPr>
                <w:sz w:val="18"/>
              </w:rPr>
              <w:t xml:space="preserve"> =$</w:t>
            </w:r>
          </w:p>
        </w:tc>
      </w:tr>
      <w:tr>
        <w:trPr>
          <w:cantSplit/>
        </w:trPr>
        <w:tc>
          <w:tcPr>
            <w:tcW w:w="1276" w:type="dxa"/>
            <w:vMerge/>
            <w:tcBorders>
              <w:left w:val="single" w:sz="7" w:space="0" w:color="auto"/>
              <w:bottom w:val="single" w:sz="7" w:space="0" w:color="auto"/>
            </w:tcBorders>
          </w:tcPr>
          <w:p>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Period of imprisonment†</w:t>
            </w:r>
          </w:p>
        </w:tc>
        <w:tc>
          <w:tcPr>
            <w:tcW w:w="4111" w:type="dxa"/>
            <w:tcBorders>
              <w:top w:val="single" w:sz="7" w:space="0" w:color="auto"/>
              <w:left w:val="single" w:sz="7"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7" w:space="0" w:color="auto"/>
              <w:left w:val="single" w:sz="7" w:space="0" w:color="auto"/>
              <w:right w:val="single" w:sz="7" w:space="0" w:color="auto"/>
            </w:tcBorders>
          </w:tcPr>
          <w:p>
            <w:pPr>
              <w:pStyle w:val="yTable"/>
              <w:rPr>
                <w:sz w:val="18"/>
              </w:rPr>
            </w:pPr>
            <w:r>
              <w:rPr>
                <w:sz w:val="18"/>
              </w:rPr>
              <w:tab/>
              <w:t>days</w:t>
            </w:r>
          </w:p>
        </w:tc>
      </w:tr>
      <w:tr>
        <w:trPr>
          <w:cantSplit/>
        </w:trPr>
        <w:tc>
          <w:tcPr>
            <w:tcW w:w="1276" w:type="dxa"/>
            <w:vMerge/>
            <w:tcBorders>
              <w:left w:val="single" w:sz="7" w:space="0" w:color="auto"/>
            </w:tcBorders>
          </w:tcPr>
          <w:p>
            <w:pPr>
              <w:pStyle w:val="yTable"/>
              <w:rPr>
                <w:sz w:val="18"/>
              </w:rPr>
            </w:pPr>
          </w:p>
        </w:tc>
        <w:tc>
          <w:tcPr>
            <w:tcW w:w="4111" w:type="dxa"/>
            <w:tcBorders>
              <w:top w:val="single" w:sz="7" w:space="0" w:color="auto"/>
              <w:left w:val="single" w:sz="7"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7" w:space="0" w:color="auto"/>
              <w:right w:val="single" w:sz="7" w:space="0" w:color="auto"/>
            </w:tcBorders>
          </w:tcPr>
          <w:p>
            <w:pPr>
              <w:pStyle w:val="yTable"/>
              <w:rPr>
                <w:sz w:val="18"/>
              </w:rPr>
            </w:pPr>
          </w:p>
        </w:tc>
      </w:tr>
      <w:tr>
        <w:trPr>
          <w:cantSplit/>
        </w:trPr>
        <w:tc>
          <w:tcPr>
            <w:tcW w:w="1276" w:type="dxa"/>
            <w:vMerge/>
            <w:tcBorders>
              <w:left w:val="single" w:sz="7" w:space="0" w:color="auto"/>
              <w:bottom w:val="single" w:sz="7" w:space="0" w:color="auto"/>
            </w:tcBorders>
          </w:tcPr>
          <w:p>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at: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 xml:space="preserve">by:                                                       Regimental No.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of:                                                           police station/division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r>
              <w:rPr>
                <w:sz w:val="20"/>
              </w:rPr>
              <w:t xml:space="preserve">Signature:                                                    Date: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spacing w:before="0"/>
        <w:outlineLvl w:val="9"/>
        <w:rPr>
          <w:snapToGrid w:val="0"/>
        </w:rPr>
      </w:pPr>
      <w:r>
        <w:rPr>
          <w:snapToGrid w:val="0"/>
        </w:rPr>
        <w:br w:type="page"/>
      </w:r>
      <w:bookmarkStart w:id="172" w:name="_Toc125783455"/>
      <w:bookmarkStart w:id="173" w:name="_Toc125868559"/>
      <w:r>
        <w:rPr>
          <w:snapToGrid w:val="0"/>
        </w:rPr>
        <w:t>3A.</w:t>
      </w:r>
      <w:r>
        <w:rPr>
          <w:snapToGrid w:val="0"/>
        </w:rPr>
        <w:tab/>
        <w:t>Warrant of commitment for breach of compensation order</w:t>
      </w:r>
      <w:bookmarkEnd w:id="172"/>
      <w:bookmarkEnd w:id="173"/>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MiscellaneousBody"/>
        <w:spacing w:before="60" w:line="240" w:lineRule="auto"/>
        <w:ind w:left="992" w:hanging="425"/>
        <w:rPr>
          <w:b/>
          <w:snapToGrid w:val="0"/>
          <w:sz w:val="18"/>
        </w:rPr>
      </w:pPr>
      <w:r>
        <w:rPr>
          <w:b/>
          <w:snapToGrid w:val="0"/>
          <w:sz w:val="18"/>
        </w:rPr>
        <w:tab/>
        <w:t xml:space="preserve">Under s. 119A(4) service of the term of imprisonment does not reduce or discharge the offender’s liability to pay the compensation ordered. </w:t>
      </w:r>
    </w:p>
    <w:p>
      <w:pPr>
        <w:pStyle w:val="yHeading5"/>
      </w:pPr>
      <w:bookmarkStart w:id="174" w:name="_Toc125783456"/>
      <w:bookmarkStart w:id="175" w:name="_Toc125868560"/>
      <w:r>
        <w:t>4.</w:t>
      </w:r>
      <w:r>
        <w:tab/>
        <w:t>Certificate of breach of community order</w:t>
      </w:r>
      <w:bookmarkEnd w:id="174"/>
      <w:bookmarkEnd w:id="17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tcBorders>
          </w:tcPr>
          <w:p>
            <w:pPr>
              <w:pStyle w:val="yTable"/>
              <w:rPr>
                <w:sz w:val="20"/>
              </w:rPr>
            </w:pPr>
            <w:r>
              <w:rPr>
                <w:b/>
                <w:sz w:val="20"/>
              </w:rPr>
              <w:t>Community order details</w:t>
            </w:r>
          </w:p>
        </w:tc>
        <w:tc>
          <w:tcPr>
            <w:tcW w:w="5812" w:type="dxa"/>
            <w:gridSpan w:val="2"/>
            <w:tcBorders>
              <w:top w:val="single" w:sz="7" w:space="0" w:color="auto"/>
              <w:left w:val="single" w:sz="7" w:space="0" w:color="auto"/>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outlineLvl w:val="9"/>
        <w:rPr>
          <w:snapToGrid w:val="0"/>
        </w:rPr>
      </w:pPr>
      <w:bookmarkStart w:id="176" w:name="_Toc125783457"/>
      <w:bookmarkStart w:id="177" w:name="_Toc125868561"/>
      <w:r>
        <w:rPr>
          <w:snapToGrid w:val="0"/>
        </w:rPr>
        <w:t>5.</w:t>
      </w:r>
      <w:r>
        <w:rPr>
          <w:snapToGrid w:val="0"/>
        </w:rPr>
        <w:tab/>
        <w:t>Notice alleging commission of offence while subject to sentence</w:t>
      </w:r>
      <w:bookmarkEnd w:id="176"/>
      <w:bookmarkEnd w:id="17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84"/>
        <w:gridCol w:w="2268"/>
      </w:tblGrid>
      <w:tr>
        <w:trPr>
          <w:cantSplit/>
        </w:trPr>
        <w:tc>
          <w:tcPr>
            <w:tcW w:w="4536" w:type="dxa"/>
            <w:gridSpan w:val="2"/>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tcBorders>
              <w:bottom w:val="single" w:sz="4" w:space="0" w:color="auto"/>
            </w:tcBorders>
          </w:tcPr>
          <w:p>
            <w:pPr>
              <w:pStyle w:val="yTable"/>
            </w:pPr>
            <w:r>
              <w:rPr>
                <w:sz w:val="20"/>
              </w:rPr>
              <w:t xml:space="preserve">No. </w:t>
            </w:r>
          </w:p>
        </w:tc>
      </w:tr>
      <w:tr>
        <w:trPr>
          <w:cantSplit/>
          <w:trHeight w:val="728"/>
        </w:trPr>
        <w:tc>
          <w:tcPr>
            <w:tcW w:w="4536" w:type="dxa"/>
            <w:gridSpan w:val="2"/>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tcBorders>
              <w:bottom w:val="single" w:sz="4" w:space="0" w:color="auto"/>
            </w:tcBorders>
          </w:tcPr>
          <w:p>
            <w:pPr>
              <w:pStyle w:val="yTable"/>
              <w:tabs>
                <w:tab w:val="left" w:pos="317"/>
              </w:tabs>
              <w:ind w:left="317" w:hanging="317"/>
            </w:pPr>
            <w:r>
              <w:rPr>
                <w:sz w:val="20"/>
              </w:rPr>
              <w:sym w:font="Wingdings" w:char="F072"/>
            </w:r>
            <w:r>
              <w:rPr>
                <w:sz w:val="20"/>
              </w:rPr>
              <w:tab/>
              <w:t>Supreme Court</w:t>
            </w:r>
          </w:p>
          <w:p>
            <w:pPr>
              <w:pStyle w:val="yTable"/>
              <w:tabs>
                <w:tab w:val="left" w:pos="317"/>
              </w:tabs>
              <w:ind w:left="317" w:hanging="317"/>
            </w:pPr>
            <w:r>
              <w:sym w:font="Wingdings" w:char="F072"/>
            </w:r>
            <w:r>
              <w:tab/>
              <w:t>District Court</w:t>
            </w:r>
          </w:p>
          <w:p>
            <w:pPr>
              <w:pStyle w:val="yTable"/>
              <w:tabs>
                <w:tab w:val="left" w:pos="317"/>
              </w:tabs>
              <w:ind w:left="317" w:hanging="317"/>
            </w:pPr>
            <w:r>
              <w:sym w:font="Wingdings" w:char="F072"/>
            </w:r>
            <w:r>
              <w:tab/>
              <w:t>Magistrates Court</w:t>
            </w:r>
          </w:p>
          <w:p>
            <w:pPr>
              <w:pStyle w:val="yTable"/>
              <w:tabs>
                <w:tab w:val="left" w:pos="317"/>
              </w:tabs>
              <w:ind w:left="317" w:hanging="317"/>
            </w:pPr>
            <w:r>
              <w:sym w:font="Wingdings" w:char="F072"/>
            </w:r>
            <w:r>
              <w:tab/>
              <w:t>Children’s Court</w:t>
            </w:r>
          </w:p>
          <w:p>
            <w:pPr>
              <w:pStyle w:val="yTable"/>
              <w:tabs>
                <w:tab w:val="left" w:pos="317"/>
              </w:tabs>
              <w:ind w:left="317" w:hanging="317"/>
            </w:pPr>
            <w:r>
              <w:t>At:</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4"/>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3"/>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bottom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b/>
                <w:i/>
                <w:sz w:val="16"/>
                <w:vertAlign w:val="superscript"/>
              </w:rPr>
              <w:t>1</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204"/>
              </w:tabs>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Borders>
            <w:top w:val="single" w:sz="8" w:space="0" w:color="auto"/>
            <w:bottom w:val="single" w:sz="8" w:space="0" w:color="auto"/>
            <w:right w:val="single" w:sz="8" w:space="0" w:color="auto"/>
            <w:insideH w:val="single" w:sz="8" w:space="0" w:color="auto"/>
            <w:insideV w:val="single" w:sz="8" w:space="0" w:color="auto"/>
          </w:tblBorders>
        </w:tblPrEx>
        <w:trPr>
          <w:cantSplit/>
        </w:trPr>
        <w:tc>
          <w:tcPr>
            <w:tcW w:w="7088" w:type="dxa"/>
            <w:gridSpan w:val="4"/>
            <w:tcBorders>
              <w:top w:val="single" w:sz="4" w:space="0" w:color="auto"/>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2354"/>
              </w:tabs>
            </w:pPr>
            <w:r>
              <w:rPr>
                <w:sz w:val="20"/>
              </w:rPr>
              <w:t xml:space="preserve">Phone No.: </w:t>
            </w:r>
            <w:r>
              <w:rPr>
                <w:sz w:val="20"/>
              </w:rPr>
              <w:tab/>
            </w:r>
            <w:r>
              <w:rPr>
                <w:sz w:val="20"/>
              </w:rPr>
              <w:tab/>
            </w:r>
            <w:r>
              <w:rPr>
                <w:sz w:val="20"/>
              </w:rPr>
              <w:tab/>
              <w:t>Date: 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Signature:</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Witness: __________________________________________</w:t>
            </w:r>
          </w:p>
          <w:p>
            <w:pPr>
              <w:pStyle w:val="yTable"/>
              <w:tabs>
                <w:tab w:val="left" w:pos="1503"/>
              </w:tabs>
            </w:pPr>
            <w:r>
              <w:tab/>
              <w:t>JP/Prescribed court officer</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7088" w:type="dxa"/>
            <w:gridSpan w:val="4"/>
            <w:tcBorders>
              <w:top w:val="single" w:sz="4" w:space="0" w:color="auto"/>
              <w:left w:val="nil"/>
              <w:bottom w:val="nil"/>
              <w:right w:val="nil"/>
            </w:tcBorders>
          </w:tcPr>
          <w:p>
            <w:pPr>
              <w:pStyle w:val="NotesPerm"/>
              <w:tabs>
                <w:tab w:val="clear" w:pos="879"/>
                <w:tab w:val="left" w:pos="370"/>
              </w:tabs>
              <w:spacing w:before="120"/>
              <w:ind w:left="369" w:hanging="369"/>
              <w:rPr>
                <w:sz w:val="16"/>
              </w:rPr>
            </w:pPr>
            <w:r>
              <w:rPr>
                <w:sz w:val="16"/>
              </w:rPr>
              <w:t>Notes to Form 5</w:t>
            </w:r>
          </w:p>
          <w:p>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Footnotesection"/>
      </w:pPr>
      <w:r>
        <w:tab/>
        <w:t>[Schedule 1 amended in Gazette 3 Mar 2000 p. 1015; 28 Jul 2000 p. 4012; 29 Dec 2000 p. 7920</w:t>
      </w:r>
      <w:r>
        <w:noBreakHyphen/>
        <w:t>1; 29 Aug 2003 p. 3853</w:t>
      </w:r>
      <w:r>
        <w:noBreakHyphen/>
        <w:t>4; 31 Dec 2004 p. 7151; 28 Apr 2005 p. 1765; 24 Jan 2006 p. 430-1.]</w:t>
      </w:r>
    </w:p>
    <w:p>
      <w:pPr>
        <w:pStyle w:val="yScheduleHeading"/>
        <w:rPr>
          <w:rStyle w:val="CharSchText"/>
        </w:rPr>
      </w:pPr>
      <w:bookmarkStart w:id="178" w:name="_Toc125783458"/>
      <w:bookmarkStart w:id="179" w:name="_Toc125783522"/>
      <w:bookmarkStart w:id="180" w:name="_Toc125783568"/>
      <w:bookmarkStart w:id="181" w:name="_Toc125868562"/>
      <w:r>
        <w:rPr>
          <w:rStyle w:val="CharSchNo"/>
        </w:rPr>
        <w:t>Schedule 2</w:t>
      </w:r>
      <w:r>
        <w:t> — </w:t>
      </w:r>
      <w:r>
        <w:rPr>
          <w:rStyle w:val="CharSchText"/>
        </w:rPr>
        <w:t>Offences for which CBO may be imposed under s. 44 of the Act</w:t>
      </w:r>
      <w:bookmarkEnd w:id="178"/>
      <w:bookmarkEnd w:id="179"/>
      <w:bookmarkEnd w:id="180"/>
      <w:bookmarkEnd w:id="181"/>
    </w:p>
    <w:p>
      <w:pPr>
        <w:pStyle w:val="yShoulderClause"/>
      </w:pPr>
      <w:r>
        <w:t>[r. 6AA]</w:t>
      </w:r>
    </w:p>
    <w:p>
      <w:pPr>
        <w:pStyle w:val="yHeading5"/>
      </w:pPr>
      <w:bookmarkStart w:id="182" w:name="_Toc125868563"/>
      <w:r>
        <w:tab/>
      </w:r>
      <w:bookmarkStart w:id="183" w:name="_Toc125783459"/>
      <w:r>
        <w:t>Acts</w:t>
      </w:r>
      <w:bookmarkEnd w:id="182"/>
      <w:bookmarkEnd w:id="183"/>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Cattle Industry Compensation Act 1965 </w:t>
      </w:r>
      <w:r>
        <w:t>s. 37(1)</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 xml:space="preserve">s. 36, 55 </w:t>
      </w:r>
    </w:p>
    <w:p>
      <w:pPr>
        <w:pStyle w:val="ySubsection"/>
        <w:spacing w:before="0"/>
      </w:pPr>
      <w:r>
        <w:rPr>
          <w:i/>
        </w:rPr>
        <w:t xml:space="preserve">Credit (Administration) Act 1984 </w:t>
      </w:r>
      <w:r>
        <w:t>s. 37, 38, 39(4), 39(6)</w:t>
      </w:r>
    </w:p>
    <w:p>
      <w:pPr>
        <w:pStyle w:val="ySubsection"/>
        <w:spacing w:before="0"/>
      </w:pPr>
      <w:r>
        <w:rPr>
          <w:i/>
        </w:rPr>
        <w:t xml:space="preserve">The Criminal Code </w:t>
      </w:r>
      <w:r>
        <w:t>s. 95, 97, 105, 106, 108, 110, 111, 151 (summary conviction), 208 (summary conviction), 426(4), 426A(3), 429, 430, 431, 434, 435</w:t>
      </w:r>
    </w:p>
    <w:p>
      <w:pPr>
        <w:pStyle w:val="ySubsection"/>
        <w:spacing w:before="0"/>
      </w:pPr>
      <w:r>
        <w:rPr>
          <w:i/>
        </w:rPr>
        <w:t>Criminal Investigation (Extra</w:t>
      </w:r>
      <w:r>
        <w:rPr>
          <w:i/>
        </w:rPr>
        <w:noBreakHyphen/>
        <w:t>Territorial Offences) Act 1987</w:t>
      </w:r>
      <w:r>
        <w:t xml:space="preserve"> s. 6</w:t>
      </w:r>
    </w:p>
    <w:p>
      <w:pPr>
        <w:pStyle w:val="ySubsection"/>
        <w:spacing w:before="0"/>
      </w:pPr>
      <w:r>
        <w:rPr>
          <w:i/>
        </w:rPr>
        <w:t>Curriculum Council Act 1997 S</w:t>
      </w:r>
      <w:r>
        <w:t>ch. 1, cl. 16(1)</w:t>
      </w:r>
    </w:p>
    <w:p>
      <w:pPr>
        <w:pStyle w:val="ySubsection"/>
        <w:spacing w:before="0"/>
      </w:pPr>
      <w:r>
        <w:rPr>
          <w:i/>
        </w:rPr>
        <w:t xml:space="preserve">Dangerous Goods (Transport) Act 1998 </w:t>
      </w:r>
      <w:r>
        <w:t>s. 19, 29(6)</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rPr>
        <w:t>Electricity Corporation Act 1994 S</w:t>
      </w:r>
      <w:r>
        <w:t>ch. 2 cl. 12(1)</w:t>
      </w:r>
    </w:p>
    <w:p>
      <w:pPr>
        <w:pStyle w:val="ySubsection"/>
        <w:spacing w:before="0"/>
      </w:pPr>
      <w:r>
        <w:rPr>
          <w:i/>
        </w:rPr>
        <w:t xml:space="preserve">Explosives and Dangerous Goods Act 1961 </w:t>
      </w:r>
      <w:r>
        <w:t>s. 54A(6)</w:t>
      </w:r>
    </w:p>
    <w:p>
      <w:pPr>
        <w:pStyle w:val="ySubsection"/>
        <w:spacing w:before="0"/>
      </w:pPr>
      <w:r>
        <w:rPr>
          <w:i/>
        </w:rPr>
        <w:t xml:space="preserve">Family Court Act 1997 </w:t>
      </w:r>
      <w:r>
        <w:t>s. 243(6)</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p>
    <w:p>
      <w:pPr>
        <w:pStyle w:val="ySubsection"/>
        <w:spacing w:before="0"/>
      </w:pPr>
      <w:r>
        <w:rPr>
          <w:i/>
        </w:rPr>
        <w:t xml:space="preserve">Juries Act 1957 </w:t>
      </w:r>
      <w:r>
        <w:t>s. 56B(1), 56C(1), 56D(1)</w:t>
      </w:r>
    </w:p>
    <w:p>
      <w:pPr>
        <w:pStyle w:val="ySubsection"/>
        <w:spacing w:before="0"/>
      </w:pPr>
      <w:r>
        <w:rPr>
          <w:i/>
        </w:rPr>
        <w:t>Justices Act 1902</w:t>
      </w:r>
      <w:r>
        <w:t xml:space="preserve"> s. 57(3)</w:t>
      </w:r>
    </w:p>
    <w:p>
      <w:pPr>
        <w:pStyle w:val="ySubsection"/>
        <w:spacing w:before="0"/>
      </w:pPr>
      <w:r>
        <w:rPr>
          <w:i/>
        </w:rPr>
        <w:t xml:space="preserve">Land Drainage Act 1925 </w:t>
      </w:r>
      <w:r>
        <w:t>s. 155</w:t>
      </w:r>
    </w:p>
    <w:p>
      <w:pPr>
        <w:pStyle w:val="ySubsection"/>
        <w:spacing w:before="0"/>
      </w:pPr>
      <w:r>
        <w:rPr>
          <w:i/>
        </w:rPr>
        <w:t xml:space="preserve">Local Courts Act 1904 </w:t>
      </w:r>
      <w:r>
        <w:t>s. 44(2)</w:t>
      </w:r>
    </w:p>
    <w:p>
      <w:pPr>
        <w:pStyle w:val="ySubsection"/>
        <w:spacing w:before="0"/>
      </w:pPr>
      <w:r>
        <w:rPr>
          <w:i/>
        </w:rPr>
        <w:t xml:space="preserve">Local Government (Miscellaneous Provisions) Act 1960 </w:t>
      </w:r>
      <w:r>
        <w:t>s. 474(7), 482(3)</w:t>
      </w:r>
    </w:p>
    <w:p>
      <w:pPr>
        <w:pStyle w:val="ySubsection"/>
        <w:spacing w:before="0"/>
      </w:pPr>
      <w:r>
        <w:rPr>
          <w:i/>
        </w:rPr>
        <w:t xml:space="preserve">Medical Act 1894 </w:t>
      </w:r>
      <w:r>
        <w:t>s. 16A(1), 19, 21A(1)</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Optometrists Act 1940 </w:t>
      </w:r>
      <w:r>
        <w:t>s. 42</w:t>
      </w:r>
    </w:p>
    <w:p>
      <w:pPr>
        <w:pStyle w:val="ySubsection"/>
        <w:spacing w:before="0"/>
      </w:pPr>
      <w:r>
        <w:rPr>
          <w:i/>
        </w:rPr>
        <w:t xml:space="preserve">Plant Diseases Act 1914 </w:t>
      </w:r>
      <w:r>
        <w:t>s. 34(1)</w:t>
      </w:r>
    </w:p>
    <w:p>
      <w:pPr>
        <w:pStyle w:val="ySubsection"/>
        <w:spacing w:before="0"/>
      </w:pPr>
      <w:r>
        <w:rPr>
          <w:i/>
        </w:rPr>
        <w:t xml:space="preserve">Poisons Act 1964 </w:t>
      </w:r>
      <w:r>
        <w:t>s. 49(2)</w:t>
      </w:r>
    </w:p>
    <w:p>
      <w:pPr>
        <w:pStyle w:val="ySubsection"/>
        <w:spacing w:before="0"/>
      </w:pPr>
      <w:r>
        <w:rPr>
          <w:i/>
        </w:rPr>
        <w:t>Police Act 1892</w:t>
      </w:r>
      <w:r>
        <w:t xml:space="preserve"> 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rPr>
        <w:t xml:space="preserve">School Education Act 1999 </w:t>
      </w:r>
      <w:r>
        <w:t>s. 15, 35, 120(2), 240(3), 242(1)</w:t>
      </w:r>
    </w:p>
    <w:p>
      <w:pPr>
        <w:pStyle w:val="ySubsection"/>
        <w:spacing w:before="0"/>
      </w:pPr>
      <w:r>
        <w:rPr>
          <w:i/>
        </w:rPr>
        <w:t xml:space="preserve">Stock Diseases (Regulations) Act 1968 </w:t>
      </w:r>
      <w:r>
        <w:t>s. 16(3)</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r>
        <w:rPr>
          <w:i/>
        </w:rPr>
        <w:t xml:space="preserve">Swan River Trust Act 1988 </w:t>
      </w:r>
      <w:r>
        <w:t>s. 64(6)</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 S</w:t>
      </w:r>
      <w:r>
        <w:t>ch. 1 cl. 17(1)</w:t>
      </w:r>
    </w:p>
    <w:p>
      <w:pPr>
        <w:pStyle w:val="ySubsection"/>
        <w:spacing w:before="0"/>
        <w:rPr>
          <w:i/>
        </w:rPr>
      </w:pPr>
      <w:r>
        <w:rPr>
          <w:i/>
        </w:rPr>
        <w:t>Water Corporation Act 1995 S</w:t>
      </w:r>
      <w:r>
        <w:t>ch. 2 cl. 12(1)</w:t>
      </w:r>
    </w:p>
    <w:p>
      <w:pPr>
        <w:pStyle w:val="ySubsection"/>
        <w:spacing w:before="0"/>
      </w:pPr>
      <w:r>
        <w:rPr>
          <w:i/>
        </w:rPr>
        <w:t xml:space="preserve">Zoological Parks Authority Act 2001 </w:t>
      </w:r>
      <w:r>
        <w:t>s. 31</w:t>
      </w:r>
    </w:p>
    <w:p>
      <w:pPr>
        <w:pStyle w:val="yHeading5"/>
      </w:pPr>
      <w:bookmarkStart w:id="184" w:name="_Toc125783460"/>
      <w:bookmarkStart w:id="185" w:name="_Toc125868564"/>
      <w:r>
        <w:t>Subsidiary legislation</w:t>
      </w:r>
      <w:bookmarkEnd w:id="184"/>
      <w:bookmarkEnd w:id="185"/>
    </w:p>
    <w:p>
      <w:pPr>
        <w:pStyle w:val="ySubsection"/>
      </w:pPr>
      <w:r>
        <w:rPr>
          <w:i/>
        </w:rPr>
        <w:t xml:space="preserve">Aerial spraying Control Regulations 1971 </w:t>
      </w:r>
      <w:r>
        <w:t>r. 15</w:t>
      </w:r>
    </w:p>
    <w:p>
      <w:pPr>
        <w:pStyle w:val="ySubsection"/>
        <w:spacing w:before="0"/>
      </w:pPr>
      <w:r>
        <w:rPr>
          <w:i/>
        </w:rPr>
        <w:t xml:space="preserve">Navigable Waters Regulations </w:t>
      </w:r>
      <w:r>
        <w:t>r. 40, 53(1)</w:t>
      </w:r>
    </w:p>
    <w:p>
      <w:pPr>
        <w:pStyle w:val="ySubsection"/>
        <w:spacing w:before="0"/>
      </w:pPr>
      <w:r>
        <w:rPr>
          <w:i/>
        </w:rPr>
        <w:t>Aboriginal Movement for Outback Survival (Mt. Margaret Mission) By</w:t>
      </w:r>
      <w:r>
        <w:rPr>
          <w:i/>
        </w:rPr>
        <w:noBreakHyphen/>
        <w:t xml:space="preserve">laws </w:t>
      </w:r>
      <w:r>
        <w:t>bl. 18</w:t>
      </w:r>
    </w:p>
    <w:p>
      <w:pPr>
        <w:pStyle w:val="ySubsection"/>
        <w:spacing w:before="0"/>
      </w:pPr>
      <w:r>
        <w:rPr>
          <w:i/>
        </w:rPr>
        <w:t>Bardi Aborigines Association Inc. By</w:t>
      </w:r>
      <w:r>
        <w:rPr>
          <w:i/>
        </w:rPr>
        <w:noBreakHyphen/>
        <w:t xml:space="preserve">laws </w:t>
      </w:r>
      <w:r>
        <w:t>bl. 16</w:t>
      </w:r>
    </w:p>
    <w:p>
      <w:pPr>
        <w:pStyle w:val="ySubsection"/>
        <w:spacing w:before="0"/>
      </w:pPr>
      <w:r>
        <w:rPr>
          <w:i/>
        </w:rPr>
        <w:t>Beagle Bay Aboriginal Council Inc. By</w:t>
      </w:r>
      <w:r>
        <w:rPr>
          <w:i/>
        </w:rPr>
        <w:noBreakHyphen/>
        <w:t xml:space="preserve">laws 1982 </w:t>
      </w:r>
      <w:r>
        <w:t>bl. 16</w:t>
      </w:r>
    </w:p>
    <w:p>
      <w:pPr>
        <w:pStyle w:val="ySubsection"/>
        <w:spacing w:before="0"/>
      </w:pPr>
      <w:r>
        <w:rPr>
          <w:i/>
        </w:rPr>
        <w:t>Bidyadanga Aboriginal Community La Grange Incorporated By</w:t>
      </w:r>
      <w:r>
        <w:rPr>
          <w:i/>
        </w:rPr>
        <w:noBreakHyphen/>
        <w:t xml:space="preserve">laws </w:t>
      </w:r>
      <w:r>
        <w:t>bl. 16</w:t>
      </w:r>
    </w:p>
    <w:p>
      <w:pPr>
        <w:pStyle w:val="ySubsection"/>
        <w:spacing w:before="0"/>
      </w:pPr>
      <w:r>
        <w:rPr>
          <w:i/>
        </w:rPr>
        <w:t>Cosmo Newberry Aboriginal Corporation By</w:t>
      </w:r>
      <w:r>
        <w:rPr>
          <w:i/>
        </w:rPr>
        <w:noBreakHyphen/>
        <w:t xml:space="preserve">laws </w:t>
      </w:r>
      <w:r>
        <w:t>bl. 16</w:t>
      </w:r>
    </w:p>
    <w:p>
      <w:pPr>
        <w:pStyle w:val="ySubsection"/>
        <w:spacing w:before="0"/>
      </w:pPr>
      <w:r>
        <w:rPr>
          <w:i/>
        </w:rPr>
        <w:t>Jigalong Community Incorporated By</w:t>
      </w:r>
      <w:r>
        <w:rPr>
          <w:i/>
        </w:rPr>
        <w:noBreakHyphen/>
        <w:t xml:space="preserve">laws </w:t>
      </w:r>
      <w:r>
        <w:t>bl. 18</w:t>
      </w:r>
    </w:p>
    <w:p>
      <w:pPr>
        <w:pStyle w:val="ySubsection"/>
        <w:spacing w:before="0"/>
        <w:rPr>
          <w:i/>
        </w:rPr>
      </w:pPr>
      <w:r>
        <w:rPr>
          <w:i/>
        </w:rPr>
        <w:t>Junjuwa Community Incorporated By</w:t>
      </w:r>
      <w:r>
        <w:rPr>
          <w:i/>
        </w:rPr>
        <w:noBreakHyphen/>
        <w:t xml:space="preserve">laws </w:t>
      </w:r>
      <w:r>
        <w:t>bl. 19</w:t>
      </w:r>
    </w:p>
    <w:p>
      <w:pPr>
        <w:pStyle w:val="ySubsection"/>
        <w:spacing w:before="0"/>
      </w:pPr>
      <w:r>
        <w:rPr>
          <w:i/>
        </w:rPr>
        <w:t>Kalumburu Aboriginal Corporation By</w:t>
      </w:r>
      <w:r>
        <w:rPr>
          <w:i/>
        </w:rPr>
        <w:noBreakHyphen/>
        <w:t xml:space="preserve">laws </w:t>
      </w:r>
      <w:r>
        <w:t>bl. 20</w:t>
      </w:r>
    </w:p>
    <w:p>
      <w:pPr>
        <w:pStyle w:val="ySubsection"/>
        <w:spacing w:before="0"/>
      </w:pPr>
      <w:r>
        <w:rPr>
          <w:i/>
        </w:rPr>
        <w:t>Lombadina Community Incorporated By</w:t>
      </w:r>
      <w:r>
        <w:rPr>
          <w:i/>
        </w:rPr>
        <w:noBreakHyphen/>
        <w:t xml:space="preserve">laws 1982 </w:t>
      </w:r>
      <w:r>
        <w:t>bl. 16</w:t>
      </w:r>
    </w:p>
    <w:p>
      <w:pPr>
        <w:pStyle w:val="ySubsection"/>
        <w:spacing w:before="0"/>
      </w:pPr>
      <w:r>
        <w:rPr>
          <w:i/>
        </w:rPr>
        <w:t>Looma Community Inc. By</w:t>
      </w:r>
      <w:r>
        <w:rPr>
          <w:i/>
        </w:rPr>
        <w:noBreakHyphen/>
        <w:t>laws</w:t>
      </w:r>
      <w:r>
        <w:t xml:space="preserve"> bl. 19</w:t>
      </w:r>
    </w:p>
    <w:p>
      <w:pPr>
        <w:pStyle w:val="ySubsection"/>
        <w:spacing w:before="0"/>
      </w:pPr>
      <w:r>
        <w:rPr>
          <w:i/>
        </w:rPr>
        <w:t>Mindibungu Aboriginal Corporation By</w:t>
      </w:r>
      <w:r>
        <w:rPr>
          <w:i/>
        </w:rPr>
        <w:noBreakHyphen/>
        <w:t xml:space="preserve">laws </w:t>
      </w:r>
      <w:r>
        <w:t>bl. 17</w:t>
      </w:r>
    </w:p>
    <w:p>
      <w:pPr>
        <w:pStyle w:val="ySubsection"/>
        <w:spacing w:before="0"/>
      </w:pPr>
      <w:r>
        <w:rPr>
          <w:i/>
        </w:rPr>
        <w:t>Mugarinya Community Association Incorporated By</w:t>
      </w:r>
      <w:r>
        <w:rPr>
          <w:i/>
        </w:rPr>
        <w:noBreakHyphen/>
        <w:t xml:space="preserve">laws </w:t>
      </w:r>
      <w:r>
        <w:t>bl. 19</w:t>
      </w:r>
    </w:p>
    <w:p>
      <w:pPr>
        <w:pStyle w:val="ySubsection"/>
        <w:spacing w:before="0"/>
      </w:pPr>
      <w:r>
        <w:rPr>
          <w:i/>
        </w:rPr>
        <w:t>Ngaanyatjarra Council (Aboriginal Corporation) By</w:t>
      </w:r>
      <w:r>
        <w:rPr>
          <w:i/>
        </w:rPr>
        <w:noBreakHyphen/>
        <w:t xml:space="preserve">laws </w:t>
      </w:r>
      <w:r>
        <w:t>bl. 14</w:t>
      </w:r>
    </w:p>
    <w:p>
      <w:pPr>
        <w:pStyle w:val="ySubsection"/>
        <w:spacing w:before="0"/>
      </w:pPr>
      <w:r>
        <w:rPr>
          <w:i/>
        </w:rPr>
        <w:t>Oombulgurri Association Incorporated By</w:t>
      </w:r>
      <w:r>
        <w:rPr>
          <w:i/>
        </w:rPr>
        <w:noBreakHyphen/>
        <w:t xml:space="preserve">laws </w:t>
      </w:r>
      <w:r>
        <w:t>bl. 18</w:t>
      </w:r>
    </w:p>
    <w:p>
      <w:pPr>
        <w:pStyle w:val="ySubsection"/>
        <w:spacing w:before="0"/>
      </w:pPr>
      <w:r>
        <w:rPr>
          <w:i/>
        </w:rPr>
        <w:t>The Balgo Hills Aboriginal Community Incorporated By</w:t>
      </w:r>
      <w:r>
        <w:rPr>
          <w:i/>
        </w:rPr>
        <w:noBreakHyphen/>
        <w:t xml:space="preserve">laws 1982 </w:t>
      </w:r>
      <w:r>
        <w:t>bl. 16</w:t>
      </w:r>
    </w:p>
    <w:p>
      <w:pPr>
        <w:pStyle w:val="ySubsection"/>
        <w:spacing w:before="0"/>
      </w:pPr>
      <w:r>
        <w:rPr>
          <w:i/>
        </w:rPr>
        <w:t>Upurl Upurlila Ngurratja Incorporated By</w:t>
      </w:r>
      <w:r>
        <w:rPr>
          <w:i/>
        </w:rPr>
        <w:noBreakHyphen/>
        <w:t xml:space="preserve">laws </w:t>
      </w:r>
      <w:r>
        <w:t>bl. 18</w:t>
      </w:r>
    </w:p>
    <w:p>
      <w:pPr>
        <w:pStyle w:val="ySubsection"/>
        <w:spacing w:before="0"/>
      </w:pPr>
      <w:r>
        <w:rPr>
          <w:i/>
        </w:rPr>
        <w:t>Warmun Community (Turkey Creek) Inc. By</w:t>
      </w:r>
      <w:r>
        <w:rPr>
          <w:i/>
        </w:rPr>
        <w:noBreakHyphen/>
        <w:t xml:space="preserve">laws </w:t>
      </w:r>
      <w:r>
        <w:t>bl. 24</w:t>
      </w:r>
    </w:p>
    <w:p>
      <w:pPr>
        <w:pStyle w:val="ySubsection"/>
        <w:spacing w:before="0"/>
      </w:pPr>
      <w:r>
        <w:rPr>
          <w:i/>
        </w:rPr>
        <w:t>Woolah Aboriginal Corporation By</w:t>
      </w:r>
      <w:r>
        <w:rPr>
          <w:i/>
        </w:rPr>
        <w:noBreakHyphen/>
        <w:t xml:space="preserve">laws </w:t>
      </w:r>
      <w:r>
        <w:t>bl. 21</w:t>
      </w:r>
    </w:p>
    <w:p>
      <w:pPr>
        <w:pStyle w:val="ySubsection"/>
        <w:spacing w:before="0"/>
      </w:pPr>
      <w:r>
        <w:rPr>
          <w:i/>
        </w:rPr>
        <w:t>Yungngora Association Inc (Nookunbah) By</w:t>
      </w:r>
      <w:r>
        <w:rPr>
          <w:i/>
        </w:rPr>
        <w:noBreakHyphen/>
        <w:t xml:space="preserve">laws </w:t>
      </w:r>
      <w:r>
        <w:t>bl. 18</w:t>
      </w:r>
    </w:p>
    <w:p>
      <w:pPr>
        <w:pStyle w:val="yFootnotesection"/>
      </w:pPr>
      <w:r>
        <w:tab/>
        <w:t>[Schedule 2 inserted in Gazette 14 May 2004 p. 1449</w:t>
      </w:r>
      <w:r>
        <w:noBreakHyphen/>
        <w:t>51.]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86" w:name="_Toc72549741"/>
      <w:bookmarkStart w:id="187" w:name="_Toc79216858"/>
      <w:bookmarkStart w:id="188" w:name="_Toc92192721"/>
      <w:bookmarkStart w:id="189" w:name="_Toc92192767"/>
      <w:bookmarkStart w:id="190" w:name="_Toc92259447"/>
      <w:bookmarkStart w:id="191" w:name="_Toc102888488"/>
      <w:bookmarkStart w:id="192" w:name="_Toc125783461"/>
      <w:bookmarkStart w:id="193" w:name="_Toc125783525"/>
      <w:bookmarkStart w:id="194" w:name="_Toc125783571"/>
      <w:bookmarkStart w:id="195" w:name="_Toc125868565"/>
      <w:r>
        <w:t>Notes</w:t>
      </w:r>
      <w:bookmarkEnd w:id="186"/>
      <w:bookmarkEnd w:id="187"/>
      <w:bookmarkEnd w:id="188"/>
      <w:bookmarkEnd w:id="189"/>
      <w:bookmarkEnd w:id="190"/>
      <w:bookmarkEnd w:id="191"/>
      <w:bookmarkEnd w:id="192"/>
      <w:bookmarkEnd w:id="193"/>
      <w:bookmarkEnd w:id="194"/>
      <w:bookmarkEnd w:id="195"/>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196" w:name="_Toc125783462"/>
      <w:bookmarkStart w:id="197" w:name="_Toc125868566"/>
      <w:r>
        <w:t>Compilation table</w:t>
      </w:r>
      <w:bookmarkEnd w:id="196"/>
      <w:bookmarkEnd w:id="19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nil"/>
              <w:bottom w:val="nil"/>
            </w:tcBorders>
          </w:tcPr>
          <w:p>
            <w:pPr>
              <w:pStyle w:val="nTable"/>
              <w:spacing w:before="100"/>
              <w:rPr>
                <w:sz w:val="19"/>
              </w:rPr>
            </w:pPr>
            <w:r>
              <w:rPr>
                <w:i/>
                <w:sz w:val="19"/>
              </w:rPr>
              <w:t>Sentencing Regulations 1996</w:t>
            </w:r>
          </w:p>
        </w:tc>
        <w:tc>
          <w:tcPr>
            <w:tcW w:w="1276" w:type="dxa"/>
            <w:tcBorders>
              <w:top w:val="nil"/>
              <w:bottom w:val="nil"/>
            </w:tcBorders>
          </w:tcPr>
          <w:p>
            <w:pPr>
              <w:pStyle w:val="nTable"/>
              <w:spacing w:before="100"/>
              <w:rPr>
                <w:sz w:val="19"/>
              </w:rPr>
            </w:pPr>
            <w:r>
              <w:rPr>
                <w:sz w:val="19"/>
              </w:rPr>
              <w:t>4 Oct 1996 p. 5281</w:t>
            </w:r>
            <w:r>
              <w:rPr>
                <w:sz w:val="19"/>
              </w:rPr>
              <w:noBreakHyphen/>
              <w:t>96</w:t>
            </w:r>
          </w:p>
        </w:tc>
        <w:tc>
          <w:tcPr>
            <w:tcW w:w="2693" w:type="dxa"/>
            <w:tcBorders>
              <w:top w:val="nil"/>
              <w:bottom w:val="nil"/>
            </w:tcBorders>
          </w:tcPr>
          <w:p>
            <w:pPr>
              <w:pStyle w:val="nTable"/>
              <w:spacing w:before="10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before="10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before="100"/>
              <w:rPr>
                <w:sz w:val="19"/>
              </w:rPr>
            </w:pPr>
            <w:r>
              <w:rPr>
                <w:sz w:val="19"/>
              </w:rPr>
              <w:t>3 Mar 2000 p. 1013</w:t>
            </w:r>
            <w:r>
              <w:rPr>
                <w:sz w:val="19"/>
              </w:rPr>
              <w:noBreakHyphen/>
              <w:t>15</w:t>
            </w:r>
          </w:p>
        </w:tc>
        <w:tc>
          <w:tcPr>
            <w:tcW w:w="2693" w:type="dxa"/>
            <w:tcBorders>
              <w:top w:val="nil"/>
              <w:bottom w:val="nil"/>
            </w:tcBorders>
          </w:tcPr>
          <w:p>
            <w:pPr>
              <w:pStyle w:val="nTable"/>
              <w:spacing w:before="100"/>
              <w:rPr>
                <w:sz w:val="19"/>
              </w:rPr>
            </w:pPr>
            <w:r>
              <w:rPr>
                <w:sz w:val="19"/>
              </w:rPr>
              <w:t>3 Mar 2000</w:t>
            </w:r>
          </w:p>
        </w:tc>
      </w:tr>
      <w:tr>
        <w:tc>
          <w:tcPr>
            <w:tcW w:w="3118" w:type="dxa"/>
            <w:tcBorders>
              <w:top w:val="nil"/>
              <w:bottom w:val="nil"/>
            </w:tcBorders>
          </w:tcPr>
          <w:p>
            <w:pPr>
              <w:pStyle w:val="nTable"/>
              <w:spacing w:before="100"/>
              <w:rPr>
                <w:i/>
                <w:sz w:val="19"/>
              </w:rPr>
            </w:pPr>
            <w:r>
              <w:rPr>
                <w:i/>
                <w:sz w:val="19"/>
              </w:rPr>
              <w:t>Sentencing Amendment Regulations (No. 4) 2000</w:t>
            </w:r>
          </w:p>
        </w:tc>
        <w:tc>
          <w:tcPr>
            <w:tcW w:w="1276" w:type="dxa"/>
            <w:tcBorders>
              <w:top w:val="nil"/>
              <w:bottom w:val="nil"/>
            </w:tcBorders>
          </w:tcPr>
          <w:p>
            <w:pPr>
              <w:pStyle w:val="nTable"/>
              <w:spacing w:before="100"/>
              <w:rPr>
                <w:sz w:val="19"/>
              </w:rPr>
            </w:pPr>
            <w:r>
              <w:rPr>
                <w:sz w:val="19"/>
              </w:rPr>
              <w:t xml:space="preserve">28 Jul 2000 </w:t>
            </w:r>
            <w:r>
              <w:rPr>
                <w:sz w:val="19"/>
              </w:rPr>
              <w:br/>
              <w:t>p. 4012</w:t>
            </w:r>
          </w:p>
        </w:tc>
        <w:tc>
          <w:tcPr>
            <w:tcW w:w="2693" w:type="dxa"/>
            <w:tcBorders>
              <w:top w:val="nil"/>
              <w:bottom w:val="nil"/>
            </w:tcBorders>
          </w:tcPr>
          <w:p>
            <w:pPr>
              <w:pStyle w:val="nTable"/>
              <w:spacing w:before="100"/>
              <w:rPr>
                <w:sz w:val="19"/>
              </w:rPr>
            </w:pPr>
            <w:r>
              <w:rPr>
                <w:sz w:val="19"/>
              </w:rPr>
              <w:t xml:space="preserve">28 Jul 2000 </w:t>
            </w:r>
          </w:p>
        </w:tc>
      </w:tr>
      <w:tr>
        <w:tc>
          <w:tcPr>
            <w:tcW w:w="3118" w:type="dxa"/>
            <w:tcBorders>
              <w:top w:val="nil"/>
              <w:bottom w:val="nil"/>
            </w:tcBorders>
          </w:tcPr>
          <w:p>
            <w:pPr>
              <w:pStyle w:val="nTable"/>
              <w:spacing w:before="100"/>
              <w:rPr>
                <w:i/>
                <w:sz w:val="19"/>
              </w:rPr>
            </w:pPr>
            <w:r>
              <w:rPr>
                <w:i/>
                <w:sz w:val="19"/>
              </w:rPr>
              <w:t>Sentencing Amendment Regulations (No. 3) 2000</w:t>
            </w:r>
          </w:p>
        </w:tc>
        <w:tc>
          <w:tcPr>
            <w:tcW w:w="1276" w:type="dxa"/>
            <w:tcBorders>
              <w:top w:val="nil"/>
              <w:bottom w:val="nil"/>
            </w:tcBorders>
          </w:tcPr>
          <w:p>
            <w:pPr>
              <w:pStyle w:val="nTable"/>
              <w:spacing w:before="100"/>
              <w:rPr>
                <w:sz w:val="19"/>
              </w:rPr>
            </w:pPr>
            <w:r>
              <w:rPr>
                <w:sz w:val="19"/>
              </w:rPr>
              <w:t>25 Aug 2000 p. 4906</w:t>
            </w:r>
            <w:r>
              <w:rPr>
                <w:sz w:val="19"/>
              </w:rPr>
              <w:noBreakHyphen/>
              <w:t>7</w:t>
            </w:r>
          </w:p>
        </w:tc>
        <w:tc>
          <w:tcPr>
            <w:tcW w:w="2693" w:type="dxa"/>
            <w:tcBorders>
              <w:top w:val="nil"/>
              <w:bottom w:val="nil"/>
            </w:tcBorders>
          </w:tcPr>
          <w:p>
            <w:pPr>
              <w:pStyle w:val="nTable"/>
              <w:spacing w:before="10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before="100"/>
              <w:rPr>
                <w:i/>
                <w:sz w:val="19"/>
              </w:rPr>
            </w:pPr>
            <w:r>
              <w:rPr>
                <w:i/>
                <w:sz w:val="19"/>
              </w:rPr>
              <w:t>Sentencing Amendment Regulations (No. 2) 2000</w:t>
            </w:r>
          </w:p>
        </w:tc>
        <w:tc>
          <w:tcPr>
            <w:tcW w:w="1276" w:type="dxa"/>
            <w:tcBorders>
              <w:top w:val="nil"/>
              <w:bottom w:val="nil"/>
            </w:tcBorders>
          </w:tcPr>
          <w:p>
            <w:pPr>
              <w:pStyle w:val="nTable"/>
              <w:spacing w:before="100"/>
              <w:rPr>
                <w:sz w:val="19"/>
              </w:rPr>
            </w:pPr>
            <w:r>
              <w:rPr>
                <w:sz w:val="19"/>
              </w:rPr>
              <w:t>29 Dec 2000 p. 7919</w:t>
            </w:r>
            <w:r>
              <w:rPr>
                <w:sz w:val="19"/>
              </w:rPr>
              <w:noBreakHyphen/>
              <w:t>21</w:t>
            </w:r>
          </w:p>
        </w:tc>
        <w:tc>
          <w:tcPr>
            <w:tcW w:w="2693" w:type="dxa"/>
            <w:tcBorders>
              <w:top w:val="nil"/>
              <w:bottom w:val="nil"/>
            </w:tcBorders>
          </w:tcPr>
          <w:p>
            <w:pPr>
              <w:pStyle w:val="nTable"/>
              <w:spacing w:before="10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before="10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before="100"/>
              <w:rPr>
                <w:i/>
                <w:sz w:val="19"/>
              </w:rPr>
            </w:pPr>
            <w:r>
              <w:rPr>
                <w:i/>
                <w:sz w:val="19"/>
              </w:rPr>
              <w:t>Sentencing Amendment Regulations 2003</w:t>
            </w:r>
          </w:p>
        </w:tc>
        <w:tc>
          <w:tcPr>
            <w:tcW w:w="1276" w:type="dxa"/>
            <w:tcBorders>
              <w:top w:val="nil"/>
              <w:bottom w:val="nil"/>
            </w:tcBorders>
          </w:tcPr>
          <w:p>
            <w:pPr>
              <w:pStyle w:val="nTable"/>
              <w:spacing w:before="100"/>
              <w:rPr>
                <w:sz w:val="19"/>
              </w:rPr>
            </w:pPr>
            <w:r>
              <w:rPr>
                <w:sz w:val="19"/>
              </w:rPr>
              <w:t>29 Aug 2003 p. 3850</w:t>
            </w:r>
            <w:r>
              <w:rPr>
                <w:sz w:val="19"/>
              </w:rPr>
              <w:noBreakHyphen/>
              <w:t>4</w:t>
            </w:r>
          </w:p>
        </w:tc>
        <w:tc>
          <w:tcPr>
            <w:tcW w:w="2693" w:type="dxa"/>
            <w:tcBorders>
              <w:top w:val="nil"/>
              <w:bottom w:val="nil"/>
            </w:tcBorders>
          </w:tcPr>
          <w:p>
            <w:pPr>
              <w:pStyle w:val="nTable"/>
              <w:spacing w:before="10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before="100"/>
              <w:rPr>
                <w:i/>
                <w:sz w:val="19"/>
              </w:rPr>
            </w:pPr>
            <w:r>
              <w:rPr>
                <w:i/>
                <w:sz w:val="19"/>
              </w:rPr>
              <w:t xml:space="preserve">Sentencing Amendment Regulations (No. 2) 2004 </w:t>
            </w:r>
          </w:p>
        </w:tc>
        <w:tc>
          <w:tcPr>
            <w:tcW w:w="1276" w:type="dxa"/>
            <w:tcBorders>
              <w:top w:val="nil"/>
              <w:bottom w:val="nil"/>
            </w:tcBorders>
          </w:tcPr>
          <w:p>
            <w:pPr>
              <w:pStyle w:val="nTable"/>
              <w:spacing w:before="100"/>
              <w:rPr>
                <w:sz w:val="19"/>
              </w:rPr>
            </w:pPr>
            <w:r>
              <w:rPr>
                <w:sz w:val="19"/>
              </w:rPr>
              <w:t>14 May 2004 p. 1448-51</w:t>
            </w:r>
          </w:p>
        </w:tc>
        <w:tc>
          <w:tcPr>
            <w:tcW w:w="2693" w:type="dxa"/>
            <w:tcBorders>
              <w:top w:val="nil"/>
              <w:bottom w:val="nil"/>
            </w:tcBorders>
          </w:tcPr>
          <w:p>
            <w:pPr>
              <w:pStyle w:val="nTable"/>
              <w:spacing w:before="10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before="100"/>
              <w:rPr>
                <w:i/>
                <w:sz w:val="19"/>
              </w:rPr>
            </w:pPr>
            <w:r>
              <w:rPr>
                <w:i/>
                <w:sz w:val="19"/>
              </w:rPr>
              <w:t>Sentencing Amendment Regulations 2004</w:t>
            </w:r>
          </w:p>
        </w:tc>
        <w:tc>
          <w:tcPr>
            <w:tcW w:w="1276" w:type="dxa"/>
            <w:tcBorders>
              <w:top w:val="nil"/>
              <w:bottom w:val="nil"/>
            </w:tcBorders>
          </w:tcPr>
          <w:p>
            <w:pPr>
              <w:pStyle w:val="nTable"/>
              <w:spacing w:before="100"/>
              <w:rPr>
                <w:sz w:val="19"/>
              </w:rPr>
            </w:pPr>
            <w:r>
              <w:rPr>
                <w:sz w:val="19"/>
              </w:rPr>
              <w:t>3 Aug 2004 p. 3125</w:t>
            </w:r>
          </w:p>
        </w:tc>
        <w:tc>
          <w:tcPr>
            <w:tcW w:w="2693" w:type="dxa"/>
            <w:tcBorders>
              <w:top w:val="nil"/>
              <w:bottom w:val="nil"/>
            </w:tcBorders>
          </w:tcPr>
          <w:p>
            <w:pPr>
              <w:pStyle w:val="nTable"/>
              <w:spacing w:before="100"/>
              <w:rPr>
                <w:sz w:val="19"/>
              </w:rPr>
            </w:pPr>
            <w:r>
              <w:rPr>
                <w:sz w:val="19"/>
              </w:rPr>
              <w:t>3 Aug 2004</w:t>
            </w:r>
          </w:p>
        </w:tc>
      </w:tr>
      <w:tr>
        <w:tc>
          <w:tcPr>
            <w:tcW w:w="3118" w:type="dxa"/>
            <w:tcBorders>
              <w:top w:val="nil"/>
              <w:bottom w:val="nil"/>
            </w:tcBorders>
          </w:tcPr>
          <w:p>
            <w:pPr>
              <w:pStyle w:val="nTable"/>
              <w:spacing w:before="100"/>
              <w:rPr>
                <w:i/>
                <w:sz w:val="19"/>
              </w:rPr>
            </w:pPr>
            <w:r>
              <w:rPr>
                <w:i/>
                <w:sz w:val="19"/>
              </w:rPr>
              <w:t>Sentencing Amendment Regulations (No. 3) 2004</w:t>
            </w:r>
          </w:p>
        </w:tc>
        <w:tc>
          <w:tcPr>
            <w:tcW w:w="1276" w:type="dxa"/>
            <w:tcBorders>
              <w:top w:val="nil"/>
              <w:bottom w:val="nil"/>
            </w:tcBorders>
          </w:tcPr>
          <w:p>
            <w:pPr>
              <w:pStyle w:val="nTable"/>
              <w:spacing w:before="100"/>
              <w:rPr>
                <w:sz w:val="19"/>
              </w:rPr>
            </w:pPr>
            <w:r>
              <w:rPr>
                <w:sz w:val="19"/>
              </w:rPr>
              <w:t>31 Dec 2004 p. 7150</w:t>
            </w:r>
            <w:r>
              <w:rPr>
                <w:sz w:val="19"/>
              </w:rPr>
              <w:noBreakHyphen/>
              <w:t>1</w:t>
            </w:r>
          </w:p>
        </w:tc>
        <w:tc>
          <w:tcPr>
            <w:tcW w:w="2693" w:type="dxa"/>
            <w:tcBorders>
              <w:top w:val="nil"/>
              <w:bottom w:val="nil"/>
            </w:tcBorders>
          </w:tcPr>
          <w:p>
            <w:pPr>
              <w:pStyle w:val="nTable"/>
              <w:spacing w:before="100"/>
              <w:rPr>
                <w:sz w:val="19"/>
              </w:rPr>
            </w:pPr>
            <w:r>
              <w:rPr>
                <w:sz w:val="19"/>
              </w:rPr>
              <w:t>31 Dec 2004</w:t>
            </w:r>
          </w:p>
        </w:tc>
      </w:tr>
      <w:tr>
        <w:tc>
          <w:tcPr>
            <w:tcW w:w="3118" w:type="dxa"/>
            <w:tcBorders>
              <w:top w:val="nil"/>
              <w:bottom w:val="nil"/>
            </w:tcBorders>
          </w:tcPr>
          <w:p>
            <w:pPr>
              <w:pStyle w:val="nTable"/>
              <w:spacing w:before="100"/>
              <w:rPr>
                <w:i/>
                <w:sz w:val="19"/>
              </w:rPr>
            </w:pPr>
            <w:r>
              <w:rPr>
                <w:i/>
                <w:sz w:val="19"/>
              </w:rPr>
              <w:t>Sentencing Amendment Regulations 2005</w:t>
            </w:r>
          </w:p>
        </w:tc>
        <w:tc>
          <w:tcPr>
            <w:tcW w:w="1276" w:type="dxa"/>
            <w:tcBorders>
              <w:top w:val="nil"/>
              <w:bottom w:val="nil"/>
            </w:tcBorders>
          </w:tcPr>
          <w:p>
            <w:pPr>
              <w:pStyle w:val="nTable"/>
              <w:spacing w:before="100"/>
              <w:rPr>
                <w:sz w:val="19"/>
              </w:rPr>
            </w:pPr>
            <w:r>
              <w:rPr>
                <w:sz w:val="19"/>
              </w:rPr>
              <w:t>28 Apr 2005 p. 1764-5</w:t>
            </w:r>
          </w:p>
        </w:tc>
        <w:tc>
          <w:tcPr>
            <w:tcW w:w="2693" w:type="dxa"/>
            <w:tcBorders>
              <w:top w:val="nil"/>
              <w:bottom w:val="nil"/>
            </w:tcBorders>
          </w:tcPr>
          <w:p>
            <w:pPr>
              <w:pStyle w:val="nTable"/>
              <w:spacing w:before="100"/>
              <w:rPr>
                <w:sz w:val="19"/>
              </w:rPr>
            </w:pPr>
            <w:r>
              <w:rPr>
                <w:sz w:val="19"/>
              </w:rPr>
              <w:t>2 May 2005 (see r. 2)</w:t>
            </w:r>
          </w:p>
        </w:tc>
      </w:tr>
      <w:tr>
        <w:tc>
          <w:tcPr>
            <w:tcW w:w="3118" w:type="dxa"/>
            <w:tcBorders>
              <w:top w:val="nil"/>
              <w:bottom w:val="single" w:sz="4" w:space="0" w:color="auto"/>
            </w:tcBorders>
          </w:tcPr>
          <w:p>
            <w:pPr>
              <w:pStyle w:val="nTable"/>
              <w:spacing w:before="100"/>
              <w:rPr>
                <w:i/>
                <w:sz w:val="19"/>
              </w:rPr>
            </w:pPr>
            <w:r>
              <w:rPr>
                <w:i/>
                <w:sz w:val="19"/>
              </w:rPr>
              <w:t>Sentencing Amendment Regulations (No. 2) 2005</w:t>
            </w:r>
          </w:p>
        </w:tc>
        <w:tc>
          <w:tcPr>
            <w:tcW w:w="1276" w:type="dxa"/>
            <w:tcBorders>
              <w:top w:val="nil"/>
              <w:bottom w:val="single" w:sz="4" w:space="0" w:color="auto"/>
            </w:tcBorders>
          </w:tcPr>
          <w:p>
            <w:pPr>
              <w:pStyle w:val="nTable"/>
              <w:spacing w:before="100"/>
              <w:rPr>
                <w:sz w:val="19"/>
              </w:rPr>
            </w:pPr>
            <w:r>
              <w:rPr>
                <w:sz w:val="19"/>
              </w:rPr>
              <w:t>24 Jan 2006 p. 429-31</w:t>
            </w:r>
          </w:p>
        </w:tc>
        <w:tc>
          <w:tcPr>
            <w:tcW w:w="2693" w:type="dxa"/>
            <w:tcBorders>
              <w:top w:val="nil"/>
              <w:bottom w:val="single" w:sz="4" w:space="0" w:color="auto"/>
            </w:tcBorders>
          </w:tcPr>
          <w:p>
            <w:pPr>
              <w:pStyle w:val="nTable"/>
              <w:spacing w:before="100"/>
              <w:rPr>
                <w:sz w:val="19"/>
              </w:rPr>
            </w:pPr>
            <w:r>
              <w:rPr>
                <w:sz w:val="19"/>
              </w:rPr>
              <w:t>24 Jan 2006</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Sentencing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fldSimple w:instr=" STYLEREF CharSchText \* MERGEFORMAT ">
            <w:r>
              <w:rPr>
                <w:b w:val="0"/>
                <w:noProof/>
              </w:rPr>
              <w:t>Forms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b w:val="0"/>
                <w:noProof/>
              </w:rPr>
              <w:t>Forms</w:t>
            </w:r>
          </w:fldSimple>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836"/>
    <w:docVar w:name="WAFER_20151210114836" w:val="RemoveTrackChanges"/>
    <w:docVar w:name="WAFER_20151210114836_GUID" w:val="15ae9bbf-8c29-4d01-a9a6-666f884606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6372</Words>
  <Characters>30334</Characters>
  <Application>Microsoft Office Word</Application>
  <DocSecurity>0</DocSecurity>
  <Lines>1318</Lines>
  <Paragraphs>815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1996 - 01-f0-03</dc:title>
  <dc:subject/>
  <dc:creator/>
  <cp:keywords/>
  <dc:description/>
  <cp:lastModifiedBy>svcMRProcess</cp:lastModifiedBy>
  <cp:revision>4</cp:revision>
  <cp:lastPrinted>2002-09-26T02:37:00Z</cp:lastPrinted>
  <dcterms:created xsi:type="dcterms:W3CDTF">2015-12-12T07:37:00Z</dcterms:created>
  <dcterms:modified xsi:type="dcterms:W3CDTF">2015-12-12T07:37:00Z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20060124</vt:lpwstr>
  </property>
  <property fmtid="{D5CDD505-2E9C-101B-9397-08002B2CF9AE}" pid="4" name="DocumentType">
    <vt:lpwstr>Reg</vt:lpwstr>
  </property>
  <property fmtid="{D5CDD505-2E9C-101B-9397-08002B2CF9AE}" pid="5" name="OwlsUID">
    <vt:i4>4770</vt:i4>
  </property>
  <property fmtid="{D5CDD505-2E9C-101B-9397-08002B2CF9AE}" pid="6" name="AsAtDate">
    <vt:lpwstr>24 Jan 2006</vt:lpwstr>
  </property>
  <property fmtid="{D5CDD505-2E9C-101B-9397-08002B2CF9AE}" pid="7" name="Suffix">
    <vt:lpwstr>01-f0-03</vt:lpwstr>
  </property>
</Properties>
</file>