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_Toc55312669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_Toc55312670 \h </w:instrText>
      </w:r>
      <w:r>
        <w:fldChar w:fldCharType="separate"/>
      </w:r>
      <w:r>
        <w:t>1</w:t>
      </w:r>
      <w:r>
        <w:fldChar w:fldCharType="end"/>
      </w:r>
    </w:p>
    <w:p>
      <w:pPr>
        <w:pStyle w:val="TOC8"/>
        <w:rPr>
          <w:rFonts w:asciiTheme="minorHAnsi" w:eastAsiaTheme="minorEastAsia" w:hAnsiTheme="minorHAnsi" w:cstheme="minorBidi"/>
          <w:szCs w:val="22"/>
        </w:rPr>
      </w:pPr>
      <w:r>
        <w:t>3.</w:t>
      </w:r>
      <w:r>
        <w:tab/>
        <w:t>Metropolitan area (Act s. 4)</w:t>
      </w:r>
      <w:r>
        <w:tab/>
      </w:r>
      <w:r>
        <w:fldChar w:fldCharType="begin"/>
      </w:r>
      <w:r>
        <w:instrText xml:space="preserve"> PAGEREF _Toc55312671 \h </w:instrText>
      </w:r>
      <w:r>
        <w:fldChar w:fldCharType="separate"/>
      </w:r>
      <w:r>
        <w:t>1</w:t>
      </w:r>
      <w:r>
        <w:fldChar w:fldCharType="end"/>
      </w:r>
    </w:p>
    <w:p>
      <w:pPr>
        <w:pStyle w:val="TOC8"/>
        <w:rPr>
          <w:rFonts w:asciiTheme="minorHAnsi" w:eastAsiaTheme="minorEastAsia" w:hAnsiTheme="minorHAnsi" w:cstheme="minorBidi"/>
          <w:szCs w:val="22"/>
        </w:rPr>
      </w:pPr>
      <w:r>
        <w:t>4A.</w:t>
      </w:r>
      <w:r>
        <w:tab/>
        <w:t>Psychiatrists (Act s. 4)</w:t>
      </w:r>
      <w:r>
        <w:tab/>
      </w:r>
      <w:r>
        <w:fldChar w:fldCharType="begin"/>
      </w:r>
      <w:r>
        <w:instrText xml:space="preserve"> PAGEREF _Toc55312672 \h </w:instrText>
      </w:r>
      <w:r>
        <w:fldChar w:fldCharType="separate"/>
      </w:r>
      <w:r>
        <w:t>1</w:t>
      </w:r>
      <w:r>
        <w:fldChar w:fldCharType="end"/>
      </w:r>
    </w:p>
    <w:p>
      <w:pPr>
        <w:pStyle w:val="TOC8"/>
        <w:rPr>
          <w:rFonts w:asciiTheme="minorHAnsi" w:eastAsiaTheme="minorEastAsia" w:hAnsiTheme="minorHAnsi" w:cstheme="minorBidi"/>
          <w:szCs w:val="22"/>
        </w:rPr>
      </w:pPr>
      <w:r>
        <w:t>4.</w:t>
      </w:r>
      <w:r>
        <w:tab/>
        <w:t>Standards for diagnosing mental illness (Act s. 6(4))</w:t>
      </w:r>
      <w:r>
        <w:tab/>
      </w:r>
      <w:r>
        <w:fldChar w:fldCharType="begin"/>
      </w:r>
      <w:r>
        <w:instrText xml:space="preserve"> PAGEREF _Toc55312673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authorised to exercise powers under section 172 of the Act (Act s. 83(2)(c), 86(c), 130(3) and 225)</w:t>
      </w:r>
      <w:r>
        <w:tab/>
      </w:r>
      <w:r>
        <w:fldChar w:fldCharType="begin"/>
      </w:r>
      <w:r>
        <w:instrText xml:space="preserve"> PAGEREF _Toc55312674 \h </w:instrText>
      </w:r>
      <w:r>
        <w:fldChar w:fldCharType="separate"/>
      </w:r>
      <w:r>
        <w:t>3</w:t>
      </w:r>
      <w:r>
        <w:fldChar w:fldCharType="end"/>
      </w:r>
    </w:p>
    <w:p>
      <w:pPr>
        <w:pStyle w:val="TOC8"/>
        <w:rPr>
          <w:rFonts w:asciiTheme="minorHAnsi" w:eastAsiaTheme="minorEastAsia" w:hAnsiTheme="minorHAnsi" w:cstheme="minorBidi"/>
          <w:szCs w:val="22"/>
        </w:rPr>
      </w:pPr>
      <w:r>
        <w:t>6.</w:t>
      </w:r>
      <w:r>
        <w:tab/>
        <w:t>Persons authorised to carry out apprehension and return orders (Act s. 99)</w:t>
      </w:r>
      <w:r>
        <w:tab/>
      </w:r>
      <w:r>
        <w:fldChar w:fldCharType="begin"/>
      </w:r>
      <w:r>
        <w:instrText xml:space="preserve"> PAGEREF _Toc55312675 \h </w:instrText>
      </w:r>
      <w:r>
        <w:fldChar w:fldCharType="separate"/>
      </w:r>
      <w:r>
        <w:t>3</w:t>
      </w:r>
      <w:r>
        <w:fldChar w:fldCharType="end"/>
      </w:r>
    </w:p>
    <w:p>
      <w:pPr>
        <w:pStyle w:val="TOC8"/>
        <w:rPr>
          <w:rFonts w:asciiTheme="minorHAnsi" w:eastAsiaTheme="minorEastAsia" w:hAnsiTheme="minorHAnsi" w:cstheme="minorBidi"/>
          <w:szCs w:val="22"/>
        </w:rPr>
      </w:pPr>
      <w:r>
        <w:t>7.</w:t>
      </w:r>
      <w:r>
        <w:tab/>
        <w:t>Transport officers (Act s. 147)</w:t>
      </w:r>
      <w:r>
        <w:tab/>
      </w:r>
      <w:r>
        <w:fldChar w:fldCharType="begin"/>
      </w:r>
      <w:r>
        <w:instrText xml:space="preserve"> PAGEREF _Toc55312676 \h </w:instrText>
      </w:r>
      <w:r>
        <w:fldChar w:fldCharType="separate"/>
      </w:r>
      <w:r>
        <w:t>3</w:t>
      </w:r>
      <w:r>
        <w:fldChar w:fldCharType="end"/>
      </w:r>
    </w:p>
    <w:p>
      <w:pPr>
        <w:pStyle w:val="TOC8"/>
        <w:rPr>
          <w:rFonts w:asciiTheme="minorHAnsi" w:eastAsiaTheme="minorEastAsia" w:hAnsiTheme="minorHAnsi" w:cstheme="minorBidi"/>
          <w:szCs w:val="22"/>
        </w:rPr>
      </w:pPr>
      <w:r>
        <w:t>8.</w:t>
      </w:r>
      <w:r>
        <w:tab/>
        <w:t>Power of transport officers to enter premises (Act s. 159(3))</w:t>
      </w:r>
      <w:r>
        <w:tab/>
      </w:r>
      <w:r>
        <w:fldChar w:fldCharType="begin"/>
      </w:r>
      <w:r>
        <w:instrText xml:space="preserve"> PAGEREF _Toc55312677 \h </w:instrText>
      </w:r>
      <w:r>
        <w:fldChar w:fldCharType="separate"/>
      </w:r>
      <w:r>
        <w:t>4</w:t>
      </w:r>
      <w:r>
        <w:fldChar w:fldCharType="end"/>
      </w:r>
    </w:p>
    <w:p>
      <w:pPr>
        <w:pStyle w:val="TOC8"/>
        <w:rPr>
          <w:rFonts w:asciiTheme="minorHAnsi" w:eastAsiaTheme="minorEastAsia" w:hAnsiTheme="minorHAnsi" w:cstheme="minorBidi"/>
          <w:szCs w:val="22"/>
        </w:rPr>
      </w:pPr>
      <w:r>
        <w:t>9.</w:t>
      </w:r>
      <w:r>
        <w:tab/>
        <w:t>Persons authorised to exercise search and seizure powers (Act s. 161)</w:t>
      </w:r>
      <w:r>
        <w:tab/>
      </w:r>
      <w:r>
        <w:fldChar w:fldCharType="begin"/>
      </w:r>
      <w:r>
        <w:instrText xml:space="preserve"> PAGEREF _Toc55312678 \h </w:instrText>
      </w:r>
      <w:r>
        <w:fldChar w:fldCharType="separate"/>
      </w:r>
      <w:r>
        <w:t>4</w:t>
      </w:r>
      <w:r>
        <w:fldChar w:fldCharType="end"/>
      </w:r>
    </w:p>
    <w:p>
      <w:pPr>
        <w:pStyle w:val="TOC8"/>
        <w:rPr>
          <w:rFonts w:asciiTheme="minorHAnsi" w:eastAsiaTheme="minorEastAsia" w:hAnsiTheme="minorHAnsi" w:cstheme="minorBidi"/>
          <w:szCs w:val="22"/>
        </w:rPr>
      </w:pPr>
      <w:r>
        <w:t>10.</w:t>
      </w:r>
      <w:r>
        <w:tab/>
        <w:t>Explanation of rights (Act s. 244 and 245)</w:t>
      </w:r>
      <w:r>
        <w:tab/>
      </w:r>
      <w:r>
        <w:fldChar w:fldCharType="begin"/>
      </w:r>
      <w:r>
        <w:instrText xml:space="preserve"> PAGEREF _Toc55312679 \h </w:instrText>
      </w:r>
      <w:r>
        <w:fldChar w:fldCharType="separate"/>
      </w:r>
      <w:r>
        <w:t>5</w:t>
      </w:r>
      <w:r>
        <w:fldChar w:fldCharType="end"/>
      </w:r>
    </w:p>
    <w:p>
      <w:pPr>
        <w:pStyle w:val="TOC8"/>
        <w:rPr>
          <w:rFonts w:asciiTheme="minorHAnsi" w:eastAsiaTheme="minorEastAsia" w:hAnsiTheme="minorHAnsi" w:cstheme="minorBidi"/>
          <w:szCs w:val="22"/>
        </w:rPr>
      </w:pPr>
      <w:r>
        <w:t>11.</w:t>
      </w:r>
      <w:r>
        <w:tab/>
        <w:t>Provision of information to, or involvement of, patient’s nominated person by a person other than psychiatrist (Act s. 267)</w:t>
      </w:r>
      <w:r>
        <w:tab/>
      </w:r>
      <w:r>
        <w:fldChar w:fldCharType="begin"/>
      </w:r>
      <w:r>
        <w:instrText xml:space="preserve"> PAGEREF _Toc55312680 \h </w:instrText>
      </w:r>
      <w:r>
        <w:fldChar w:fldCharType="separate"/>
      </w:r>
      <w:r>
        <w:t>5</w:t>
      </w:r>
      <w:r>
        <w:fldChar w:fldCharType="end"/>
      </w:r>
    </w:p>
    <w:p>
      <w:pPr>
        <w:pStyle w:val="TOC8"/>
        <w:rPr>
          <w:rFonts w:asciiTheme="minorHAnsi" w:eastAsiaTheme="minorEastAsia" w:hAnsiTheme="minorHAnsi" w:cstheme="minorBidi"/>
          <w:szCs w:val="22"/>
        </w:rPr>
      </w:pPr>
      <w:r>
        <w:t>12.</w:t>
      </w:r>
      <w:r>
        <w:tab/>
        <w:t>Provision of information to, or involvement of, carer or close family member by a person other than psychiatrist (Act s. 290)</w:t>
      </w:r>
      <w:r>
        <w:tab/>
      </w:r>
      <w:r>
        <w:fldChar w:fldCharType="begin"/>
      </w:r>
      <w:r>
        <w:instrText xml:space="preserve"> PAGEREF _Toc55312681 \h </w:instrText>
      </w:r>
      <w:r>
        <w:fldChar w:fldCharType="separate"/>
      </w:r>
      <w:r>
        <w:t>5</w:t>
      </w:r>
      <w:r>
        <w:fldChar w:fldCharType="end"/>
      </w:r>
    </w:p>
    <w:p>
      <w:pPr>
        <w:pStyle w:val="TOC8"/>
        <w:rPr>
          <w:rFonts w:asciiTheme="minorHAnsi" w:eastAsiaTheme="minorEastAsia" w:hAnsiTheme="minorHAnsi" w:cstheme="minorBidi"/>
          <w:szCs w:val="22"/>
        </w:rPr>
      </w:pPr>
      <w:r>
        <w:t>13.</w:t>
      </w:r>
      <w:r>
        <w:tab/>
        <w:t>Standards for provision of mental health services (Act s. 333(3)(c))</w:t>
      </w:r>
      <w:r>
        <w:tab/>
      </w:r>
      <w:r>
        <w:fldChar w:fldCharType="begin"/>
      </w:r>
      <w:r>
        <w:instrText xml:space="preserve"> PAGEREF _Toc55312682 \h </w:instrText>
      </w:r>
      <w:r>
        <w:fldChar w:fldCharType="separate"/>
      </w:r>
      <w:r>
        <w:t>6</w:t>
      </w:r>
      <w:r>
        <w:fldChar w:fldCharType="end"/>
      </w:r>
    </w:p>
    <w:p>
      <w:pPr>
        <w:pStyle w:val="TOC8"/>
        <w:rPr>
          <w:rFonts w:asciiTheme="minorHAnsi" w:eastAsiaTheme="minorEastAsia" w:hAnsiTheme="minorHAnsi" w:cstheme="minorBidi"/>
          <w:szCs w:val="22"/>
        </w:rPr>
      </w:pPr>
      <w:r>
        <w:t>14.</w:t>
      </w:r>
      <w:r>
        <w:tab/>
        <w:t>Specific powers of mental health advocates (Act s. 359(1)(g))</w:t>
      </w:r>
      <w:r>
        <w:tab/>
      </w:r>
      <w:r>
        <w:fldChar w:fldCharType="begin"/>
      </w:r>
      <w:r>
        <w:instrText xml:space="preserve"> PAGEREF _Toc55312683 \h </w:instrText>
      </w:r>
      <w:r>
        <w:fldChar w:fldCharType="separate"/>
      </w:r>
      <w:r>
        <w:t>6</w:t>
      </w:r>
      <w:r>
        <w:fldChar w:fldCharType="end"/>
      </w:r>
    </w:p>
    <w:p>
      <w:pPr>
        <w:pStyle w:val="TOC8"/>
        <w:rPr>
          <w:rFonts w:asciiTheme="minorHAnsi" w:eastAsiaTheme="minorEastAsia" w:hAnsiTheme="minorHAnsi" w:cstheme="minorBidi"/>
          <w:szCs w:val="22"/>
        </w:rPr>
      </w:pPr>
      <w:r>
        <w:t>15.</w:t>
      </w:r>
      <w:r>
        <w:tab/>
        <w:t>Conflict of interest (Act s. 373(4)(f))</w:t>
      </w:r>
      <w:r>
        <w:tab/>
      </w:r>
      <w:r>
        <w:fldChar w:fldCharType="begin"/>
      </w:r>
      <w:r>
        <w:instrText xml:space="preserve"> PAGEREF _Toc55312684 \h </w:instrText>
      </w:r>
      <w:r>
        <w:fldChar w:fldCharType="separate"/>
      </w:r>
      <w:r>
        <w:t>7</w:t>
      </w:r>
      <w:r>
        <w:fldChar w:fldCharType="end"/>
      </w:r>
    </w:p>
    <w:p>
      <w:pPr>
        <w:pStyle w:val="TOC8"/>
        <w:rPr>
          <w:rFonts w:asciiTheme="minorHAnsi" w:eastAsiaTheme="minorEastAsia" w:hAnsiTheme="minorHAnsi" w:cstheme="minorBidi"/>
          <w:szCs w:val="22"/>
        </w:rPr>
      </w:pPr>
      <w:r>
        <w:lastRenderedPageBreak/>
        <w:t>16.</w:t>
      </w:r>
      <w:r>
        <w:tab/>
        <w:t>Particulars of involuntary patients to be kept by registrar of Mental Health Tribunal (Act s. 484(a))</w:t>
      </w:r>
      <w:r>
        <w:tab/>
      </w:r>
      <w:r>
        <w:fldChar w:fldCharType="begin"/>
      </w:r>
      <w:r>
        <w:instrText xml:space="preserve"> PAGEREF _Toc55312685 \h </w:instrText>
      </w:r>
      <w:r>
        <w:fldChar w:fldCharType="separate"/>
      </w:r>
      <w:r>
        <w:t>7</w:t>
      </w:r>
      <w:r>
        <w:fldChar w:fldCharType="end"/>
      </w:r>
    </w:p>
    <w:p>
      <w:pPr>
        <w:pStyle w:val="TOC8"/>
        <w:rPr>
          <w:rFonts w:asciiTheme="minorHAnsi" w:eastAsiaTheme="minorEastAsia" w:hAnsiTheme="minorHAnsi" w:cstheme="minorBidi"/>
          <w:szCs w:val="22"/>
        </w:rPr>
      </w:pPr>
      <w:r>
        <w:t>17.</w:t>
      </w:r>
      <w:r>
        <w:tab/>
        <w:t>Authorised mental health practitioners (Act s. 539(4))</w:t>
      </w:r>
      <w:r>
        <w:tab/>
      </w:r>
      <w:r>
        <w:fldChar w:fldCharType="begin"/>
      </w:r>
      <w:r>
        <w:instrText xml:space="preserve"> PAGEREF _Toc55312686 \h </w:instrText>
      </w:r>
      <w:r>
        <w:fldChar w:fldCharType="separate"/>
      </w:r>
      <w:r>
        <w:t>8</w:t>
      </w:r>
      <w:r>
        <w:fldChar w:fldCharType="end"/>
      </w:r>
    </w:p>
    <w:p>
      <w:pPr>
        <w:pStyle w:val="TOC8"/>
        <w:rPr>
          <w:rFonts w:asciiTheme="minorHAnsi" w:eastAsiaTheme="minorEastAsia" w:hAnsiTheme="minorHAnsi" w:cstheme="minorBidi"/>
          <w:szCs w:val="22"/>
        </w:rPr>
      </w:pPr>
      <w:r>
        <w:t>18.</w:t>
      </w:r>
      <w:r>
        <w:tab/>
        <w:t>Transfer of patients where public hospital no longer authorised (Act s. 543(2))</w:t>
      </w:r>
      <w:r>
        <w:tab/>
      </w:r>
      <w:r>
        <w:fldChar w:fldCharType="begin"/>
      </w:r>
      <w:r>
        <w:instrText xml:space="preserve"> PAGEREF _Toc55312687 \h </w:instrText>
      </w:r>
      <w:r>
        <w:fldChar w:fldCharType="separate"/>
      </w:r>
      <w:r>
        <w:t>10</w:t>
      </w:r>
      <w:r>
        <w:fldChar w:fldCharType="end"/>
      </w:r>
    </w:p>
    <w:p>
      <w:pPr>
        <w:pStyle w:val="TOC8"/>
        <w:rPr>
          <w:rFonts w:asciiTheme="minorHAnsi" w:eastAsiaTheme="minorEastAsia" w:hAnsiTheme="minorHAnsi" w:cstheme="minorBidi"/>
          <w:szCs w:val="22"/>
        </w:rPr>
      </w:pPr>
      <w:r>
        <w:t>19.</w:t>
      </w:r>
      <w:r>
        <w:tab/>
        <w:t>Prescribed State authorities (Act s. 573(1))</w:t>
      </w:r>
      <w:r>
        <w:tab/>
      </w:r>
      <w:r>
        <w:fldChar w:fldCharType="begin"/>
      </w:r>
      <w:r>
        <w:instrText xml:space="preserve"> PAGEREF _Toc55312688 \h </w:instrText>
      </w:r>
      <w:r>
        <w:fldChar w:fldCharType="separate"/>
      </w:r>
      <w:r>
        <w:t>11</w:t>
      </w:r>
      <w:r>
        <w:fldChar w:fldCharType="end"/>
      </w:r>
    </w:p>
    <w:p>
      <w:pPr>
        <w:pStyle w:val="TOC8"/>
        <w:rPr>
          <w:rFonts w:asciiTheme="minorHAnsi" w:eastAsiaTheme="minorEastAsia" w:hAnsiTheme="minorHAnsi" w:cstheme="minorBidi"/>
          <w:szCs w:val="22"/>
        </w:rPr>
      </w:pPr>
      <w:r>
        <w:t>20.</w:t>
      </w:r>
      <w:r>
        <w:tab/>
        <w:t>Prescribed authorised recording, disclosure or use of information (Act s. 577(1)(h))</w:t>
      </w:r>
      <w:r>
        <w:tab/>
      </w:r>
      <w:r>
        <w:fldChar w:fldCharType="begin"/>
      </w:r>
      <w:r>
        <w:instrText xml:space="preserve"> PAGEREF _Toc55312689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authorised to exercise powers under section 172 of the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_Toc55312692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Mental Health Act 2014</w:t>
      </w:r>
    </w:p>
    <w:p>
      <w:pPr>
        <w:pStyle w:val="NameofActReg"/>
      </w:pPr>
      <w:r>
        <w:t>Mental Health Regulations 2015</w:t>
      </w:r>
    </w:p>
    <w:p>
      <w:pPr>
        <w:pStyle w:val="Heading5"/>
      </w:pPr>
      <w:bookmarkStart w:id="3" w:name="_Toc55312669"/>
      <w:r>
        <w:rPr>
          <w:rStyle w:val="CharSectno"/>
        </w:rPr>
        <w:t>1</w:t>
      </w:r>
      <w:r>
        <w:t>.</w:t>
      </w:r>
      <w:r>
        <w:tab/>
        <w:t>Citation</w:t>
      </w:r>
      <w:bookmarkEnd w:id="3"/>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55312670"/>
      <w:r>
        <w:rPr>
          <w:rStyle w:val="CharSectno"/>
        </w:rPr>
        <w:t>2</w:t>
      </w:r>
      <w:r>
        <w:rPr>
          <w:spacing w:val="-2"/>
        </w:rPr>
        <w:t>.</w:t>
      </w:r>
      <w:r>
        <w:rPr>
          <w:spacing w:val="-2"/>
        </w:rPr>
        <w:tab/>
        <w:t>Commencement</w:t>
      </w:r>
      <w:bookmarkEnd w:id="5"/>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6" w:name="_Toc55312671"/>
      <w:r>
        <w:rPr>
          <w:rStyle w:val="CharSectno"/>
        </w:rPr>
        <w:t>3</w:t>
      </w:r>
      <w:r>
        <w:t>.</w:t>
      </w:r>
      <w:r>
        <w:tab/>
        <w:t>Metropolitan area (Act s. 4)</w:t>
      </w:r>
      <w:bookmarkEnd w:id="6"/>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7" w:name="_Toc55312672"/>
      <w:r>
        <w:rPr>
          <w:rStyle w:val="CharSectno"/>
        </w:rPr>
        <w:t>4A</w:t>
      </w:r>
      <w:r>
        <w:t>.</w:t>
      </w:r>
      <w:r>
        <w:tab/>
        <w:t>Psychiatrists (Act s. 4)</w:t>
      </w:r>
      <w:bookmarkEnd w:id="7"/>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b/>
                <w:bCs/>
              </w:rPr>
            </w:pPr>
            <w:r>
              <w:rPr>
                <w:b/>
                <w:bCs/>
              </w:rPr>
              <w:t>Name</w:t>
            </w:r>
          </w:p>
        </w:tc>
        <w:tc>
          <w:tcPr>
            <w:tcW w:w="3034" w:type="dxa"/>
          </w:tcPr>
          <w:p>
            <w:pPr>
              <w:pStyle w:val="TableNAm"/>
              <w:rPr>
                <w:b/>
                <w:bCs/>
              </w:rPr>
            </w:pPr>
            <w:r>
              <w:rPr>
                <w:b/>
                <w:bCs/>
              </w:rPr>
              <w:t>Registration number</w:t>
            </w:r>
          </w:p>
        </w:tc>
      </w:tr>
      <w:tr>
        <w:tc>
          <w:tcPr>
            <w:tcW w:w="3033" w:type="dxa"/>
          </w:tcPr>
          <w:p>
            <w:pPr>
              <w:pStyle w:val="TableNAm"/>
            </w:pPr>
            <w:r>
              <w:t>Thomas Blacklay Mole</w:t>
            </w:r>
          </w:p>
        </w:tc>
        <w:tc>
          <w:tcPr>
            <w:tcW w:w="3034" w:type="dxa"/>
          </w:tcPr>
          <w:p>
            <w:pPr>
              <w:pStyle w:val="TableNAm"/>
            </w:pPr>
            <w:r>
              <w:t>MED0002210280</w:t>
            </w:r>
          </w:p>
        </w:tc>
      </w:tr>
    </w:tbl>
    <w:p>
      <w:pPr>
        <w:pStyle w:val="Footnotesection"/>
      </w:pPr>
      <w:r>
        <w:tab/>
        <w:t>[Regulation 4A inserted: Gazette 27 Nov 2015 p. 4755</w:t>
      </w:r>
      <w:r>
        <w:noBreakHyphen/>
        <w:t>6; amended: Gazette 22 Jul 2016 p. 3133; 18 Aug 2017 p. 4447; 6 Oct 2017 p. 5180; 1 May 2018 p. 1433; 12 Jun 2018 p. 1892; SL 2020/13 r. 4; SL 2020/215 r. 4.]</w:t>
      </w:r>
    </w:p>
    <w:p>
      <w:pPr>
        <w:pStyle w:val="Heading5"/>
      </w:pPr>
      <w:bookmarkStart w:id="8" w:name="_Toc55312673"/>
      <w:r>
        <w:rPr>
          <w:rStyle w:val="CharSectno"/>
        </w:rPr>
        <w:t>4</w:t>
      </w:r>
      <w:r>
        <w:t>.</w:t>
      </w:r>
      <w:r>
        <w:tab/>
        <w:t>Standards for diagnosing mental illness (Act s. 6(4))</w:t>
      </w:r>
      <w:bookmarkEnd w:id="8"/>
      <w:r>
        <w:t xml:space="preserve"> </w:t>
      </w:r>
    </w:p>
    <w:p>
      <w:pPr>
        <w:pStyle w:val="Subsection"/>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9" w:name="_Toc55312674"/>
      <w:r>
        <w:rPr>
          <w:rStyle w:val="CharSectno"/>
        </w:rPr>
        <w:t>5</w:t>
      </w:r>
      <w:r>
        <w:t>.</w:t>
      </w:r>
      <w:r>
        <w:tab/>
        <w:t>Persons authorised to exercise powers under section 172 of the Act (Act s. 83(2)(c), 86(c), 130(3) and 225)</w:t>
      </w:r>
      <w:bookmarkEnd w:id="9"/>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10" w:name="_Toc55312675"/>
      <w:r>
        <w:rPr>
          <w:rStyle w:val="CharSectno"/>
        </w:rPr>
        <w:t>6</w:t>
      </w:r>
      <w:r>
        <w:t>.</w:t>
      </w:r>
      <w:r>
        <w:tab/>
        <w:t>Persons authorised to carry out apprehension and return orders (Act s. 99)</w:t>
      </w:r>
      <w:bookmarkEnd w:id="10"/>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1" w:name="_Toc55312676"/>
      <w:r>
        <w:rPr>
          <w:rStyle w:val="CharSectno"/>
        </w:rPr>
        <w:t>7</w:t>
      </w:r>
      <w:r>
        <w:t>.</w:t>
      </w:r>
      <w:r>
        <w:tab/>
        <w:t>Transport officers (Act s. 147)</w:t>
      </w:r>
      <w:bookmarkEnd w:id="11"/>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12" w:name="_Toc55312677"/>
      <w:r>
        <w:rPr>
          <w:rStyle w:val="CharSectno"/>
        </w:rPr>
        <w:t>8</w:t>
      </w:r>
      <w:r>
        <w:t>.</w:t>
      </w:r>
      <w:r>
        <w:tab/>
        <w:t>Power of transport officers to enter premises (Act s. 159(3))</w:t>
      </w:r>
      <w:bookmarkEnd w:id="12"/>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13" w:name="_Toc55312678"/>
      <w:r>
        <w:rPr>
          <w:rStyle w:val="CharSectno"/>
        </w:rPr>
        <w:t>9</w:t>
      </w:r>
      <w:r>
        <w:t>.</w:t>
      </w:r>
      <w:r>
        <w:tab/>
        <w:t>Persons authorised to exercise search and seizure powers (Act s. 161)</w:t>
      </w:r>
      <w:bookmarkEnd w:id="13"/>
      <w:r>
        <w:t xml:space="preserve"> </w:t>
      </w:r>
    </w:p>
    <w:p>
      <w:pPr>
        <w:pStyle w:val="Subsection"/>
      </w:pPr>
      <w:r>
        <w:tab/>
      </w:r>
      <w:r>
        <w:tab/>
        <w:t xml:space="preserve">For section 161 of the Act, each of these people is authorised to exercise the powers under Part 11 Division 2 of the Act — </w:t>
      </w:r>
    </w:p>
    <w:p>
      <w:pPr>
        <w:pStyle w:val="Indenta"/>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14" w:name="_Toc55312679"/>
      <w:r>
        <w:rPr>
          <w:rStyle w:val="CharSectno"/>
        </w:rPr>
        <w:t>10</w:t>
      </w:r>
      <w:r>
        <w:t>.</w:t>
      </w:r>
      <w:r>
        <w:tab/>
        <w:t>Explanation of rights (Act s. 244 and 245)</w:t>
      </w:r>
      <w:bookmarkEnd w:id="14"/>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5" w:name="_Toc55312680"/>
      <w:r>
        <w:rPr>
          <w:rStyle w:val="CharSectno"/>
        </w:rPr>
        <w:t>11</w:t>
      </w:r>
      <w:r>
        <w:t>.</w:t>
      </w:r>
      <w:r>
        <w:tab/>
        <w:t>Provision of information to, or involvement of, patient’s nominated person by a person other than psychiatrist (Act s. 267)</w:t>
      </w:r>
      <w:bookmarkEnd w:id="15"/>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6" w:name="_Toc55312681"/>
      <w:r>
        <w:rPr>
          <w:rStyle w:val="CharSectno"/>
        </w:rPr>
        <w:t>12</w:t>
      </w:r>
      <w:r>
        <w:t>.</w:t>
      </w:r>
      <w:r>
        <w:tab/>
        <w:t>Provision of information to, or involvement of, carer or close family member by a person other than psychiatrist (Act s. 290)</w:t>
      </w:r>
      <w:bookmarkEnd w:id="16"/>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17" w:name="_Toc55312682"/>
      <w:r>
        <w:rPr>
          <w:rStyle w:val="CharSectno"/>
        </w:rPr>
        <w:t>13</w:t>
      </w:r>
      <w:r>
        <w:t>.</w:t>
      </w:r>
      <w:r>
        <w:tab/>
        <w:t>Standards for provision of mental health services (Act s. 333(3)(c))</w:t>
      </w:r>
      <w:bookmarkEnd w:id="17"/>
      <w:r>
        <w:t xml:space="preserve"> </w:t>
      </w:r>
    </w:p>
    <w:p>
      <w:pPr>
        <w:pStyle w:val="Subsection"/>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8" w:name="_Toc55312683"/>
      <w:r>
        <w:rPr>
          <w:rStyle w:val="CharSectno"/>
        </w:rPr>
        <w:t>14</w:t>
      </w:r>
      <w:r>
        <w:t>.</w:t>
      </w:r>
      <w:r>
        <w:tab/>
        <w:t>Specific powers of mental health advocates (Act s. 359(1)(g))</w:t>
      </w:r>
      <w:bookmarkEnd w:id="18"/>
    </w:p>
    <w:p>
      <w:pPr>
        <w:pStyle w:val="Subsection"/>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19" w:name="_Toc55312684"/>
      <w:r>
        <w:rPr>
          <w:rStyle w:val="CharSectno"/>
        </w:rPr>
        <w:t>15</w:t>
      </w:r>
      <w:r>
        <w:t>.</w:t>
      </w:r>
      <w:r>
        <w:tab/>
        <w:t>Conflict of interest (Act s. 373(4)(f))</w:t>
      </w:r>
      <w:bookmarkEnd w:id="19"/>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20" w:name="_Toc55312685"/>
      <w:r>
        <w:rPr>
          <w:rStyle w:val="CharSectno"/>
        </w:rPr>
        <w:t>16</w:t>
      </w:r>
      <w:r>
        <w:t>.</w:t>
      </w:r>
      <w:r>
        <w:tab/>
        <w:t>Particulars of involuntary patients to be kept by registrar of Mental Health Tribunal (Act s. 484(a))</w:t>
      </w:r>
      <w:bookmarkEnd w:id="20"/>
      <w:r>
        <w:t xml:space="preserve"> </w:t>
      </w:r>
    </w:p>
    <w:p>
      <w:pPr>
        <w:pStyle w:val="Subsection"/>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21" w:name="_Toc55312686"/>
      <w:r>
        <w:rPr>
          <w:rStyle w:val="CharSectno"/>
        </w:rPr>
        <w:t>17</w:t>
      </w:r>
      <w:r>
        <w:t>.</w:t>
      </w:r>
      <w:r>
        <w:tab/>
        <w:t>Authorised mental health practitioners (Act s. 539(4))</w:t>
      </w:r>
      <w:bookmarkEnd w:id="21"/>
    </w:p>
    <w:p>
      <w:pPr>
        <w:pStyle w:val="Subsection"/>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pPr>
      <w:r>
        <w:tab/>
        <w:t>(5)</w:t>
      </w:r>
      <w:r>
        <w:tab/>
        <w:t xml:space="preserve">For section 539(4)(d) of the Act, the Chief Psychiatrist may revoke the designation of an authorised mental health practitioner under section 539(3) on any of these grounds — </w:t>
      </w:r>
    </w:p>
    <w:p>
      <w:pPr>
        <w:pStyle w:val="Indenta"/>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22" w:name="_Toc55312687"/>
      <w:r>
        <w:rPr>
          <w:rStyle w:val="CharSectno"/>
        </w:rPr>
        <w:t>18</w:t>
      </w:r>
      <w:r>
        <w:t>.</w:t>
      </w:r>
      <w:r>
        <w:tab/>
        <w:t>Transfer of patients where public hospital no longer authorised (Act s. 543(2))</w:t>
      </w:r>
      <w:bookmarkEnd w:id="22"/>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23" w:name="_Toc55312688"/>
      <w:r>
        <w:rPr>
          <w:rStyle w:val="CharSectno"/>
        </w:rPr>
        <w:t>19</w:t>
      </w:r>
      <w:r>
        <w:t>.</w:t>
      </w:r>
      <w:r>
        <w:tab/>
        <w:t>Prescribed State authorities (Act s. 573(1))</w:t>
      </w:r>
      <w:bookmarkEnd w:id="23"/>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24" w:name="_Toc55312689"/>
      <w:r>
        <w:rPr>
          <w:rStyle w:val="CharSectno"/>
        </w:rPr>
        <w:t>20</w:t>
      </w:r>
      <w:r>
        <w:t>.</w:t>
      </w:r>
      <w:r>
        <w:tab/>
        <w:t>Prescribed authorised recording, disclosure or use of information (Act s. 577(1)(h))</w:t>
      </w:r>
      <w:bookmarkEnd w:id="24"/>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5" w:name="_Toc55298561"/>
      <w:bookmarkStart w:id="26" w:name="_Toc55299282"/>
      <w:bookmarkStart w:id="27" w:name="_Toc55312690"/>
      <w:r>
        <w:rPr>
          <w:rStyle w:val="CharSchNo"/>
        </w:rPr>
        <w:t>Schedule 1</w:t>
      </w:r>
      <w:r>
        <w:rPr>
          <w:rStyle w:val="CharSDivNo"/>
        </w:rPr>
        <w:t> </w:t>
      </w:r>
      <w:r>
        <w:t>—</w:t>
      </w:r>
      <w:r>
        <w:rPr>
          <w:rStyle w:val="CharSDivText"/>
        </w:rPr>
        <w:t> </w:t>
      </w:r>
      <w:r>
        <w:rPr>
          <w:rStyle w:val="CharSchText"/>
        </w:rPr>
        <w:t>Persons authorised to exercise powers under section 172 of the Act</w:t>
      </w:r>
      <w:bookmarkEnd w:id="25"/>
      <w:bookmarkEnd w:id="26"/>
      <w:bookmarkEnd w:id="27"/>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29" w:name="_Toc55298562"/>
      <w:bookmarkStart w:id="30" w:name="_Toc55299283"/>
      <w:bookmarkStart w:id="31" w:name="_Toc55312691"/>
      <w:r>
        <w:t>Notes</w:t>
      </w:r>
      <w:bookmarkEnd w:id="29"/>
      <w:bookmarkEnd w:id="30"/>
      <w:bookmarkEnd w:id="31"/>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w:t>
      </w:r>
    </w:p>
    <w:p>
      <w:pPr>
        <w:pStyle w:val="nHeading3"/>
      </w:pPr>
      <w:bookmarkStart w:id="32" w:name="_Toc55312692"/>
      <w:r>
        <w:t>Compilation table</w:t>
      </w:r>
      <w:bookmarkEnd w:id="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93"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t>Mental Health Amendment Regulations 2019</w:t>
            </w:r>
          </w:p>
        </w:tc>
        <w:tc>
          <w:tcPr>
            <w:tcW w:w="1276" w:type="dxa"/>
            <w:tcBorders>
              <w:top w:val="nil"/>
              <w:bottom w:val="nil"/>
            </w:tcBorders>
          </w:tcPr>
          <w:p>
            <w:pPr>
              <w:pStyle w:val="nTable"/>
              <w:keepLines/>
              <w:spacing w:after="40"/>
            </w:pPr>
            <w:r>
              <w:t>8 Oct 2019 p. 3615</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single" w:sz="8" w:space="0" w:color="auto"/>
              <w:right w:val="nil"/>
            </w:tcBorders>
          </w:tcPr>
          <w:p>
            <w:pPr>
              <w:pStyle w:val="nTable"/>
              <w:spacing w:after="40"/>
              <w:rPr>
                <w:i/>
              </w:rPr>
            </w:pPr>
            <w:r>
              <w:rPr>
                <w:i/>
              </w:rPr>
              <w:t>Mental Health Amendment Regulations (No. 3) 2020</w:t>
            </w:r>
          </w:p>
        </w:tc>
        <w:tc>
          <w:tcPr>
            <w:tcW w:w="1276" w:type="dxa"/>
            <w:tcBorders>
              <w:top w:val="nil"/>
              <w:left w:val="nil"/>
              <w:bottom w:val="single" w:sz="8" w:space="0" w:color="auto"/>
              <w:right w:val="nil"/>
            </w:tcBorders>
          </w:tcPr>
          <w:p>
            <w:pPr>
              <w:pStyle w:val="nTable"/>
              <w:keepLines/>
              <w:spacing w:after="40"/>
            </w:pPr>
            <w:r>
              <w:t>SL 2020/215 6 Nov 2020</w:t>
            </w:r>
          </w:p>
        </w:tc>
        <w:tc>
          <w:tcPr>
            <w:tcW w:w="2693" w:type="dxa"/>
            <w:tcBorders>
              <w:top w:val="nil"/>
              <w:left w:val="nil"/>
              <w:bottom w:val="single" w:sz="8" w:space="0" w:color="auto"/>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34" w:name="_Toc55298564"/>
      <w:bookmarkStart w:id="35" w:name="_Toc55299285"/>
      <w:bookmarkStart w:id="36" w:name="_Toc55312693"/>
      <w:r>
        <w:rPr>
          <w:sz w:val="28"/>
        </w:rPr>
        <w:t>Defined terms</w:t>
      </w:r>
      <w:bookmarkEnd w:id="34"/>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public hospital</w:t>
      </w:r>
      <w:r>
        <w:tab/>
        <w:t>18(1)</w:t>
      </w:r>
    </w:p>
    <w:p>
      <w:pPr>
        <w:pStyle w:val="DefinedTerms"/>
      </w:pPr>
      <w:r>
        <w:t>Register of Medical Practitioners</w:t>
      </w:r>
      <w:r>
        <w:tab/>
        <w:t>4A(1)</w:t>
      </w:r>
    </w:p>
    <w:p>
      <w:pPr>
        <w:pStyle w:val="DefinedTerms"/>
      </w:pPr>
      <w:r>
        <w:t>registration number</w:t>
      </w:r>
      <w:r>
        <w:tab/>
        <w:t>4A(1)</w:t>
      </w:r>
    </w:p>
    <w:p>
      <w:pPr>
        <w:pStyle w:val="DefinedTerms"/>
      </w:pPr>
      <w:r>
        <w:t>transport contractor</w:t>
      </w:r>
      <w:r>
        <w:tab/>
        <w:t>7(1)</w:t>
      </w:r>
    </w:p>
    <w:p>
      <w:pPr>
        <w:pStyle w:val="DefinedTerms"/>
      </w:pPr>
      <w:r>
        <w:t>WA Country Health Service</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19</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19</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19</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7160" w:type="dxa"/>
          <w:gridSpan w:val="2"/>
        </w:tcPr>
        <w:p>
          <w:pPr>
            <w:pStyle w:val="Header"/>
            <w:spacing w:before="40"/>
            <w:ind w:right="17"/>
            <w:jc w:val="right"/>
          </w:pP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28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03121150"/>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E71E00-4A09-4CF1-93A9-1171C6CE9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4287</Words>
  <Characters>22302</Characters>
  <Application>Microsoft Office Word</Application>
  <DocSecurity>0</DocSecurity>
  <Lines>719</Lines>
  <Paragraphs>349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2015 - 00-m0-00</dc:title>
  <dc:subject/>
  <dc:creator/>
  <cp:keywords/>
  <dc:description/>
  <cp:lastModifiedBy>svcMRProcess</cp:lastModifiedBy>
  <cp:revision>4</cp:revision>
  <cp:lastPrinted>2019-10-08T03:56:00Z</cp:lastPrinted>
  <dcterms:created xsi:type="dcterms:W3CDTF">2020-11-06T02:44:00Z</dcterms:created>
  <dcterms:modified xsi:type="dcterms:W3CDTF">2020-11-06T02:44:00Z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AsAtDate">
    <vt:lpwstr>07 Nov 2020</vt:lpwstr>
  </property>
  <property fmtid="{D5CDD505-2E9C-101B-9397-08002B2CF9AE}" pid="6" name="Suffix">
    <vt:lpwstr>00-m0-00</vt:lpwstr>
  </property>
  <property fmtid="{D5CDD505-2E9C-101B-9397-08002B2CF9AE}" pid="7" name="CommencementDate">
    <vt:lpwstr>20201107</vt:lpwstr>
  </property>
</Properties>
</file>