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55C6" w:rsidRDefault="00321A8E">
      <w:pPr>
        <w:pStyle w:val="WA"/>
      </w:pPr>
      <w:bookmarkStart w:id="0" w:name="_GoBack"/>
      <w:bookmarkEnd w:id="0"/>
      <w:r>
        <w:rPr>
          <w:noProof/>
          <w:lang w:val="en-US" w:eastAsia="en-US"/>
        </w:rPr>
        <w:drawing>
          <wp:anchor distT="0" distB="0" distL="114300" distR="114300" simplePos="0" relativeHeight="251659264" behindDoc="0" locked="0" layoutInCell="1" allowOverlap="1" wp14:anchorId="46BA4C7D" wp14:editId="74152422">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1C55C6" w:rsidRDefault="00321A8E">
      <w:pPr>
        <w:pStyle w:val="PrincipalActRegPage1"/>
      </w:pPr>
      <w:r>
        <w:fldChar w:fldCharType="begin"/>
      </w:r>
      <w:r>
        <w:instrText xml:space="preserve"> STYLEREF "PrincipalAct_Reg"</w:instrText>
      </w:r>
      <w:r>
        <w:fldChar w:fldCharType="separate"/>
      </w:r>
      <w:r w:rsidR="00554887">
        <w:rPr>
          <w:noProof/>
        </w:rPr>
        <w:t>Petroleum and Geothermal Energy Safety Levies Act 2011</w:t>
      </w:r>
      <w:r>
        <w:fldChar w:fldCharType="end"/>
      </w:r>
    </w:p>
    <w:p w:rsidR="001C55C6" w:rsidRDefault="00321A8E">
      <w:pPr>
        <w:pStyle w:val="NameofActRegPage1"/>
        <w:spacing w:before="1800" w:after="4200"/>
        <w:outlineLvl w:val="0"/>
      </w:pPr>
      <w:r>
        <w:fldChar w:fldCharType="begin"/>
      </w:r>
      <w:r>
        <w:instrText xml:space="preserve"> STYLEREF "Name Of Act/Reg"</w:instrText>
      </w:r>
      <w:r>
        <w:fldChar w:fldCharType="separate"/>
      </w:r>
      <w:r w:rsidR="00554887">
        <w:rPr>
          <w:noProof/>
        </w:rPr>
        <w:t>Petroleum and Geothermal Energy Safety Levies Regulations 2011</w:t>
      </w:r>
      <w:r>
        <w:fldChar w:fldCharType="end"/>
      </w:r>
    </w:p>
    <w:p w:rsidR="001C55C6" w:rsidRDefault="001C55C6">
      <w:pPr>
        <w:jc w:val="center"/>
        <w:sectPr w:rsidR="001C55C6">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86213F" w:rsidRDefault="0086213F">
      <w:pPr>
        <w:pStyle w:val="WA"/>
      </w:pPr>
      <w:r>
        <w:lastRenderedPageBreak/>
        <w:t>Western Australia</w:t>
      </w:r>
    </w:p>
    <w:p w:rsidR="001C55C6" w:rsidRDefault="00321A8E">
      <w:pPr>
        <w:pStyle w:val="NameofActRegPage1"/>
      </w:pPr>
      <w:r>
        <w:fldChar w:fldCharType="begin"/>
      </w:r>
      <w:r>
        <w:instrText xml:space="preserve"> STYLEREF "Name Of Act/Reg"</w:instrText>
      </w:r>
      <w:r>
        <w:fldChar w:fldCharType="separate"/>
      </w:r>
      <w:r w:rsidR="00554887">
        <w:rPr>
          <w:noProof/>
        </w:rPr>
        <w:t>Petroleum and Geothermal Energy Safety Levies Regulations 2011</w:t>
      </w:r>
      <w:r>
        <w:fldChar w:fldCharType="end"/>
      </w:r>
    </w:p>
    <w:p w:rsidR="001C55C6" w:rsidRDefault="00321A8E">
      <w:pPr>
        <w:pStyle w:val="Arrangement"/>
      </w:pPr>
      <w:r>
        <w:t>Contents</w:t>
      </w:r>
    </w:p>
    <w:p w:rsidR="00472D07" w:rsidRDefault="00321A8E">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472D07">
        <w:t>Part 1 — Preliminary</w:t>
      </w:r>
    </w:p>
    <w:p w:rsidR="00472D07" w:rsidRDefault="00472D07">
      <w:pPr>
        <w:pStyle w:val="TOC8"/>
        <w:rPr>
          <w:rFonts w:asciiTheme="minorHAnsi" w:eastAsiaTheme="minorEastAsia" w:hAnsiTheme="minorHAnsi" w:cstheme="minorBidi"/>
          <w:szCs w:val="22"/>
        </w:rPr>
      </w:pPr>
      <w:r>
        <w:t>1.</w:t>
      </w:r>
      <w:r>
        <w:tab/>
        <w:t>Citation</w:t>
      </w:r>
      <w:r>
        <w:tab/>
      </w:r>
      <w:r>
        <w:fldChar w:fldCharType="begin"/>
      </w:r>
      <w:r>
        <w:instrText xml:space="preserve"> PAGEREF _Toc55903402 \h </w:instrText>
      </w:r>
      <w:r>
        <w:fldChar w:fldCharType="separate"/>
      </w:r>
      <w:r w:rsidR="00554887">
        <w:t>1</w:t>
      </w:r>
      <w:r>
        <w:fldChar w:fldCharType="end"/>
      </w:r>
    </w:p>
    <w:p w:rsidR="00472D07" w:rsidRDefault="00472D07">
      <w:pPr>
        <w:pStyle w:val="TOC8"/>
        <w:rPr>
          <w:rFonts w:asciiTheme="minorHAnsi" w:eastAsiaTheme="minorEastAsia" w:hAnsiTheme="minorHAnsi" w:cstheme="minorBidi"/>
          <w:szCs w:val="22"/>
        </w:rPr>
      </w:pPr>
      <w:r>
        <w:t>2</w:t>
      </w:r>
      <w:r w:rsidRPr="007B0591">
        <w:rPr>
          <w:spacing w:val="-2"/>
        </w:rPr>
        <w:t>.</w:t>
      </w:r>
      <w:r w:rsidRPr="007B0591">
        <w:rPr>
          <w:spacing w:val="-2"/>
        </w:rPr>
        <w:tab/>
        <w:t>Commencement</w:t>
      </w:r>
      <w:r>
        <w:tab/>
      </w:r>
      <w:r>
        <w:fldChar w:fldCharType="begin"/>
      </w:r>
      <w:r>
        <w:instrText xml:space="preserve"> PAGEREF _Toc55903403 \h </w:instrText>
      </w:r>
      <w:r>
        <w:fldChar w:fldCharType="separate"/>
      </w:r>
      <w:r w:rsidR="00554887">
        <w:t>1</w:t>
      </w:r>
      <w:r>
        <w:fldChar w:fldCharType="end"/>
      </w:r>
    </w:p>
    <w:p w:rsidR="00472D07" w:rsidRDefault="00472D07">
      <w:pPr>
        <w:pStyle w:val="TOC8"/>
        <w:rPr>
          <w:rFonts w:asciiTheme="minorHAnsi" w:eastAsiaTheme="minorEastAsia" w:hAnsiTheme="minorHAnsi" w:cstheme="minorBidi"/>
          <w:szCs w:val="22"/>
        </w:rPr>
      </w:pPr>
      <w:r>
        <w:t>3.</w:t>
      </w:r>
      <w:r>
        <w:tab/>
        <w:t>Terms used</w:t>
      </w:r>
      <w:r>
        <w:tab/>
      </w:r>
      <w:r>
        <w:fldChar w:fldCharType="begin"/>
      </w:r>
      <w:r>
        <w:instrText xml:space="preserve"> PAGEREF _Toc55903404 \h </w:instrText>
      </w:r>
      <w:r>
        <w:fldChar w:fldCharType="separate"/>
      </w:r>
      <w:r w:rsidR="00554887">
        <w:t>1</w:t>
      </w:r>
      <w:r>
        <w:fldChar w:fldCharType="end"/>
      </w:r>
    </w:p>
    <w:p w:rsidR="00472D07" w:rsidRDefault="00472D07">
      <w:pPr>
        <w:pStyle w:val="TOC2"/>
        <w:tabs>
          <w:tab w:val="right" w:leader="dot" w:pos="7077"/>
        </w:tabs>
        <w:rPr>
          <w:rFonts w:asciiTheme="minorHAnsi" w:eastAsiaTheme="minorEastAsia" w:hAnsiTheme="minorHAnsi" w:cstheme="minorBidi"/>
          <w:b w:val="0"/>
          <w:sz w:val="22"/>
          <w:szCs w:val="22"/>
        </w:rPr>
      </w:pPr>
      <w:r>
        <w:t>Part 2 — Levy period and levy amount</w:t>
      </w:r>
    </w:p>
    <w:p w:rsidR="00472D07" w:rsidRDefault="00472D07">
      <w:pPr>
        <w:pStyle w:val="TOC8"/>
        <w:rPr>
          <w:rFonts w:asciiTheme="minorHAnsi" w:eastAsiaTheme="minorEastAsia" w:hAnsiTheme="minorHAnsi" w:cstheme="minorBidi"/>
          <w:szCs w:val="22"/>
        </w:rPr>
      </w:pPr>
      <w:r>
        <w:t>4.</w:t>
      </w:r>
      <w:r>
        <w:tab/>
        <w:t>Levy period</w:t>
      </w:r>
      <w:r>
        <w:tab/>
      </w:r>
      <w:r>
        <w:fldChar w:fldCharType="begin"/>
      </w:r>
      <w:r>
        <w:instrText xml:space="preserve"> PAGEREF _Toc55903406 \h </w:instrText>
      </w:r>
      <w:r>
        <w:fldChar w:fldCharType="separate"/>
      </w:r>
      <w:r w:rsidR="00554887">
        <w:t>3</w:t>
      </w:r>
      <w:r>
        <w:fldChar w:fldCharType="end"/>
      </w:r>
    </w:p>
    <w:p w:rsidR="00472D07" w:rsidRDefault="00472D07">
      <w:pPr>
        <w:pStyle w:val="TOC8"/>
        <w:rPr>
          <w:rFonts w:asciiTheme="minorHAnsi" w:eastAsiaTheme="minorEastAsia" w:hAnsiTheme="minorHAnsi" w:cstheme="minorBidi"/>
          <w:szCs w:val="22"/>
        </w:rPr>
      </w:pPr>
      <w:r>
        <w:t>5.</w:t>
      </w:r>
      <w:r>
        <w:tab/>
        <w:t>Levy amount</w:t>
      </w:r>
      <w:r>
        <w:tab/>
      </w:r>
      <w:r>
        <w:fldChar w:fldCharType="begin"/>
      </w:r>
      <w:r>
        <w:instrText xml:space="preserve"> PAGEREF _Toc55903407 \h </w:instrText>
      </w:r>
      <w:r>
        <w:fldChar w:fldCharType="separate"/>
      </w:r>
      <w:r w:rsidR="00554887">
        <w:t>3</w:t>
      </w:r>
      <w:r>
        <w:fldChar w:fldCharType="end"/>
      </w:r>
    </w:p>
    <w:p w:rsidR="00472D07" w:rsidRDefault="00472D07">
      <w:pPr>
        <w:pStyle w:val="TOC2"/>
        <w:tabs>
          <w:tab w:val="right" w:leader="dot" w:pos="7077"/>
        </w:tabs>
        <w:rPr>
          <w:rFonts w:asciiTheme="minorHAnsi" w:eastAsiaTheme="minorEastAsia" w:hAnsiTheme="minorHAnsi" w:cstheme="minorBidi"/>
          <w:b w:val="0"/>
          <w:sz w:val="22"/>
          <w:szCs w:val="22"/>
        </w:rPr>
      </w:pPr>
      <w:r>
        <w:t>Part 3 — Classification of safety systems</w:t>
      </w:r>
    </w:p>
    <w:p w:rsidR="00472D07" w:rsidRDefault="00472D07">
      <w:pPr>
        <w:pStyle w:val="TOC8"/>
        <w:rPr>
          <w:rFonts w:asciiTheme="minorHAnsi" w:eastAsiaTheme="minorEastAsia" w:hAnsiTheme="minorHAnsi" w:cstheme="minorBidi"/>
          <w:szCs w:val="22"/>
        </w:rPr>
      </w:pPr>
      <w:r>
        <w:t>6.</w:t>
      </w:r>
      <w:r>
        <w:tab/>
        <w:t>Classes of safety system</w:t>
      </w:r>
      <w:r>
        <w:tab/>
      </w:r>
      <w:r>
        <w:fldChar w:fldCharType="begin"/>
      </w:r>
      <w:r>
        <w:instrText xml:space="preserve"> PAGEREF _Toc55903409 \h </w:instrText>
      </w:r>
      <w:r>
        <w:fldChar w:fldCharType="separate"/>
      </w:r>
      <w:r w:rsidR="00554887">
        <w:t>5</w:t>
      </w:r>
      <w:r>
        <w:fldChar w:fldCharType="end"/>
      </w:r>
    </w:p>
    <w:p w:rsidR="00472D07" w:rsidRDefault="00472D07">
      <w:pPr>
        <w:pStyle w:val="TOC8"/>
        <w:rPr>
          <w:rFonts w:asciiTheme="minorHAnsi" w:eastAsiaTheme="minorEastAsia" w:hAnsiTheme="minorHAnsi" w:cstheme="minorBidi"/>
          <w:szCs w:val="22"/>
        </w:rPr>
      </w:pPr>
      <w:r>
        <w:t>7.</w:t>
      </w:r>
      <w:r>
        <w:tab/>
        <w:t>CEO to determine classification of safety system</w:t>
      </w:r>
      <w:r>
        <w:tab/>
      </w:r>
      <w:r>
        <w:fldChar w:fldCharType="begin"/>
      </w:r>
      <w:r>
        <w:instrText xml:space="preserve"> PAGEREF _Toc55903410 \h </w:instrText>
      </w:r>
      <w:r>
        <w:fldChar w:fldCharType="separate"/>
      </w:r>
      <w:r w:rsidR="00554887">
        <w:t>5</w:t>
      </w:r>
      <w:r>
        <w:fldChar w:fldCharType="end"/>
      </w:r>
    </w:p>
    <w:p w:rsidR="00472D07" w:rsidRDefault="00472D07">
      <w:pPr>
        <w:pStyle w:val="TOC2"/>
        <w:tabs>
          <w:tab w:val="right" w:leader="dot" w:pos="7077"/>
        </w:tabs>
        <w:rPr>
          <w:rFonts w:asciiTheme="minorHAnsi" w:eastAsiaTheme="minorEastAsia" w:hAnsiTheme="minorHAnsi" w:cstheme="minorBidi"/>
          <w:b w:val="0"/>
          <w:sz w:val="22"/>
          <w:szCs w:val="22"/>
        </w:rPr>
      </w:pPr>
      <w:r>
        <w:t>Part 4 — Assessment and reassessment of safety levies</w:t>
      </w:r>
    </w:p>
    <w:p w:rsidR="00472D07" w:rsidRDefault="00472D07">
      <w:pPr>
        <w:pStyle w:val="TOC8"/>
        <w:rPr>
          <w:rFonts w:asciiTheme="minorHAnsi" w:eastAsiaTheme="minorEastAsia" w:hAnsiTheme="minorHAnsi" w:cstheme="minorBidi"/>
          <w:szCs w:val="22"/>
        </w:rPr>
      </w:pPr>
      <w:r>
        <w:t>8.</w:t>
      </w:r>
      <w:r>
        <w:tab/>
        <w:t>Assessment</w:t>
      </w:r>
      <w:r>
        <w:tab/>
      </w:r>
      <w:r>
        <w:fldChar w:fldCharType="begin"/>
      </w:r>
      <w:r>
        <w:instrText xml:space="preserve"> PAGEREF _Toc55903412 \h </w:instrText>
      </w:r>
      <w:r>
        <w:fldChar w:fldCharType="separate"/>
      </w:r>
      <w:r w:rsidR="00554887">
        <w:t>8</w:t>
      </w:r>
      <w:r>
        <w:fldChar w:fldCharType="end"/>
      </w:r>
    </w:p>
    <w:p w:rsidR="00472D07" w:rsidRDefault="00472D07">
      <w:pPr>
        <w:pStyle w:val="TOC8"/>
        <w:rPr>
          <w:rFonts w:asciiTheme="minorHAnsi" w:eastAsiaTheme="minorEastAsia" w:hAnsiTheme="minorHAnsi" w:cstheme="minorBidi"/>
          <w:szCs w:val="22"/>
        </w:rPr>
      </w:pPr>
      <w:r>
        <w:t>9.</w:t>
      </w:r>
      <w:r>
        <w:tab/>
        <w:t>CEO may make reassessment</w:t>
      </w:r>
      <w:r>
        <w:tab/>
      </w:r>
      <w:r>
        <w:fldChar w:fldCharType="begin"/>
      </w:r>
      <w:r>
        <w:instrText xml:space="preserve"> PAGEREF _Toc55903413 \h </w:instrText>
      </w:r>
      <w:r>
        <w:fldChar w:fldCharType="separate"/>
      </w:r>
      <w:r w:rsidR="00554887">
        <w:t>8</w:t>
      </w:r>
      <w:r>
        <w:fldChar w:fldCharType="end"/>
      </w:r>
    </w:p>
    <w:p w:rsidR="00472D07" w:rsidRDefault="00472D07">
      <w:pPr>
        <w:pStyle w:val="TOC8"/>
        <w:rPr>
          <w:rFonts w:asciiTheme="minorHAnsi" w:eastAsiaTheme="minorEastAsia" w:hAnsiTheme="minorHAnsi" w:cstheme="minorBidi"/>
          <w:szCs w:val="22"/>
        </w:rPr>
      </w:pPr>
      <w:r>
        <w:t>10.</w:t>
      </w:r>
      <w:r>
        <w:tab/>
        <w:t>Notice of reassessment</w:t>
      </w:r>
      <w:r>
        <w:tab/>
      </w:r>
      <w:r>
        <w:fldChar w:fldCharType="begin"/>
      </w:r>
      <w:r>
        <w:instrText xml:space="preserve"> PAGEREF _Toc55903414 \h </w:instrText>
      </w:r>
      <w:r>
        <w:fldChar w:fldCharType="separate"/>
      </w:r>
      <w:r w:rsidR="00554887">
        <w:t>9</w:t>
      </w:r>
      <w:r>
        <w:fldChar w:fldCharType="end"/>
      </w:r>
    </w:p>
    <w:p w:rsidR="00472D07" w:rsidRDefault="00472D07">
      <w:pPr>
        <w:pStyle w:val="TOC2"/>
        <w:tabs>
          <w:tab w:val="right" w:leader="dot" w:pos="7077"/>
        </w:tabs>
        <w:rPr>
          <w:rFonts w:asciiTheme="minorHAnsi" w:eastAsiaTheme="minorEastAsia" w:hAnsiTheme="minorHAnsi" w:cstheme="minorBidi"/>
          <w:b w:val="0"/>
          <w:sz w:val="22"/>
          <w:szCs w:val="22"/>
        </w:rPr>
      </w:pPr>
      <w:r>
        <w:t>Part 5 — Objections and review</w:t>
      </w:r>
    </w:p>
    <w:p w:rsidR="00472D07" w:rsidRDefault="00472D07">
      <w:pPr>
        <w:pStyle w:val="TOC8"/>
        <w:rPr>
          <w:rFonts w:asciiTheme="minorHAnsi" w:eastAsiaTheme="minorEastAsia" w:hAnsiTheme="minorHAnsi" w:cstheme="minorBidi"/>
          <w:szCs w:val="22"/>
        </w:rPr>
      </w:pPr>
      <w:r>
        <w:t>11.</w:t>
      </w:r>
      <w:r>
        <w:tab/>
        <w:t>Prescribed ground of objection</w:t>
      </w:r>
      <w:r>
        <w:tab/>
      </w:r>
      <w:r>
        <w:fldChar w:fldCharType="begin"/>
      </w:r>
      <w:r>
        <w:instrText xml:space="preserve"> PAGEREF _Toc55903416 \h </w:instrText>
      </w:r>
      <w:r>
        <w:fldChar w:fldCharType="separate"/>
      </w:r>
      <w:r w:rsidR="00554887">
        <w:t>11</w:t>
      </w:r>
      <w:r>
        <w:fldChar w:fldCharType="end"/>
      </w:r>
    </w:p>
    <w:p w:rsidR="00472D07" w:rsidRDefault="00472D07">
      <w:pPr>
        <w:pStyle w:val="TOC8"/>
        <w:rPr>
          <w:rFonts w:asciiTheme="minorHAnsi" w:eastAsiaTheme="minorEastAsia" w:hAnsiTheme="minorHAnsi" w:cstheme="minorBidi"/>
          <w:szCs w:val="22"/>
        </w:rPr>
      </w:pPr>
      <w:r>
        <w:t>12.</w:t>
      </w:r>
      <w:r>
        <w:tab/>
        <w:t>Time for making objection</w:t>
      </w:r>
      <w:r>
        <w:tab/>
      </w:r>
      <w:r>
        <w:fldChar w:fldCharType="begin"/>
      </w:r>
      <w:r>
        <w:instrText xml:space="preserve"> PAGEREF _Toc55903417 \h </w:instrText>
      </w:r>
      <w:r>
        <w:fldChar w:fldCharType="separate"/>
      </w:r>
      <w:r w:rsidR="00554887">
        <w:t>11</w:t>
      </w:r>
      <w:r>
        <w:fldChar w:fldCharType="end"/>
      </w:r>
    </w:p>
    <w:p w:rsidR="00472D07" w:rsidRDefault="00472D07">
      <w:pPr>
        <w:pStyle w:val="TOC8"/>
        <w:rPr>
          <w:rFonts w:asciiTheme="minorHAnsi" w:eastAsiaTheme="minorEastAsia" w:hAnsiTheme="minorHAnsi" w:cstheme="minorBidi"/>
          <w:szCs w:val="22"/>
        </w:rPr>
      </w:pPr>
      <w:r>
        <w:t>13.</w:t>
      </w:r>
      <w:r>
        <w:tab/>
        <w:t>Form of objection</w:t>
      </w:r>
      <w:r>
        <w:tab/>
      </w:r>
      <w:r>
        <w:fldChar w:fldCharType="begin"/>
      </w:r>
      <w:r>
        <w:instrText xml:space="preserve"> PAGEREF _Toc55903418 \h </w:instrText>
      </w:r>
      <w:r>
        <w:fldChar w:fldCharType="separate"/>
      </w:r>
      <w:r w:rsidR="00554887">
        <w:t>11</w:t>
      </w:r>
      <w:r>
        <w:fldChar w:fldCharType="end"/>
      </w:r>
    </w:p>
    <w:p w:rsidR="00472D07" w:rsidRDefault="00472D07">
      <w:pPr>
        <w:pStyle w:val="TOC8"/>
        <w:rPr>
          <w:rFonts w:asciiTheme="minorHAnsi" w:eastAsiaTheme="minorEastAsia" w:hAnsiTheme="minorHAnsi" w:cstheme="minorBidi"/>
          <w:szCs w:val="22"/>
        </w:rPr>
      </w:pPr>
      <w:r>
        <w:t>14.</w:t>
      </w:r>
      <w:r>
        <w:tab/>
        <w:t>Determination of objection</w:t>
      </w:r>
      <w:r>
        <w:tab/>
      </w:r>
      <w:r>
        <w:fldChar w:fldCharType="begin"/>
      </w:r>
      <w:r>
        <w:instrText xml:space="preserve"> PAGEREF _Toc55903419 \h </w:instrText>
      </w:r>
      <w:r>
        <w:fldChar w:fldCharType="separate"/>
      </w:r>
      <w:r w:rsidR="00554887">
        <w:t>11</w:t>
      </w:r>
      <w:r>
        <w:fldChar w:fldCharType="end"/>
      </w:r>
    </w:p>
    <w:p w:rsidR="00472D07" w:rsidRDefault="00472D07">
      <w:pPr>
        <w:pStyle w:val="TOC8"/>
        <w:rPr>
          <w:rFonts w:asciiTheme="minorHAnsi" w:eastAsiaTheme="minorEastAsia" w:hAnsiTheme="minorHAnsi" w:cstheme="minorBidi"/>
          <w:szCs w:val="22"/>
        </w:rPr>
      </w:pPr>
      <w:r>
        <w:lastRenderedPageBreak/>
        <w:t>15.</w:t>
      </w:r>
      <w:r>
        <w:tab/>
        <w:t>Notice of adjusted safety levy following objection</w:t>
      </w:r>
      <w:r>
        <w:tab/>
      </w:r>
      <w:r>
        <w:fldChar w:fldCharType="begin"/>
      </w:r>
      <w:r>
        <w:instrText xml:space="preserve"> PAGEREF _Toc55903420 \h </w:instrText>
      </w:r>
      <w:r>
        <w:fldChar w:fldCharType="separate"/>
      </w:r>
      <w:r w:rsidR="00554887">
        <w:t>12</w:t>
      </w:r>
      <w:r>
        <w:fldChar w:fldCharType="end"/>
      </w:r>
    </w:p>
    <w:p w:rsidR="00472D07" w:rsidRDefault="00472D07">
      <w:pPr>
        <w:pStyle w:val="TOC8"/>
        <w:rPr>
          <w:rFonts w:asciiTheme="minorHAnsi" w:eastAsiaTheme="minorEastAsia" w:hAnsiTheme="minorHAnsi" w:cstheme="minorBidi"/>
          <w:szCs w:val="22"/>
        </w:rPr>
      </w:pPr>
      <w:r>
        <w:t>16.</w:t>
      </w:r>
      <w:r>
        <w:tab/>
        <w:t>Notice of withdrawal of safety levy following objection</w:t>
      </w:r>
      <w:r>
        <w:tab/>
      </w:r>
      <w:r>
        <w:fldChar w:fldCharType="begin"/>
      </w:r>
      <w:r>
        <w:instrText xml:space="preserve"> PAGEREF _Toc55903421 \h </w:instrText>
      </w:r>
      <w:r>
        <w:fldChar w:fldCharType="separate"/>
      </w:r>
      <w:r w:rsidR="00554887">
        <w:t>13</w:t>
      </w:r>
      <w:r>
        <w:fldChar w:fldCharType="end"/>
      </w:r>
    </w:p>
    <w:p w:rsidR="00472D07" w:rsidRDefault="00472D07">
      <w:pPr>
        <w:pStyle w:val="TOC8"/>
        <w:rPr>
          <w:rFonts w:asciiTheme="minorHAnsi" w:eastAsiaTheme="minorEastAsia" w:hAnsiTheme="minorHAnsi" w:cstheme="minorBidi"/>
          <w:szCs w:val="22"/>
        </w:rPr>
      </w:pPr>
      <w:r>
        <w:t>17.</w:t>
      </w:r>
      <w:r>
        <w:tab/>
        <w:t>Review of decision on objection</w:t>
      </w:r>
      <w:r>
        <w:tab/>
      </w:r>
      <w:r>
        <w:fldChar w:fldCharType="begin"/>
      </w:r>
      <w:r>
        <w:instrText xml:space="preserve"> PAGEREF _Toc55903422 \h </w:instrText>
      </w:r>
      <w:r>
        <w:fldChar w:fldCharType="separate"/>
      </w:r>
      <w:r w:rsidR="00554887">
        <w:t>14</w:t>
      </w:r>
      <w:r>
        <w:fldChar w:fldCharType="end"/>
      </w:r>
    </w:p>
    <w:p w:rsidR="00472D07" w:rsidRDefault="00472D07">
      <w:pPr>
        <w:pStyle w:val="TOC2"/>
        <w:tabs>
          <w:tab w:val="right" w:leader="dot" w:pos="7077"/>
        </w:tabs>
        <w:rPr>
          <w:rFonts w:asciiTheme="minorHAnsi" w:eastAsiaTheme="minorEastAsia" w:hAnsiTheme="minorHAnsi" w:cstheme="minorBidi"/>
          <w:b w:val="0"/>
          <w:sz w:val="22"/>
          <w:szCs w:val="22"/>
        </w:rPr>
      </w:pPr>
      <w:r>
        <w:t>Part 6 — Other matters</w:t>
      </w:r>
    </w:p>
    <w:p w:rsidR="00472D07" w:rsidRDefault="00472D07">
      <w:pPr>
        <w:pStyle w:val="TOC8"/>
        <w:rPr>
          <w:rFonts w:asciiTheme="minorHAnsi" w:eastAsiaTheme="minorEastAsia" w:hAnsiTheme="minorHAnsi" w:cstheme="minorBidi"/>
          <w:szCs w:val="22"/>
        </w:rPr>
      </w:pPr>
      <w:r>
        <w:t>18.</w:t>
      </w:r>
      <w:r>
        <w:tab/>
        <w:t>Penalty amount: prescribed rate of interest</w:t>
      </w:r>
      <w:r>
        <w:tab/>
      </w:r>
      <w:r>
        <w:fldChar w:fldCharType="begin"/>
      </w:r>
      <w:r>
        <w:instrText xml:space="preserve"> PAGEREF _Toc55903424 \h </w:instrText>
      </w:r>
      <w:r>
        <w:fldChar w:fldCharType="separate"/>
      </w:r>
      <w:r w:rsidR="00554887">
        <w:t>15</w:t>
      </w:r>
      <w:r>
        <w:fldChar w:fldCharType="end"/>
      </w:r>
    </w:p>
    <w:p w:rsidR="00472D07" w:rsidRDefault="00472D07">
      <w:pPr>
        <w:pStyle w:val="TOC8"/>
        <w:rPr>
          <w:rFonts w:asciiTheme="minorHAnsi" w:eastAsiaTheme="minorEastAsia" w:hAnsiTheme="minorHAnsi" w:cstheme="minorBidi"/>
          <w:szCs w:val="22"/>
        </w:rPr>
      </w:pPr>
      <w:r>
        <w:t>19.</w:t>
      </w:r>
      <w:r>
        <w:tab/>
        <w:t>When levy amount becomes due and payable</w:t>
      </w:r>
      <w:r>
        <w:tab/>
      </w:r>
      <w:r>
        <w:fldChar w:fldCharType="begin"/>
      </w:r>
      <w:r>
        <w:instrText xml:space="preserve"> PAGEREF _Toc55903425 \h </w:instrText>
      </w:r>
      <w:r>
        <w:fldChar w:fldCharType="separate"/>
      </w:r>
      <w:r w:rsidR="00554887">
        <w:t>15</w:t>
      </w:r>
      <w:r>
        <w:fldChar w:fldCharType="end"/>
      </w:r>
    </w:p>
    <w:p w:rsidR="00472D07" w:rsidRDefault="00472D07">
      <w:pPr>
        <w:pStyle w:val="TOC2"/>
        <w:tabs>
          <w:tab w:val="right" w:leader="dot" w:pos="7077"/>
        </w:tabs>
        <w:rPr>
          <w:rFonts w:asciiTheme="minorHAnsi" w:eastAsiaTheme="minorEastAsia" w:hAnsiTheme="minorHAnsi" w:cstheme="minorBidi"/>
          <w:b w:val="0"/>
          <w:sz w:val="22"/>
          <w:szCs w:val="22"/>
        </w:rPr>
      </w:pPr>
      <w:r>
        <w:t>Part 7 — Transitional provisions</w:t>
      </w:r>
    </w:p>
    <w:p w:rsidR="00472D07" w:rsidRDefault="00472D07">
      <w:pPr>
        <w:pStyle w:val="TOC8"/>
        <w:rPr>
          <w:rFonts w:asciiTheme="minorHAnsi" w:eastAsiaTheme="minorEastAsia" w:hAnsiTheme="minorHAnsi" w:cstheme="minorBidi"/>
          <w:szCs w:val="22"/>
        </w:rPr>
      </w:pPr>
      <w:r>
        <w:t>20.</w:t>
      </w:r>
      <w:r>
        <w:tab/>
        <w:t xml:space="preserve">Transitional provision for </w:t>
      </w:r>
      <w:r w:rsidRPr="007B0591">
        <w:rPr>
          <w:i/>
        </w:rPr>
        <w:t>Petroleum and Geothermal Energy Safety Levies Amendment Regulations 2012</w:t>
      </w:r>
      <w:r>
        <w:tab/>
      </w:r>
      <w:r>
        <w:fldChar w:fldCharType="begin"/>
      </w:r>
      <w:r>
        <w:instrText xml:space="preserve"> PAGEREF _Toc55903427 \h </w:instrText>
      </w:r>
      <w:r>
        <w:fldChar w:fldCharType="separate"/>
      </w:r>
      <w:r w:rsidR="00554887">
        <w:t>16</w:t>
      </w:r>
      <w:r>
        <w:fldChar w:fldCharType="end"/>
      </w:r>
    </w:p>
    <w:p w:rsidR="00472D07" w:rsidRDefault="00472D07">
      <w:pPr>
        <w:pStyle w:val="TOC2"/>
        <w:tabs>
          <w:tab w:val="right" w:leader="dot" w:pos="7077"/>
        </w:tabs>
        <w:rPr>
          <w:rFonts w:asciiTheme="minorHAnsi" w:eastAsiaTheme="minorEastAsia" w:hAnsiTheme="minorHAnsi" w:cstheme="minorBidi"/>
          <w:b w:val="0"/>
          <w:sz w:val="22"/>
          <w:szCs w:val="22"/>
        </w:rPr>
      </w:pPr>
      <w:r>
        <w:t>Schedule 1 — Complexity ratings</w:t>
      </w:r>
    </w:p>
    <w:p w:rsidR="00472D07" w:rsidRDefault="00472D07">
      <w:pPr>
        <w:pStyle w:val="TOC2"/>
        <w:tabs>
          <w:tab w:val="right" w:leader="dot" w:pos="7077"/>
        </w:tabs>
        <w:rPr>
          <w:rFonts w:asciiTheme="minorHAnsi" w:eastAsiaTheme="minorEastAsia" w:hAnsiTheme="minorHAnsi" w:cstheme="minorBidi"/>
          <w:b w:val="0"/>
          <w:sz w:val="22"/>
          <w:szCs w:val="22"/>
        </w:rPr>
      </w:pPr>
      <w:r>
        <w:t>Notes</w:t>
      </w:r>
    </w:p>
    <w:p w:rsidR="00472D07" w:rsidRDefault="00472D07" w:rsidP="00472D07">
      <w:pPr>
        <w:pStyle w:val="TOC8"/>
        <w:rPr>
          <w:rFonts w:asciiTheme="minorHAnsi" w:eastAsiaTheme="minorEastAsia" w:hAnsiTheme="minorHAnsi" w:cstheme="minorBidi"/>
          <w:szCs w:val="22"/>
        </w:rPr>
      </w:pPr>
      <w:r>
        <w:tab/>
        <w:t>Compilation table</w:t>
      </w:r>
      <w:r>
        <w:tab/>
      </w:r>
      <w:r>
        <w:fldChar w:fldCharType="begin"/>
      </w:r>
      <w:r>
        <w:instrText xml:space="preserve"> PAGEREF _Toc55903430 \h </w:instrText>
      </w:r>
      <w:r>
        <w:fldChar w:fldCharType="separate"/>
      </w:r>
      <w:r w:rsidR="00554887">
        <w:t>18</w:t>
      </w:r>
      <w:r>
        <w:fldChar w:fldCharType="end"/>
      </w:r>
    </w:p>
    <w:p w:rsidR="00472D07" w:rsidRDefault="00472D07" w:rsidP="00472D07">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_Toc55903431 \h </w:instrText>
      </w:r>
      <w:r>
        <w:fldChar w:fldCharType="separate"/>
      </w:r>
      <w:r w:rsidR="00554887">
        <w:t>18</w:t>
      </w:r>
      <w:r>
        <w:fldChar w:fldCharType="end"/>
      </w:r>
    </w:p>
    <w:p w:rsidR="00472D07" w:rsidRDefault="00472D07">
      <w:pPr>
        <w:pStyle w:val="TOC2"/>
        <w:tabs>
          <w:tab w:val="right" w:leader="dot" w:pos="7077"/>
        </w:tabs>
        <w:rPr>
          <w:rFonts w:asciiTheme="minorHAnsi" w:eastAsiaTheme="minorEastAsia" w:hAnsiTheme="minorHAnsi" w:cstheme="minorBidi"/>
          <w:b w:val="0"/>
          <w:sz w:val="22"/>
          <w:szCs w:val="22"/>
        </w:rPr>
      </w:pPr>
      <w:r>
        <w:t>Defined terms</w:t>
      </w:r>
    </w:p>
    <w:p w:rsidR="001C55C6" w:rsidRDefault="00321A8E">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1C55C6" w:rsidRDefault="001C55C6">
      <w:pPr>
        <w:pStyle w:val="NoteHeading"/>
        <w:sectPr w:rsidR="001C55C6">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86213F" w:rsidRDefault="0086213F">
      <w:pPr>
        <w:pStyle w:val="WA"/>
      </w:pPr>
      <w:r>
        <w:lastRenderedPageBreak/>
        <w:t>Western Australia</w:t>
      </w:r>
    </w:p>
    <w:p w:rsidR="001C55C6" w:rsidRDefault="00321A8E">
      <w:pPr>
        <w:pStyle w:val="PrincipalActReg"/>
      </w:pPr>
      <w:r>
        <w:t>Petroleum and Geothermal Energy Safety Levies Act 2011</w:t>
      </w:r>
    </w:p>
    <w:p w:rsidR="001C55C6" w:rsidRDefault="00321A8E">
      <w:pPr>
        <w:pStyle w:val="NameofActReg"/>
      </w:pPr>
      <w:r>
        <w:t>Petroleum and Geothermal Energy Safety Levies Regulations 2011</w:t>
      </w:r>
    </w:p>
    <w:p w:rsidR="001C55C6" w:rsidRDefault="00321A8E">
      <w:pPr>
        <w:pStyle w:val="Heading2"/>
        <w:pageBreakBefore w:val="0"/>
      </w:pPr>
      <w:bookmarkStart w:id="3" w:name="_Toc55895406"/>
      <w:bookmarkStart w:id="4" w:name="_Toc55895678"/>
      <w:bookmarkStart w:id="5" w:name="_Toc55903331"/>
      <w:bookmarkStart w:id="6" w:name="_Toc55903401"/>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rsidR="001C55C6" w:rsidRDefault="00321A8E">
      <w:pPr>
        <w:pStyle w:val="Heading5"/>
      </w:pPr>
      <w:bookmarkStart w:id="7" w:name="_Toc55903402"/>
      <w:r>
        <w:rPr>
          <w:rStyle w:val="CharSectno"/>
        </w:rPr>
        <w:t>1</w:t>
      </w:r>
      <w:r>
        <w:t>.</w:t>
      </w:r>
      <w:r>
        <w:tab/>
        <w:t>Citation</w:t>
      </w:r>
      <w:bookmarkEnd w:id="7"/>
    </w:p>
    <w:p w:rsidR="001C55C6" w:rsidRDefault="00321A8E">
      <w:pPr>
        <w:pStyle w:val="Subsection"/>
        <w:rPr>
          <w:i/>
        </w:rPr>
      </w:pPr>
      <w:r>
        <w:tab/>
      </w:r>
      <w:r>
        <w:tab/>
      </w:r>
      <w:bookmarkStart w:id="8" w:name="Start_Cursor"/>
      <w:bookmarkEnd w:id="8"/>
      <w:r>
        <w:rPr>
          <w:spacing w:val="-2"/>
        </w:rPr>
        <w:t>These</w:t>
      </w:r>
      <w:r>
        <w:t xml:space="preserve"> </w:t>
      </w:r>
      <w:r>
        <w:rPr>
          <w:spacing w:val="-2"/>
        </w:rPr>
        <w:t>regulations</w:t>
      </w:r>
      <w:r>
        <w:t xml:space="preserve"> are the </w:t>
      </w:r>
      <w:r>
        <w:rPr>
          <w:i/>
        </w:rPr>
        <w:t>Petroleum and Geothermal Energy Safety Levies Regulations 2011</w:t>
      </w:r>
      <w:r>
        <w:t>.</w:t>
      </w:r>
    </w:p>
    <w:p w:rsidR="001C55C6" w:rsidRDefault="00321A8E">
      <w:pPr>
        <w:pStyle w:val="Heading5"/>
        <w:rPr>
          <w:spacing w:val="-2"/>
        </w:rPr>
      </w:pPr>
      <w:bookmarkStart w:id="9" w:name="_Toc55903403"/>
      <w:r>
        <w:rPr>
          <w:rStyle w:val="CharSectno"/>
        </w:rPr>
        <w:t>2</w:t>
      </w:r>
      <w:r>
        <w:rPr>
          <w:spacing w:val="-2"/>
        </w:rPr>
        <w:t>.</w:t>
      </w:r>
      <w:r>
        <w:rPr>
          <w:spacing w:val="-2"/>
        </w:rPr>
        <w:tab/>
        <w:t>Commencement</w:t>
      </w:r>
      <w:bookmarkEnd w:id="9"/>
    </w:p>
    <w:p w:rsidR="001C55C6" w:rsidRDefault="00321A8E">
      <w:pPr>
        <w:pStyle w:val="Subsection"/>
        <w:rPr>
          <w:spacing w:val="-2"/>
        </w:rPr>
      </w:pPr>
      <w:r>
        <w:rPr>
          <w:spacing w:val="-2"/>
        </w:rPr>
        <w:tab/>
      </w:r>
      <w:r>
        <w:rPr>
          <w:spacing w:val="-2"/>
        </w:rPr>
        <w:tab/>
        <w:t>These regulations come into operation as follows</w:t>
      </w:r>
      <w:r>
        <w:t> —</w:t>
      </w:r>
    </w:p>
    <w:p w:rsidR="001C55C6" w:rsidRDefault="00321A8E">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rsidR="001C55C6" w:rsidRDefault="00321A8E">
      <w:pPr>
        <w:pStyle w:val="Indenta"/>
      </w:pPr>
      <w:r>
        <w:tab/>
        <w:t>(b)</w:t>
      </w:r>
      <w:r>
        <w:tab/>
        <w:t xml:space="preserve">the rest of the </w:t>
      </w:r>
      <w:r>
        <w:rPr>
          <w:spacing w:val="-2"/>
        </w:rPr>
        <w:t>regulations</w:t>
      </w:r>
      <w:r>
        <w:t xml:space="preserve"> — on the day on which the </w:t>
      </w:r>
      <w:r>
        <w:rPr>
          <w:i/>
        </w:rPr>
        <w:t>Petroleum and Geothermal Energy Safety Levies Act 2011</w:t>
      </w:r>
      <w:r>
        <w:t>, other than sections 1 and 2, comes into operation.</w:t>
      </w:r>
    </w:p>
    <w:p w:rsidR="001C55C6" w:rsidRDefault="00321A8E">
      <w:pPr>
        <w:pStyle w:val="Heading5"/>
        <w:keepNext w:val="0"/>
        <w:keepLines w:val="0"/>
      </w:pPr>
      <w:bookmarkStart w:id="10" w:name="_Toc55903404"/>
      <w:r>
        <w:rPr>
          <w:rStyle w:val="CharSectno"/>
        </w:rPr>
        <w:t>3</w:t>
      </w:r>
      <w:r>
        <w:t>.</w:t>
      </w:r>
      <w:r>
        <w:tab/>
        <w:t>Terms used</w:t>
      </w:r>
      <w:bookmarkEnd w:id="10"/>
    </w:p>
    <w:p w:rsidR="001C55C6" w:rsidRDefault="00321A8E">
      <w:pPr>
        <w:pStyle w:val="Subsection"/>
      </w:pPr>
      <w:r>
        <w:tab/>
      </w:r>
      <w:r>
        <w:tab/>
        <w:t xml:space="preserve">In these regulations, unless the contrary intention appears — </w:t>
      </w:r>
    </w:p>
    <w:p w:rsidR="001C55C6" w:rsidRDefault="00321A8E">
      <w:pPr>
        <w:pStyle w:val="Defstart"/>
      </w:pPr>
      <w:r>
        <w:tab/>
      </w:r>
      <w:r>
        <w:rPr>
          <w:rStyle w:val="CharDefText"/>
        </w:rPr>
        <w:t>class</w:t>
      </w:r>
      <w:r>
        <w:t xml:space="preserve"> means a class listed in the Table to regulation 6;</w:t>
      </w:r>
    </w:p>
    <w:p w:rsidR="001C55C6" w:rsidRDefault="00321A8E">
      <w:pPr>
        <w:pStyle w:val="Defstart"/>
      </w:pPr>
      <w:r>
        <w:tab/>
      </w:r>
      <w:r>
        <w:rPr>
          <w:rStyle w:val="CharDefText"/>
        </w:rPr>
        <w:t>classification</w:t>
      </w:r>
      <w:r>
        <w:t>, in relation to a safety system, means the classification determined for the safety system under regulation 7(3);</w:t>
      </w:r>
    </w:p>
    <w:p w:rsidR="001C55C6" w:rsidRDefault="00321A8E" w:rsidP="00FF37C0">
      <w:pPr>
        <w:pStyle w:val="Defstart"/>
        <w:keepNext/>
      </w:pPr>
      <w:r>
        <w:lastRenderedPageBreak/>
        <w:tab/>
      </w:r>
      <w:r>
        <w:rPr>
          <w:rStyle w:val="CharDefText"/>
        </w:rPr>
        <w:t>complexity rating</w:t>
      </w:r>
      <w:r>
        <w:t xml:space="preserve"> means — </w:t>
      </w:r>
    </w:p>
    <w:p w:rsidR="001C55C6" w:rsidRDefault="00321A8E">
      <w:pPr>
        <w:pStyle w:val="Defpara"/>
      </w:pPr>
      <w:r>
        <w:tab/>
        <w:t>(a)</w:t>
      </w:r>
      <w:r>
        <w:tab/>
        <w:t>for a class of safety system other than a facility safety case — the number specified opposite the class in the second column of the Table in Schedule 1;</w:t>
      </w:r>
    </w:p>
    <w:p w:rsidR="001C55C6" w:rsidRDefault="00321A8E">
      <w:pPr>
        <w:pStyle w:val="Defpara"/>
      </w:pPr>
      <w:r>
        <w:tab/>
        <w:t>(b)</w:t>
      </w:r>
      <w:r>
        <w:tab/>
        <w:t>for a class of facility safety case — the number specified opposite the class in the third column of the Table in Schedule 1;</w:t>
      </w:r>
    </w:p>
    <w:p w:rsidR="001C55C6" w:rsidRDefault="00321A8E">
      <w:pPr>
        <w:pStyle w:val="Defstart"/>
      </w:pPr>
      <w:r>
        <w:tab/>
      </w:r>
      <w:r>
        <w:rPr>
          <w:rStyle w:val="CharDefText"/>
        </w:rPr>
        <w:t>facility safety case</w:t>
      </w:r>
      <w:r>
        <w:t xml:space="preserve"> means a safety case that relates to a facility;</w:t>
      </w:r>
    </w:p>
    <w:p w:rsidR="001C55C6" w:rsidRDefault="00321A8E">
      <w:pPr>
        <w:pStyle w:val="Defstart"/>
      </w:pPr>
      <w:r>
        <w:tab/>
      </w:r>
      <w:r>
        <w:rPr>
          <w:rStyle w:val="CharDefText"/>
        </w:rPr>
        <w:t>levy amount</w:t>
      </w:r>
      <w:r>
        <w:t xml:space="preserve"> means the amount of safety levy payable;</w:t>
      </w:r>
    </w:p>
    <w:p w:rsidR="001C55C6" w:rsidRDefault="00321A8E">
      <w:pPr>
        <w:pStyle w:val="Defstart"/>
      </w:pPr>
      <w:r>
        <w:tab/>
      </w:r>
      <w:r>
        <w:rPr>
          <w:rStyle w:val="CharDefText"/>
        </w:rPr>
        <w:t>operation</w:t>
      </w:r>
      <w:r>
        <w:t xml:space="preserve"> means — </w:t>
      </w:r>
    </w:p>
    <w:p w:rsidR="001C55C6" w:rsidRDefault="00321A8E">
      <w:pPr>
        <w:pStyle w:val="Defpara"/>
      </w:pPr>
      <w:r>
        <w:tab/>
        <w:t>(a)</w:t>
      </w:r>
      <w:r>
        <w:tab/>
        <w:t>a petroleum operation; or</w:t>
      </w:r>
    </w:p>
    <w:p w:rsidR="001C55C6" w:rsidRDefault="00321A8E">
      <w:pPr>
        <w:pStyle w:val="Defpara"/>
      </w:pPr>
      <w:r>
        <w:tab/>
        <w:t>(b)</w:t>
      </w:r>
      <w:r>
        <w:tab/>
        <w:t>a geothermal energy operation; or</w:t>
      </w:r>
    </w:p>
    <w:p w:rsidR="001C55C6" w:rsidRDefault="00321A8E">
      <w:pPr>
        <w:pStyle w:val="Defpara"/>
      </w:pPr>
      <w:r>
        <w:tab/>
        <w:t>(c)</w:t>
      </w:r>
      <w:r>
        <w:tab/>
        <w:t>a pipeline operation; or</w:t>
      </w:r>
    </w:p>
    <w:p w:rsidR="001C55C6" w:rsidRDefault="00321A8E">
      <w:pPr>
        <w:pStyle w:val="Defpara"/>
      </w:pPr>
      <w:r>
        <w:tab/>
        <w:t>(d)</w:t>
      </w:r>
      <w:r>
        <w:tab/>
        <w:t xml:space="preserve">an offshore petroleum operation as defined in the </w:t>
      </w:r>
      <w:r>
        <w:rPr>
          <w:i/>
        </w:rPr>
        <w:t>Petroleum (Submerged Lands) Act 1982</w:t>
      </w:r>
      <w:r>
        <w:t xml:space="preserve"> section 4;</w:t>
      </w:r>
    </w:p>
    <w:p w:rsidR="001C55C6" w:rsidRDefault="00321A8E">
      <w:pPr>
        <w:pStyle w:val="Defstart"/>
      </w:pPr>
      <w:r>
        <w:tab/>
      </w:r>
      <w:r>
        <w:rPr>
          <w:rStyle w:val="CharDefText"/>
        </w:rPr>
        <w:t>original assessment</w:t>
      </w:r>
      <w:r>
        <w:t xml:space="preserve"> has the meaning given in regulation 9(1)(a);</w:t>
      </w:r>
    </w:p>
    <w:p w:rsidR="001C55C6" w:rsidRDefault="00321A8E">
      <w:pPr>
        <w:pStyle w:val="Defstart"/>
      </w:pPr>
      <w:r>
        <w:tab/>
      </w:r>
      <w:r>
        <w:rPr>
          <w:rStyle w:val="CharDefText"/>
        </w:rPr>
        <w:t>safety system</w:t>
      </w:r>
      <w:r>
        <w:t xml:space="preserve"> means — </w:t>
      </w:r>
    </w:p>
    <w:p w:rsidR="001C55C6" w:rsidRDefault="00321A8E">
      <w:pPr>
        <w:pStyle w:val="Defpara"/>
      </w:pPr>
      <w:r>
        <w:tab/>
        <w:t>(a)</w:t>
      </w:r>
      <w:r>
        <w:tab/>
        <w:t>a safety management system; or</w:t>
      </w:r>
    </w:p>
    <w:p w:rsidR="001C55C6" w:rsidRDefault="00321A8E">
      <w:pPr>
        <w:pStyle w:val="Defpara"/>
      </w:pPr>
      <w:r>
        <w:tab/>
        <w:t>(b)</w:t>
      </w:r>
      <w:r>
        <w:tab/>
        <w:t>a safety case; or</w:t>
      </w:r>
    </w:p>
    <w:p w:rsidR="001C55C6" w:rsidRDefault="00321A8E">
      <w:pPr>
        <w:pStyle w:val="Defpara"/>
      </w:pPr>
      <w:r>
        <w:tab/>
        <w:t>(c)</w:t>
      </w:r>
      <w:r>
        <w:tab/>
        <w:t>an accepted DSMS; or</w:t>
      </w:r>
    </w:p>
    <w:p w:rsidR="001C55C6" w:rsidRDefault="00321A8E">
      <w:pPr>
        <w:pStyle w:val="Defpara"/>
      </w:pPr>
      <w:r>
        <w:tab/>
        <w:t>(d)</w:t>
      </w:r>
      <w:r>
        <w:tab/>
        <w:t>a pipeline management plan;</w:t>
      </w:r>
    </w:p>
    <w:p w:rsidR="001C55C6" w:rsidRDefault="00321A8E">
      <w:pPr>
        <w:pStyle w:val="Defstart"/>
      </w:pPr>
      <w:r>
        <w:tab/>
      </w:r>
      <w:r>
        <w:rPr>
          <w:rStyle w:val="CharDefText"/>
        </w:rPr>
        <w:t>section</w:t>
      </w:r>
      <w:r>
        <w:t xml:space="preserve"> means a section of the Act.</w:t>
      </w:r>
    </w:p>
    <w:p w:rsidR="001C55C6" w:rsidRDefault="00321A8E">
      <w:pPr>
        <w:pStyle w:val="Footnotesection"/>
      </w:pPr>
      <w:r>
        <w:tab/>
        <w:t>[Regulation 3 amended: Gazette 28 Sep 2012 p. 4655</w:t>
      </w:r>
      <w:r>
        <w:noBreakHyphen/>
        <w:t>6.]</w:t>
      </w:r>
    </w:p>
    <w:p w:rsidR="001C55C6" w:rsidRDefault="00321A8E">
      <w:pPr>
        <w:pStyle w:val="Heading2"/>
      </w:pPr>
      <w:bookmarkStart w:id="11" w:name="_Toc55895410"/>
      <w:bookmarkStart w:id="12" w:name="_Toc55895682"/>
      <w:bookmarkStart w:id="13" w:name="_Toc55903335"/>
      <w:bookmarkStart w:id="14" w:name="_Toc55903405"/>
      <w:r>
        <w:rPr>
          <w:rStyle w:val="CharPartNo"/>
        </w:rPr>
        <w:lastRenderedPageBreak/>
        <w:t>Part 2</w:t>
      </w:r>
      <w:r>
        <w:rPr>
          <w:rStyle w:val="CharDivNo"/>
        </w:rPr>
        <w:t> </w:t>
      </w:r>
      <w:r>
        <w:t>—</w:t>
      </w:r>
      <w:r>
        <w:rPr>
          <w:rStyle w:val="CharDivText"/>
        </w:rPr>
        <w:t> </w:t>
      </w:r>
      <w:r>
        <w:rPr>
          <w:rStyle w:val="CharPartText"/>
        </w:rPr>
        <w:t>Levy period and levy amount</w:t>
      </w:r>
      <w:bookmarkEnd w:id="11"/>
      <w:bookmarkEnd w:id="12"/>
      <w:bookmarkEnd w:id="13"/>
      <w:bookmarkEnd w:id="14"/>
    </w:p>
    <w:p w:rsidR="001C55C6" w:rsidRDefault="00321A8E">
      <w:pPr>
        <w:pStyle w:val="Heading5"/>
      </w:pPr>
      <w:bookmarkStart w:id="15" w:name="_Toc55903406"/>
      <w:r>
        <w:rPr>
          <w:rStyle w:val="CharSectno"/>
        </w:rPr>
        <w:t>4</w:t>
      </w:r>
      <w:r>
        <w:t>.</w:t>
      </w:r>
      <w:r>
        <w:tab/>
        <w:t>Levy period</w:t>
      </w:r>
      <w:bookmarkEnd w:id="15"/>
    </w:p>
    <w:p w:rsidR="001C55C6" w:rsidRDefault="00321A8E">
      <w:pPr>
        <w:pStyle w:val="Subsection"/>
      </w:pPr>
      <w:r>
        <w:tab/>
      </w:r>
      <w:r>
        <w:tab/>
        <w:t xml:space="preserve">For the purposes of the definition of </w:t>
      </w:r>
      <w:r>
        <w:rPr>
          <w:b/>
          <w:i/>
        </w:rPr>
        <w:t>levy period</w:t>
      </w:r>
      <w:r>
        <w:t xml:space="preserve"> in section 3, each of the following periods is prescribed as a period in respect of which a safety levy is payable — </w:t>
      </w:r>
    </w:p>
    <w:p w:rsidR="001C55C6" w:rsidRDefault="00321A8E">
      <w:pPr>
        <w:pStyle w:val="Indenta"/>
      </w:pPr>
      <w:r>
        <w:tab/>
        <w:t>(a)</w:t>
      </w:r>
      <w:r>
        <w:tab/>
        <w:t>the period of 3 months beginning on 1 January each year;</w:t>
      </w:r>
    </w:p>
    <w:p w:rsidR="001C55C6" w:rsidRDefault="00321A8E">
      <w:pPr>
        <w:pStyle w:val="Indenta"/>
      </w:pPr>
      <w:r>
        <w:tab/>
        <w:t>(b)</w:t>
      </w:r>
      <w:r>
        <w:tab/>
        <w:t>the period of 3 months beginning on 1 April each year;</w:t>
      </w:r>
    </w:p>
    <w:p w:rsidR="001C55C6" w:rsidRDefault="00321A8E">
      <w:pPr>
        <w:pStyle w:val="Indenta"/>
      </w:pPr>
      <w:r>
        <w:tab/>
        <w:t>(c)</w:t>
      </w:r>
      <w:r>
        <w:tab/>
        <w:t>the period of 3 months beginning on 1 July each year;</w:t>
      </w:r>
    </w:p>
    <w:p w:rsidR="001C55C6" w:rsidRDefault="00321A8E">
      <w:pPr>
        <w:pStyle w:val="Indenta"/>
      </w:pPr>
      <w:r>
        <w:tab/>
        <w:t>(d)</w:t>
      </w:r>
      <w:r>
        <w:tab/>
        <w:t>the period of 3 months beginning on 1 October each year.</w:t>
      </w:r>
    </w:p>
    <w:p w:rsidR="001C55C6" w:rsidRDefault="00321A8E">
      <w:pPr>
        <w:pStyle w:val="Heading5"/>
      </w:pPr>
      <w:bookmarkStart w:id="16" w:name="_Toc55903407"/>
      <w:r>
        <w:rPr>
          <w:rStyle w:val="CharSectno"/>
        </w:rPr>
        <w:t>5</w:t>
      </w:r>
      <w:r>
        <w:t>.</w:t>
      </w:r>
      <w:r>
        <w:tab/>
        <w:t>Levy amount</w:t>
      </w:r>
      <w:bookmarkEnd w:id="16"/>
    </w:p>
    <w:p w:rsidR="001C55C6" w:rsidRDefault="00321A8E">
      <w:pPr>
        <w:pStyle w:val="Subsection"/>
      </w:pPr>
      <w:r>
        <w:tab/>
        <w:t>(1)</w:t>
      </w:r>
      <w:r>
        <w:tab/>
        <w:t>The levy amount in respect of a safety system for a levy period is the levy amount worked out in accordance with this regulation.</w:t>
      </w:r>
    </w:p>
    <w:p w:rsidR="001C55C6" w:rsidRDefault="00321A8E">
      <w:pPr>
        <w:pStyle w:val="Subsection"/>
      </w:pPr>
      <w:r>
        <w:tab/>
        <w:t>(2)</w:t>
      </w:r>
      <w:r>
        <w:tab/>
        <w:t xml:space="preserve">If the safety system is classified as belonging to one class for the levy period, the levy amount (L) for the levy period is worked out using the formula — </w:t>
      </w:r>
    </w:p>
    <w:p w:rsidR="001C55C6" w:rsidRDefault="00321A8E">
      <w:pPr>
        <w:pStyle w:val="Subsection"/>
      </w:pPr>
      <w:r>
        <w:tab/>
      </w:r>
      <w:r>
        <w:tab/>
      </w:r>
      <w:r>
        <w:rPr>
          <w:noProof/>
          <w:position w:val="-24"/>
          <w:lang w:val="en-US" w:eastAsia="en-US"/>
        </w:rPr>
        <w:drawing>
          <wp:inline distT="0" distB="0" distL="0" distR="0">
            <wp:extent cx="904875" cy="390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04875" cy="390525"/>
                    </a:xfrm>
                    <a:prstGeom prst="rect">
                      <a:avLst/>
                    </a:prstGeom>
                    <a:noFill/>
                    <a:ln>
                      <a:noFill/>
                    </a:ln>
                  </pic:spPr>
                </pic:pic>
              </a:graphicData>
            </a:graphic>
          </wp:inline>
        </w:drawing>
      </w:r>
    </w:p>
    <w:p w:rsidR="001C55C6" w:rsidRDefault="00321A8E">
      <w:pPr>
        <w:pStyle w:val="Subsection"/>
      </w:pPr>
      <w:r>
        <w:tab/>
      </w:r>
      <w:r>
        <w:tab/>
        <w:t xml:space="preserve">where — </w:t>
      </w:r>
    </w:p>
    <w:p w:rsidR="001C55C6" w:rsidRDefault="00321A8E" w:rsidP="00FF37C0">
      <w:pPr>
        <w:pStyle w:val="Subsection"/>
        <w:tabs>
          <w:tab w:val="clear" w:pos="879"/>
          <w:tab w:val="left" w:pos="851"/>
          <w:tab w:val="left" w:pos="1276"/>
        </w:tabs>
        <w:ind w:left="1276" w:hanging="1276"/>
      </w:pPr>
      <w:r>
        <w:tab/>
      </w:r>
      <w:r>
        <w:tab/>
        <w:t>R</w:t>
      </w:r>
      <w:r>
        <w:tab/>
        <w:t>is $8 500;</w:t>
      </w:r>
    </w:p>
    <w:p w:rsidR="001C55C6" w:rsidRDefault="00321A8E">
      <w:pPr>
        <w:pStyle w:val="Subsection"/>
        <w:tabs>
          <w:tab w:val="clear" w:pos="879"/>
          <w:tab w:val="left" w:pos="851"/>
          <w:tab w:val="left" w:pos="1276"/>
        </w:tabs>
        <w:ind w:left="1276" w:hanging="1276"/>
      </w:pPr>
      <w:r>
        <w:tab/>
      </w:r>
      <w:r>
        <w:tab/>
        <w:t>D</w:t>
      </w:r>
      <w:r>
        <w:tab/>
        <w:t>is the number of days the operation to which the safety system relates was carried out during the levy period;</w:t>
      </w:r>
    </w:p>
    <w:p w:rsidR="001C55C6" w:rsidRDefault="00321A8E">
      <w:pPr>
        <w:pStyle w:val="Subsection"/>
        <w:tabs>
          <w:tab w:val="clear" w:pos="879"/>
          <w:tab w:val="left" w:pos="851"/>
          <w:tab w:val="left" w:pos="1276"/>
        </w:tabs>
        <w:ind w:left="1276" w:hanging="1276"/>
      </w:pPr>
      <w:r>
        <w:tab/>
      </w:r>
      <w:r>
        <w:tab/>
        <w:t>C</w:t>
      </w:r>
      <w:r>
        <w:tab/>
        <w:t>is the complexity rating for the class.</w:t>
      </w:r>
    </w:p>
    <w:p w:rsidR="001C55C6" w:rsidRDefault="00321A8E" w:rsidP="00FF37C0">
      <w:pPr>
        <w:pStyle w:val="Subsection"/>
        <w:keepNext/>
      </w:pPr>
      <w:r>
        <w:tab/>
        <w:t>(3)</w:t>
      </w:r>
      <w:r>
        <w:tab/>
        <w:t xml:space="preserve">If the safety system is classified as belonging to different classes for different parts of the levy period, the levy amount for the levy period is worked out by — </w:t>
      </w:r>
    </w:p>
    <w:p w:rsidR="001C55C6" w:rsidRDefault="00321A8E">
      <w:pPr>
        <w:pStyle w:val="Indenta"/>
      </w:pPr>
      <w:r>
        <w:tab/>
        <w:t>(a)</w:t>
      </w:r>
      <w:r>
        <w:tab/>
        <w:t xml:space="preserve">working out an amount (A) for each part of the levy period using the formula — </w:t>
      </w:r>
    </w:p>
    <w:p w:rsidR="001C55C6" w:rsidRDefault="00321A8E">
      <w:pPr>
        <w:pStyle w:val="Indenta"/>
      </w:pPr>
      <w:r>
        <w:tab/>
      </w:r>
      <w:r>
        <w:tab/>
      </w:r>
      <w:r>
        <w:rPr>
          <w:noProof/>
          <w:position w:val="-24"/>
          <w:lang w:val="en-US" w:eastAsia="en-US"/>
        </w:rPr>
        <w:drawing>
          <wp:inline distT="0" distB="0" distL="0" distR="0">
            <wp:extent cx="904875" cy="3905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04875" cy="390525"/>
                    </a:xfrm>
                    <a:prstGeom prst="rect">
                      <a:avLst/>
                    </a:prstGeom>
                    <a:noFill/>
                    <a:ln>
                      <a:noFill/>
                    </a:ln>
                  </pic:spPr>
                </pic:pic>
              </a:graphicData>
            </a:graphic>
          </wp:inline>
        </w:drawing>
      </w:r>
    </w:p>
    <w:p w:rsidR="001C55C6" w:rsidRDefault="00321A8E">
      <w:pPr>
        <w:pStyle w:val="Indenta"/>
      </w:pPr>
      <w:r>
        <w:tab/>
      </w:r>
      <w:r>
        <w:tab/>
        <w:t xml:space="preserve">where — </w:t>
      </w:r>
    </w:p>
    <w:p w:rsidR="001C55C6" w:rsidRDefault="00321A8E" w:rsidP="00FF37C0">
      <w:pPr>
        <w:pStyle w:val="Indenta"/>
        <w:tabs>
          <w:tab w:val="left" w:pos="1985"/>
        </w:tabs>
      </w:pPr>
      <w:r>
        <w:tab/>
      </w:r>
      <w:r>
        <w:tab/>
        <w:t>R</w:t>
      </w:r>
      <w:r>
        <w:tab/>
        <w:t>is $8 500;</w:t>
      </w:r>
    </w:p>
    <w:p w:rsidR="001C55C6" w:rsidRDefault="00321A8E">
      <w:pPr>
        <w:pStyle w:val="Indenta"/>
        <w:tabs>
          <w:tab w:val="left" w:pos="1985"/>
        </w:tabs>
      </w:pPr>
      <w:r>
        <w:tab/>
      </w:r>
      <w:r>
        <w:tab/>
        <w:t>P</w:t>
      </w:r>
      <w:r>
        <w:tab/>
        <w:t>is the number of days the operation to which the safety system relates was carried out during the part of the levy period;</w:t>
      </w:r>
    </w:p>
    <w:p w:rsidR="001C55C6" w:rsidRDefault="00321A8E">
      <w:pPr>
        <w:pStyle w:val="Indenta"/>
        <w:tabs>
          <w:tab w:val="clear" w:pos="1332"/>
          <w:tab w:val="clear" w:pos="1616"/>
          <w:tab w:val="right" w:pos="1276"/>
          <w:tab w:val="left" w:pos="1560"/>
          <w:tab w:val="left" w:pos="1985"/>
        </w:tabs>
        <w:ind w:left="1985"/>
      </w:pPr>
      <w:r>
        <w:tab/>
      </w:r>
      <w:r>
        <w:tab/>
        <w:t>C</w:t>
      </w:r>
      <w:r>
        <w:tab/>
        <w:t>is the complexity rating for the class to which the safety system belongs for the part of the levy period;</w:t>
      </w:r>
    </w:p>
    <w:p w:rsidR="001C55C6" w:rsidRDefault="00321A8E">
      <w:pPr>
        <w:pStyle w:val="Indenta"/>
      </w:pPr>
      <w:r>
        <w:tab/>
      </w:r>
      <w:r>
        <w:tab/>
        <w:t>and</w:t>
      </w:r>
    </w:p>
    <w:p w:rsidR="001C55C6" w:rsidRDefault="00321A8E">
      <w:pPr>
        <w:pStyle w:val="Indenta"/>
      </w:pPr>
      <w:r>
        <w:tab/>
        <w:t>(b)</w:t>
      </w:r>
      <w:r>
        <w:tab/>
        <w:t>adding those amounts.</w:t>
      </w:r>
    </w:p>
    <w:p w:rsidR="001C55C6" w:rsidRDefault="00321A8E">
      <w:pPr>
        <w:pStyle w:val="Footnotesection"/>
      </w:pPr>
      <w:r>
        <w:tab/>
        <w:t>[Regulation 5 amended: Gazette 28 Sep 2012 p. 4656; 28 Jun 2013 p. 2829; 26 Jun 2015 p. 2261; 18 Jun 2019 p. 2055.]</w:t>
      </w:r>
    </w:p>
    <w:p w:rsidR="001C55C6" w:rsidRDefault="00321A8E">
      <w:pPr>
        <w:pStyle w:val="Heading2"/>
      </w:pPr>
      <w:bookmarkStart w:id="17" w:name="_Toc55895413"/>
      <w:bookmarkStart w:id="18" w:name="_Toc55895685"/>
      <w:bookmarkStart w:id="19" w:name="_Toc55903338"/>
      <w:bookmarkStart w:id="20" w:name="_Toc55903408"/>
      <w:r>
        <w:rPr>
          <w:rStyle w:val="CharPartNo"/>
        </w:rPr>
        <w:t>Part 3</w:t>
      </w:r>
      <w:r>
        <w:rPr>
          <w:rStyle w:val="CharDivNo"/>
        </w:rPr>
        <w:t> </w:t>
      </w:r>
      <w:r>
        <w:t>—</w:t>
      </w:r>
      <w:r>
        <w:rPr>
          <w:rStyle w:val="CharDivText"/>
        </w:rPr>
        <w:t> </w:t>
      </w:r>
      <w:r>
        <w:rPr>
          <w:rStyle w:val="CharPartText"/>
        </w:rPr>
        <w:t>Classification of safety systems</w:t>
      </w:r>
      <w:bookmarkEnd w:id="17"/>
      <w:bookmarkEnd w:id="18"/>
      <w:bookmarkEnd w:id="19"/>
      <w:bookmarkEnd w:id="20"/>
    </w:p>
    <w:p w:rsidR="001C55C6" w:rsidRDefault="00321A8E">
      <w:pPr>
        <w:pStyle w:val="Heading5"/>
      </w:pPr>
      <w:bookmarkStart w:id="21" w:name="_Toc55903409"/>
      <w:r>
        <w:rPr>
          <w:rStyle w:val="CharSectno"/>
        </w:rPr>
        <w:t>6</w:t>
      </w:r>
      <w:r>
        <w:t>.</w:t>
      </w:r>
      <w:r>
        <w:tab/>
        <w:t>Classes of safety system</w:t>
      </w:r>
      <w:bookmarkEnd w:id="21"/>
    </w:p>
    <w:p w:rsidR="001C55C6" w:rsidRDefault="00321A8E">
      <w:pPr>
        <w:pStyle w:val="Subsection"/>
      </w:pPr>
      <w:r>
        <w:tab/>
      </w:r>
      <w:r>
        <w:tab/>
        <w:t>For the purposes of these regulations the classes of safety system are the classes listed in the Table.</w:t>
      </w:r>
    </w:p>
    <w:p w:rsidR="001C55C6" w:rsidRDefault="00321A8E">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1C55C6">
        <w:tc>
          <w:tcPr>
            <w:tcW w:w="3033" w:type="dxa"/>
          </w:tcPr>
          <w:p w:rsidR="001C55C6" w:rsidRDefault="00321A8E">
            <w:pPr>
              <w:pStyle w:val="TableNAm"/>
            </w:pPr>
            <w:r>
              <w:t>Class A</w:t>
            </w:r>
          </w:p>
        </w:tc>
        <w:tc>
          <w:tcPr>
            <w:tcW w:w="3034" w:type="dxa"/>
          </w:tcPr>
          <w:p w:rsidR="001C55C6" w:rsidRDefault="00321A8E">
            <w:pPr>
              <w:pStyle w:val="TableNAm"/>
            </w:pPr>
            <w:r>
              <w:t>Class B</w:t>
            </w:r>
          </w:p>
        </w:tc>
      </w:tr>
      <w:tr w:rsidR="001C55C6">
        <w:tc>
          <w:tcPr>
            <w:tcW w:w="3033" w:type="dxa"/>
          </w:tcPr>
          <w:p w:rsidR="001C55C6" w:rsidRDefault="00321A8E">
            <w:pPr>
              <w:pStyle w:val="TableNAm"/>
            </w:pPr>
            <w:r>
              <w:t>Class C</w:t>
            </w:r>
          </w:p>
        </w:tc>
        <w:tc>
          <w:tcPr>
            <w:tcW w:w="3034" w:type="dxa"/>
          </w:tcPr>
          <w:p w:rsidR="001C55C6" w:rsidRDefault="00321A8E">
            <w:pPr>
              <w:pStyle w:val="TableNAm"/>
            </w:pPr>
            <w:r>
              <w:t>Class D</w:t>
            </w:r>
          </w:p>
        </w:tc>
      </w:tr>
      <w:tr w:rsidR="001C55C6">
        <w:tc>
          <w:tcPr>
            <w:tcW w:w="3033" w:type="dxa"/>
          </w:tcPr>
          <w:p w:rsidR="001C55C6" w:rsidRDefault="00321A8E">
            <w:pPr>
              <w:pStyle w:val="TableNAm"/>
            </w:pPr>
            <w:r>
              <w:t>Class E</w:t>
            </w:r>
          </w:p>
        </w:tc>
        <w:tc>
          <w:tcPr>
            <w:tcW w:w="3034" w:type="dxa"/>
          </w:tcPr>
          <w:p w:rsidR="001C55C6" w:rsidRDefault="00321A8E">
            <w:pPr>
              <w:pStyle w:val="TableNAm"/>
            </w:pPr>
            <w:r>
              <w:t>Class F</w:t>
            </w:r>
          </w:p>
        </w:tc>
      </w:tr>
    </w:tbl>
    <w:p w:rsidR="001C55C6" w:rsidRDefault="00321A8E">
      <w:pPr>
        <w:pStyle w:val="Heading5"/>
      </w:pPr>
      <w:bookmarkStart w:id="22" w:name="_Toc55903410"/>
      <w:r>
        <w:rPr>
          <w:rStyle w:val="CharSectno"/>
        </w:rPr>
        <w:t>7</w:t>
      </w:r>
      <w:r>
        <w:t>.</w:t>
      </w:r>
      <w:r>
        <w:tab/>
        <w:t>CEO to determine classification of safety system</w:t>
      </w:r>
      <w:bookmarkEnd w:id="22"/>
    </w:p>
    <w:p w:rsidR="001C55C6" w:rsidRDefault="00321A8E">
      <w:pPr>
        <w:pStyle w:val="Subsection"/>
      </w:pPr>
      <w:r>
        <w:tab/>
        <w:t>(1)</w:t>
      </w:r>
      <w:r>
        <w:tab/>
        <w:t xml:space="preserve">In this regulation — </w:t>
      </w:r>
    </w:p>
    <w:p w:rsidR="001C55C6" w:rsidRDefault="00321A8E">
      <w:pPr>
        <w:pStyle w:val="Defstart"/>
      </w:pPr>
      <w:r>
        <w:tab/>
      </w:r>
      <w:r>
        <w:rPr>
          <w:rStyle w:val="CharDefText"/>
        </w:rPr>
        <w:t>other protected persons</w:t>
      </w:r>
      <w:r>
        <w:t xml:space="preserve"> — </w:t>
      </w:r>
    </w:p>
    <w:p w:rsidR="001C55C6" w:rsidRDefault="00321A8E">
      <w:pPr>
        <w:pStyle w:val="Defpara"/>
      </w:pPr>
      <w:r>
        <w:tab/>
        <w:t>(a)</w:t>
      </w:r>
      <w:r>
        <w:tab/>
        <w:t xml:space="preserve">in relation to a petroleum operation or a geothermal energy operation — has the same meaning as it has in the </w:t>
      </w:r>
      <w:r>
        <w:rPr>
          <w:i/>
        </w:rPr>
        <w:t>Petroleum and Geothermal Energy Resources Act 1967</w:t>
      </w:r>
      <w:r>
        <w:t>; and</w:t>
      </w:r>
    </w:p>
    <w:p w:rsidR="001C55C6" w:rsidRDefault="00321A8E">
      <w:pPr>
        <w:pStyle w:val="Defpara"/>
      </w:pPr>
      <w:r>
        <w:tab/>
        <w:t>(b)</w:t>
      </w:r>
      <w:r>
        <w:tab/>
        <w:t xml:space="preserve">in relation to a pipeline operation — has the same meaning as it has in the </w:t>
      </w:r>
      <w:r>
        <w:rPr>
          <w:i/>
        </w:rPr>
        <w:t>Petroleum Pipelines Act 1969</w:t>
      </w:r>
      <w:r>
        <w:t>;</w:t>
      </w:r>
    </w:p>
    <w:p w:rsidR="001C55C6" w:rsidRDefault="00321A8E">
      <w:pPr>
        <w:pStyle w:val="Defstart"/>
      </w:pPr>
      <w:r>
        <w:tab/>
      </w:r>
      <w:r>
        <w:rPr>
          <w:rStyle w:val="CharDefText"/>
        </w:rPr>
        <w:t>relevant period</w:t>
      </w:r>
      <w:r>
        <w:t xml:space="preserve"> means the levy period or the relevant part of the levy period, as the case requires.</w:t>
      </w:r>
    </w:p>
    <w:p w:rsidR="001C55C6" w:rsidRDefault="00321A8E">
      <w:pPr>
        <w:pStyle w:val="Subsection"/>
      </w:pPr>
      <w:r>
        <w:tab/>
        <w:t>(2)</w:t>
      </w:r>
      <w:r>
        <w:tab/>
        <w:t>This regulation applies if a safety levy is payable in respect of a safety system.</w:t>
      </w:r>
    </w:p>
    <w:p w:rsidR="001C55C6" w:rsidRDefault="00321A8E">
      <w:pPr>
        <w:pStyle w:val="Subsection"/>
      </w:pPr>
      <w:r>
        <w:tab/>
        <w:t>(3)</w:t>
      </w:r>
      <w:r>
        <w:tab/>
        <w:t xml:space="preserve">For the purposes of assessing the levy amount payable in respect of the safety system, the CEO must, after the end of the levy period to which the levy amount relates, determine the classification of the safety system for the levy period by classifying the safety system, in accordance with this regulation, as belonging to — </w:t>
      </w:r>
    </w:p>
    <w:p w:rsidR="001C55C6" w:rsidRDefault="00321A8E">
      <w:pPr>
        <w:pStyle w:val="Indenta"/>
      </w:pPr>
      <w:r>
        <w:tab/>
        <w:t>(a)</w:t>
      </w:r>
      <w:r>
        <w:tab/>
        <w:t>one class for the levy period; or</w:t>
      </w:r>
    </w:p>
    <w:p w:rsidR="001C55C6" w:rsidRDefault="00321A8E">
      <w:pPr>
        <w:pStyle w:val="Indenta"/>
      </w:pPr>
      <w:r>
        <w:tab/>
        <w:t>(b)</w:t>
      </w:r>
      <w:r>
        <w:tab/>
        <w:t>different classes for different parts of the levy period.</w:t>
      </w:r>
    </w:p>
    <w:p w:rsidR="001C55C6" w:rsidRDefault="00321A8E">
      <w:pPr>
        <w:pStyle w:val="Subsection"/>
      </w:pPr>
      <w:r>
        <w:tab/>
        <w:t>(4)</w:t>
      </w:r>
      <w:r>
        <w:tab/>
        <w:t xml:space="preserve">The CEO must classify the safety system as belonging to — </w:t>
      </w:r>
    </w:p>
    <w:p w:rsidR="001C55C6" w:rsidRDefault="00321A8E">
      <w:pPr>
        <w:pStyle w:val="Indenta"/>
      </w:pPr>
      <w:r>
        <w:tab/>
        <w:t>(a)</w:t>
      </w:r>
      <w:r>
        <w:tab/>
        <w:t>Class A for the relevant period if the CEO considers that the operation to which the safety system relates was of extreme complexity for the duration of that period; or</w:t>
      </w:r>
    </w:p>
    <w:p w:rsidR="001C55C6" w:rsidRDefault="00321A8E">
      <w:pPr>
        <w:pStyle w:val="Indenta"/>
      </w:pPr>
      <w:r>
        <w:tab/>
        <w:t>(b)</w:t>
      </w:r>
      <w:r>
        <w:tab/>
        <w:t>Class B for the relevant period if the CEO considers that the operation to which the safety system relates was of high complexity for the duration of that period; or</w:t>
      </w:r>
    </w:p>
    <w:p w:rsidR="001C55C6" w:rsidRDefault="00321A8E">
      <w:pPr>
        <w:pStyle w:val="Indenta"/>
      </w:pPr>
      <w:r>
        <w:tab/>
        <w:t>(c)</w:t>
      </w:r>
      <w:r>
        <w:tab/>
        <w:t>Class C for the relevant period if the CEO considers that the operation to which the safety system relates was of moderately high complexity for the duration of that period; or</w:t>
      </w:r>
    </w:p>
    <w:p w:rsidR="001C55C6" w:rsidRDefault="00321A8E">
      <w:pPr>
        <w:pStyle w:val="Indenta"/>
      </w:pPr>
      <w:r>
        <w:tab/>
        <w:t>(d)</w:t>
      </w:r>
      <w:r>
        <w:tab/>
        <w:t>Class D for the relevant period if the CEO considers that the operation to which the safety system relates was of moderate complexity for the duration of that period; or</w:t>
      </w:r>
    </w:p>
    <w:p w:rsidR="001C55C6" w:rsidRDefault="00321A8E">
      <w:pPr>
        <w:pStyle w:val="Indenta"/>
      </w:pPr>
      <w:r>
        <w:tab/>
        <w:t>(e)</w:t>
      </w:r>
      <w:r>
        <w:tab/>
        <w:t>Class E for the relevant period if the CEO considers that the operation to which the safety system relates was of low complexity for the duration of that period; or</w:t>
      </w:r>
    </w:p>
    <w:p w:rsidR="001C55C6" w:rsidRDefault="00321A8E">
      <w:pPr>
        <w:pStyle w:val="Indenta"/>
      </w:pPr>
      <w:r>
        <w:tab/>
        <w:t>(f)</w:t>
      </w:r>
      <w:r>
        <w:tab/>
        <w:t>Class F for the relevant period if the CEO considers that the operation to which the safety system relates was of minimal complexity for the duration of that period.</w:t>
      </w:r>
    </w:p>
    <w:p w:rsidR="001C55C6" w:rsidRDefault="00321A8E">
      <w:pPr>
        <w:pStyle w:val="Subsection"/>
      </w:pPr>
      <w:r>
        <w:tab/>
        <w:t>(5)</w:t>
      </w:r>
      <w:r>
        <w:tab/>
        <w:t xml:space="preserve">When assessing the complexity of the operation to which the safety system relates for the purposes of subregulation (4) the CEO must have regard to the following — </w:t>
      </w:r>
    </w:p>
    <w:p w:rsidR="001C55C6" w:rsidRDefault="00321A8E">
      <w:pPr>
        <w:pStyle w:val="Indenta"/>
      </w:pPr>
      <w:r>
        <w:tab/>
        <w:t>(a)</w:t>
      </w:r>
      <w:r>
        <w:tab/>
        <w:t>the nature and extent of the operation;</w:t>
      </w:r>
    </w:p>
    <w:p w:rsidR="001C55C6" w:rsidRDefault="00321A8E">
      <w:pPr>
        <w:pStyle w:val="Indenta"/>
      </w:pPr>
      <w:r>
        <w:tab/>
        <w:t>(b)</w:t>
      </w:r>
      <w:r>
        <w:tab/>
        <w:t>the number of persons engaged in the operation;</w:t>
      </w:r>
    </w:p>
    <w:p w:rsidR="001C55C6" w:rsidRDefault="00321A8E">
      <w:pPr>
        <w:pStyle w:val="Indenta"/>
      </w:pPr>
      <w:r>
        <w:tab/>
        <w:t>(c)</w:t>
      </w:r>
      <w:r>
        <w:tab/>
        <w:t xml:space="preserve">the level of risk to — </w:t>
      </w:r>
    </w:p>
    <w:p w:rsidR="001C55C6" w:rsidRDefault="00321A8E">
      <w:pPr>
        <w:pStyle w:val="Indenti"/>
      </w:pPr>
      <w:r>
        <w:tab/>
        <w:t>(i)</w:t>
      </w:r>
      <w:r>
        <w:tab/>
        <w:t>the occupational safety and health of persons engaged in the operation; and</w:t>
      </w:r>
    </w:p>
    <w:p w:rsidR="001C55C6" w:rsidRDefault="00321A8E">
      <w:pPr>
        <w:pStyle w:val="Indenti"/>
      </w:pPr>
      <w:r>
        <w:tab/>
        <w:t>(ii)</w:t>
      </w:r>
      <w:r>
        <w:tab/>
        <w:t>in the case of a petroleum operation, geothermal energy operation or pipeline operation — to the safety and health of other protected persons,</w:t>
      </w:r>
    </w:p>
    <w:p w:rsidR="001C55C6" w:rsidRDefault="00321A8E">
      <w:pPr>
        <w:pStyle w:val="Indenta"/>
      </w:pPr>
      <w:r>
        <w:tab/>
      </w:r>
      <w:r>
        <w:tab/>
        <w:t>arising from the operation;</w:t>
      </w:r>
    </w:p>
    <w:p w:rsidR="001C55C6" w:rsidRDefault="00321A8E">
      <w:pPr>
        <w:pStyle w:val="Indenta"/>
      </w:pPr>
      <w:r>
        <w:tab/>
        <w:t>(d)</w:t>
      </w:r>
      <w:r>
        <w:tab/>
        <w:t xml:space="preserve">whether, and if so the extent to which, any of the following activities were undertaken in respect of any facilities, pipelines, plant or equipment forming part of the operation — </w:t>
      </w:r>
    </w:p>
    <w:p w:rsidR="001C55C6" w:rsidRDefault="00321A8E">
      <w:pPr>
        <w:pStyle w:val="Indenti"/>
      </w:pPr>
      <w:r>
        <w:tab/>
        <w:t>(i)</w:t>
      </w:r>
      <w:r>
        <w:tab/>
        <w:t xml:space="preserve">inspection activities (involving persons other than inspectors appointed under the </w:t>
      </w:r>
      <w:r>
        <w:rPr>
          <w:i/>
        </w:rPr>
        <w:t>Petroleum and Geothermal Energy Resources Act 1967</w:t>
      </w:r>
      <w:r>
        <w:t>, the</w:t>
      </w:r>
      <w:r>
        <w:rPr>
          <w:i/>
        </w:rPr>
        <w:t xml:space="preserve"> Petroleum Pipelines Act 1969</w:t>
      </w:r>
      <w:r>
        <w:t xml:space="preserve"> or the </w:t>
      </w:r>
      <w:r>
        <w:rPr>
          <w:i/>
        </w:rPr>
        <w:t>Petroleum (Submerged Lands) Act 1982</w:t>
      </w:r>
      <w:r>
        <w:t>);</w:t>
      </w:r>
    </w:p>
    <w:p w:rsidR="001C55C6" w:rsidRDefault="00321A8E">
      <w:pPr>
        <w:pStyle w:val="Indenti"/>
      </w:pPr>
      <w:r>
        <w:tab/>
        <w:t>(ii)</w:t>
      </w:r>
      <w:r>
        <w:tab/>
        <w:t>maintenance or repair activities,</w:t>
      </w:r>
    </w:p>
    <w:p w:rsidR="001C55C6" w:rsidRDefault="00321A8E">
      <w:pPr>
        <w:pStyle w:val="Subsection"/>
      </w:pPr>
      <w:r>
        <w:tab/>
      </w:r>
      <w:r>
        <w:tab/>
        <w:t>and may have regard to any other matter the CEO considers relevant.</w:t>
      </w:r>
    </w:p>
    <w:p w:rsidR="001C55C6" w:rsidRDefault="00321A8E">
      <w:pPr>
        <w:pStyle w:val="Footnotesection"/>
      </w:pPr>
      <w:r>
        <w:tab/>
        <w:t>[Regulation 7 amended: Gazette 28 Sep 2012 p. 4657.]</w:t>
      </w:r>
    </w:p>
    <w:p w:rsidR="001C55C6" w:rsidRDefault="00321A8E">
      <w:pPr>
        <w:pStyle w:val="Heading2"/>
      </w:pPr>
      <w:bookmarkStart w:id="23" w:name="_Toc55895416"/>
      <w:bookmarkStart w:id="24" w:name="_Toc55895688"/>
      <w:bookmarkStart w:id="25" w:name="_Toc55903341"/>
      <w:bookmarkStart w:id="26" w:name="_Toc55903411"/>
      <w:r>
        <w:rPr>
          <w:rStyle w:val="CharPartNo"/>
        </w:rPr>
        <w:t>Part 4</w:t>
      </w:r>
      <w:r>
        <w:rPr>
          <w:rStyle w:val="CharDivNo"/>
        </w:rPr>
        <w:t> </w:t>
      </w:r>
      <w:r>
        <w:t>—</w:t>
      </w:r>
      <w:r>
        <w:rPr>
          <w:rStyle w:val="CharDivText"/>
        </w:rPr>
        <w:t> </w:t>
      </w:r>
      <w:r>
        <w:rPr>
          <w:rStyle w:val="CharPartText"/>
        </w:rPr>
        <w:t>Assessment and reassessment of safety levies</w:t>
      </w:r>
      <w:bookmarkEnd w:id="23"/>
      <w:bookmarkEnd w:id="24"/>
      <w:bookmarkEnd w:id="25"/>
      <w:bookmarkEnd w:id="26"/>
    </w:p>
    <w:p w:rsidR="001C55C6" w:rsidRDefault="00321A8E">
      <w:pPr>
        <w:pStyle w:val="Heading5"/>
      </w:pPr>
      <w:bookmarkStart w:id="27" w:name="_Toc55903412"/>
      <w:r>
        <w:rPr>
          <w:rStyle w:val="CharSectno"/>
        </w:rPr>
        <w:t>8</w:t>
      </w:r>
      <w:r>
        <w:t>.</w:t>
      </w:r>
      <w:r>
        <w:tab/>
        <w:t>Assessment</w:t>
      </w:r>
      <w:bookmarkEnd w:id="27"/>
    </w:p>
    <w:p w:rsidR="001C55C6" w:rsidRDefault="00321A8E">
      <w:pPr>
        <w:pStyle w:val="Subsection"/>
      </w:pPr>
      <w:r>
        <w:tab/>
        <w:t>(1)</w:t>
      </w:r>
      <w:r>
        <w:tab/>
        <w:t>If an amount of safety levy is payable in respect of a levy period, the CEO must, after the end of the levy period, assess the levy amount.</w:t>
      </w:r>
    </w:p>
    <w:p w:rsidR="001C55C6" w:rsidRDefault="00321A8E">
      <w:pPr>
        <w:pStyle w:val="Subsection"/>
      </w:pPr>
      <w:r>
        <w:tab/>
        <w:t>(2)</w:t>
      </w:r>
      <w:r>
        <w:tab/>
        <w:t xml:space="preserve">In addition to the matters referred to in section 10(1)(b)(i) and (ii), each notice given under section 10(1)(b) must specify the following — </w:t>
      </w:r>
    </w:p>
    <w:p w:rsidR="001C55C6" w:rsidRDefault="00321A8E">
      <w:pPr>
        <w:pStyle w:val="Indenta"/>
      </w:pPr>
      <w:r>
        <w:tab/>
        <w:t>(a)</w:t>
      </w:r>
      <w:r>
        <w:tab/>
        <w:t>the day on which the notice was issued;</w:t>
      </w:r>
    </w:p>
    <w:p w:rsidR="001C55C6" w:rsidRDefault="00321A8E">
      <w:pPr>
        <w:pStyle w:val="Indenta"/>
      </w:pPr>
      <w:r>
        <w:tab/>
        <w:t>(b)</w:t>
      </w:r>
      <w:r>
        <w:tab/>
        <w:t>the identifying number of the safety system to which the notice relates;</w:t>
      </w:r>
    </w:p>
    <w:p w:rsidR="001C55C6" w:rsidRDefault="00321A8E">
      <w:pPr>
        <w:pStyle w:val="Indenta"/>
      </w:pPr>
      <w:r>
        <w:tab/>
        <w:t>(c)</w:t>
      </w:r>
      <w:r>
        <w:tab/>
        <w:t>the number of days the operation to which the safety system relates was carried out during the levy period to which the notice relates;</w:t>
      </w:r>
    </w:p>
    <w:p w:rsidR="001C55C6" w:rsidRDefault="00321A8E">
      <w:pPr>
        <w:pStyle w:val="Indenta"/>
      </w:pPr>
      <w:r>
        <w:tab/>
        <w:t>(d)</w:t>
      </w:r>
      <w:r>
        <w:tab/>
        <w:t xml:space="preserve">the classification of the safety system for the levy period to which the notice relates and, if that classification involves different classes for different parts of the levy period — </w:t>
      </w:r>
    </w:p>
    <w:p w:rsidR="001C55C6" w:rsidRDefault="00321A8E">
      <w:pPr>
        <w:pStyle w:val="Indenti"/>
      </w:pPr>
      <w:r>
        <w:tab/>
        <w:t>(i)</w:t>
      </w:r>
      <w:r>
        <w:tab/>
        <w:t>each class; and</w:t>
      </w:r>
    </w:p>
    <w:p w:rsidR="001C55C6" w:rsidRDefault="00321A8E">
      <w:pPr>
        <w:pStyle w:val="Indenti"/>
      </w:pPr>
      <w:r>
        <w:tab/>
        <w:t>(ii)</w:t>
      </w:r>
      <w:r>
        <w:tab/>
        <w:t>the part of the levy period (expressed as a number of days) to which each class applies.</w:t>
      </w:r>
    </w:p>
    <w:p w:rsidR="001C55C6" w:rsidRDefault="00321A8E">
      <w:pPr>
        <w:pStyle w:val="Subsection"/>
      </w:pPr>
      <w:r>
        <w:tab/>
        <w:t>(3)</w:t>
      </w:r>
      <w:r>
        <w:tab/>
        <w:t>The day referred to in section 10(1)(b)(ii) must not be earlier than 30 days after the day specified in the notice as the day on which the notice was issued.</w:t>
      </w:r>
    </w:p>
    <w:p w:rsidR="001C55C6" w:rsidRDefault="00321A8E">
      <w:pPr>
        <w:pStyle w:val="Footnotesection"/>
      </w:pPr>
      <w:r>
        <w:tab/>
        <w:t>[Regulation 8 amended: Gazette 28 Sep 2012 p. 4657.]</w:t>
      </w:r>
    </w:p>
    <w:p w:rsidR="001C55C6" w:rsidRDefault="00321A8E">
      <w:pPr>
        <w:pStyle w:val="Heading5"/>
      </w:pPr>
      <w:bookmarkStart w:id="28" w:name="_Toc55903413"/>
      <w:r>
        <w:rPr>
          <w:rStyle w:val="CharSectno"/>
        </w:rPr>
        <w:t>9</w:t>
      </w:r>
      <w:r>
        <w:t>.</w:t>
      </w:r>
      <w:r>
        <w:tab/>
        <w:t>CEO may make reassessment</w:t>
      </w:r>
      <w:bookmarkEnd w:id="28"/>
    </w:p>
    <w:p w:rsidR="001C55C6" w:rsidRDefault="00321A8E">
      <w:pPr>
        <w:pStyle w:val="Subsection"/>
      </w:pPr>
      <w:r>
        <w:tab/>
        <w:t>(1)</w:t>
      </w:r>
      <w:r>
        <w:tab/>
        <w:t xml:space="preserve">The CEO may reassess a levy amount if the CEO considers that — </w:t>
      </w:r>
    </w:p>
    <w:p w:rsidR="001C55C6" w:rsidRDefault="00321A8E">
      <w:pPr>
        <w:pStyle w:val="Indenta"/>
      </w:pPr>
      <w:r>
        <w:tab/>
        <w:t>(a)</w:t>
      </w:r>
      <w:r>
        <w:tab/>
        <w:t xml:space="preserve">there has been an error in the assessment of the levy amount (the </w:t>
      </w:r>
      <w:r>
        <w:rPr>
          <w:rStyle w:val="CharDefText"/>
        </w:rPr>
        <w:t>original assessment</w:t>
      </w:r>
      <w:r>
        <w:t>); or</w:t>
      </w:r>
    </w:p>
    <w:p w:rsidR="001C55C6" w:rsidRDefault="00321A8E">
      <w:pPr>
        <w:pStyle w:val="Indenta"/>
      </w:pPr>
      <w:r>
        <w:tab/>
        <w:t>(b)</w:t>
      </w:r>
      <w:r>
        <w:tab/>
        <w:t>there has been an error in an earlier reassessment of the levy amount; or</w:t>
      </w:r>
    </w:p>
    <w:p w:rsidR="001C55C6" w:rsidRDefault="00321A8E">
      <w:pPr>
        <w:pStyle w:val="Indenta"/>
      </w:pPr>
      <w:r>
        <w:tab/>
        <w:t>(c)</w:t>
      </w:r>
      <w:r>
        <w:tab/>
        <w:t>there has been an error in the classification of the safety system in respect of which the levy amount is payable; or</w:t>
      </w:r>
    </w:p>
    <w:p w:rsidR="001C55C6" w:rsidRDefault="00321A8E">
      <w:pPr>
        <w:pStyle w:val="Indenta"/>
      </w:pPr>
      <w:r>
        <w:tab/>
        <w:t>(d)</w:t>
      </w:r>
      <w:r>
        <w:tab/>
        <w:t>it is otherwise appropriate to do so.</w:t>
      </w:r>
    </w:p>
    <w:p w:rsidR="001C55C6" w:rsidRDefault="00321A8E">
      <w:pPr>
        <w:pStyle w:val="Subsection"/>
      </w:pPr>
      <w:r>
        <w:tab/>
        <w:t>(2)</w:t>
      </w:r>
      <w:r>
        <w:tab/>
        <w:t>A reassessment may increase or decrease the levy amount or determine that the levy amount is to remain unchanged.</w:t>
      </w:r>
    </w:p>
    <w:p w:rsidR="001C55C6" w:rsidRDefault="00321A8E">
      <w:pPr>
        <w:pStyle w:val="Subsection"/>
      </w:pPr>
      <w:r>
        <w:tab/>
        <w:t>(3)</w:t>
      </w:r>
      <w:r>
        <w:tab/>
        <w:t>A reassessment may be made whether or not the levy amount or any part of it has been paid in relation to the original assessment or any earlier reassessment.</w:t>
      </w:r>
    </w:p>
    <w:p w:rsidR="001C55C6" w:rsidRDefault="00321A8E">
      <w:pPr>
        <w:pStyle w:val="Subsection"/>
      </w:pPr>
      <w:r>
        <w:tab/>
        <w:t>(4)</w:t>
      </w:r>
      <w:r>
        <w:tab/>
        <w:t>A reassessment cannot be made more than 2 years after the original assessment was made.</w:t>
      </w:r>
    </w:p>
    <w:p w:rsidR="001C55C6" w:rsidRDefault="00321A8E">
      <w:pPr>
        <w:pStyle w:val="Heading5"/>
      </w:pPr>
      <w:bookmarkStart w:id="29" w:name="_Toc55903414"/>
      <w:r>
        <w:rPr>
          <w:rStyle w:val="CharSectno"/>
        </w:rPr>
        <w:t>10</w:t>
      </w:r>
      <w:r>
        <w:t>.</w:t>
      </w:r>
      <w:r>
        <w:tab/>
        <w:t>Notice of reassessment</w:t>
      </w:r>
      <w:bookmarkEnd w:id="29"/>
    </w:p>
    <w:p w:rsidR="001C55C6" w:rsidRDefault="00321A8E">
      <w:pPr>
        <w:pStyle w:val="Subsection"/>
      </w:pPr>
      <w:r>
        <w:tab/>
        <w:t>(1)</w:t>
      </w:r>
      <w:r>
        <w:tab/>
        <w:t>If, on a reassessment under regulation 9, the levy amount is increased or decreased the CEO must give a notice of reassessment to the person liable to pay the safety levy.</w:t>
      </w:r>
    </w:p>
    <w:p w:rsidR="001C55C6" w:rsidRDefault="00321A8E">
      <w:pPr>
        <w:pStyle w:val="Subsection"/>
      </w:pPr>
      <w:r>
        <w:tab/>
        <w:t>(2)</w:t>
      </w:r>
      <w:r>
        <w:tab/>
        <w:t xml:space="preserve">The notice of reassessment must specify the following — </w:t>
      </w:r>
    </w:p>
    <w:p w:rsidR="001C55C6" w:rsidRDefault="00321A8E">
      <w:pPr>
        <w:pStyle w:val="Indenta"/>
      </w:pPr>
      <w:r>
        <w:tab/>
        <w:t>(a)</w:t>
      </w:r>
      <w:r>
        <w:tab/>
        <w:t>the day on which the notice was issued;</w:t>
      </w:r>
    </w:p>
    <w:p w:rsidR="001C55C6" w:rsidRDefault="00321A8E">
      <w:pPr>
        <w:pStyle w:val="Indenta"/>
      </w:pPr>
      <w:r>
        <w:tab/>
        <w:t>(b)</w:t>
      </w:r>
      <w:r>
        <w:tab/>
        <w:t>the levy amount as reassessed;</w:t>
      </w:r>
    </w:p>
    <w:p w:rsidR="001C55C6" w:rsidRDefault="00321A8E">
      <w:pPr>
        <w:pStyle w:val="Indenta"/>
      </w:pPr>
      <w:r>
        <w:tab/>
        <w:t>(c)</w:t>
      </w:r>
      <w:r>
        <w:tab/>
        <w:t xml:space="preserve">if the levy amount is increased — </w:t>
      </w:r>
    </w:p>
    <w:p w:rsidR="001C55C6" w:rsidRDefault="00321A8E">
      <w:pPr>
        <w:pStyle w:val="Indenti"/>
      </w:pPr>
      <w:r>
        <w:tab/>
        <w:t>(i)</w:t>
      </w:r>
      <w:r>
        <w:tab/>
        <w:t>any amount of safety levy payable under the original assessment, or any earlier reassessment, that is unpaid; and</w:t>
      </w:r>
    </w:p>
    <w:p w:rsidR="001C55C6" w:rsidRDefault="00321A8E">
      <w:pPr>
        <w:pStyle w:val="Indenti"/>
      </w:pPr>
      <w:r>
        <w:tab/>
        <w:t>(ii)</w:t>
      </w:r>
      <w:r>
        <w:tab/>
        <w:t>any additional amount of safety levy payable as a consequence of the reassessment and the day on which that amount is payable; and</w:t>
      </w:r>
    </w:p>
    <w:p w:rsidR="001C55C6" w:rsidRDefault="00321A8E">
      <w:pPr>
        <w:pStyle w:val="Indenti"/>
      </w:pPr>
      <w:r>
        <w:tab/>
        <w:t>(iii)</w:t>
      </w:r>
      <w:r>
        <w:tab/>
        <w:t>any penalty amount that is owing;</w:t>
      </w:r>
    </w:p>
    <w:p w:rsidR="001C55C6" w:rsidRDefault="00321A8E">
      <w:pPr>
        <w:pStyle w:val="Indenta"/>
      </w:pPr>
      <w:r>
        <w:tab/>
        <w:t>(d)</w:t>
      </w:r>
      <w:r>
        <w:tab/>
        <w:t xml:space="preserve">if the levy amount is decreased — </w:t>
      </w:r>
    </w:p>
    <w:p w:rsidR="001C55C6" w:rsidRDefault="00321A8E">
      <w:pPr>
        <w:pStyle w:val="Indenti"/>
      </w:pPr>
      <w:r>
        <w:tab/>
        <w:t>(i)</w:t>
      </w:r>
      <w:r>
        <w:tab/>
        <w:t>any amount of safety levy payable under the original assessment, or any earlier reassessment, that is unpaid (after taking into account the reassessment); and</w:t>
      </w:r>
    </w:p>
    <w:p w:rsidR="001C55C6" w:rsidRDefault="00321A8E">
      <w:pPr>
        <w:pStyle w:val="Indenti"/>
      </w:pPr>
      <w:r>
        <w:tab/>
        <w:t>(ii)</w:t>
      </w:r>
      <w:r>
        <w:tab/>
        <w:t>the amount of any refund; and</w:t>
      </w:r>
    </w:p>
    <w:p w:rsidR="001C55C6" w:rsidRDefault="00321A8E">
      <w:pPr>
        <w:pStyle w:val="Indenti"/>
      </w:pPr>
      <w:r>
        <w:tab/>
        <w:t>(iii)</w:t>
      </w:r>
      <w:r>
        <w:tab/>
        <w:t>any penalty amount that is owing (after taking into account the reassessment);</w:t>
      </w:r>
    </w:p>
    <w:p w:rsidR="001C55C6" w:rsidRDefault="00321A8E">
      <w:pPr>
        <w:pStyle w:val="Indenta"/>
      </w:pPr>
      <w:r>
        <w:tab/>
        <w:t>(e)</w:t>
      </w:r>
      <w:r>
        <w:tab/>
        <w:t>the identifying number of the safety system to which the notice relates;</w:t>
      </w:r>
    </w:p>
    <w:p w:rsidR="001C55C6" w:rsidRDefault="00321A8E">
      <w:pPr>
        <w:pStyle w:val="Indenta"/>
      </w:pPr>
      <w:r>
        <w:tab/>
        <w:t>(f)</w:t>
      </w:r>
      <w:r>
        <w:tab/>
        <w:t>the number of days the operation to which the safety system relates was carried out during the levy period to which the notice relates;</w:t>
      </w:r>
    </w:p>
    <w:p w:rsidR="001C55C6" w:rsidRDefault="00321A8E">
      <w:pPr>
        <w:pStyle w:val="Indenta"/>
      </w:pPr>
      <w:r>
        <w:tab/>
        <w:t>(g)</w:t>
      </w:r>
      <w:r>
        <w:tab/>
        <w:t xml:space="preserve">the classification of the safety system for the levy period to which the notice relates and, if that classification involves different classes for different parts of the levy period — </w:t>
      </w:r>
    </w:p>
    <w:p w:rsidR="001C55C6" w:rsidRDefault="00321A8E">
      <w:pPr>
        <w:pStyle w:val="Indenti"/>
      </w:pPr>
      <w:r>
        <w:tab/>
        <w:t>(i)</w:t>
      </w:r>
      <w:r>
        <w:tab/>
        <w:t>each class; and</w:t>
      </w:r>
    </w:p>
    <w:p w:rsidR="001C55C6" w:rsidRDefault="00321A8E">
      <w:pPr>
        <w:pStyle w:val="Indenti"/>
      </w:pPr>
      <w:r>
        <w:tab/>
        <w:t>(ii)</w:t>
      </w:r>
      <w:r>
        <w:tab/>
        <w:t>the part of the levy period (expressed as a number of days) to which each class applies.</w:t>
      </w:r>
    </w:p>
    <w:p w:rsidR="001C55C6" w:rsidRDefault="00321A8E">
      <w:pPr>
        <w:pStyle w:val="Subsection"/>
      </w:pPr>
      <w:r>
        <w:tab/>
        <w:t>(3)</w:t>
      </w:r>
      <w:r>
        <w:tab/>
        <w:t>The day referred to in subregulation (2)(c)(ii) must not be earlier than 30 days after the day specified in the notice of reassessment as the day on which the notice was issued.</w:t>
      </w:r>
    </w:p>
    <w:p w:rsidR="001C55C6" w:rsidRDefault="00321A8E">
      <w:pPr>
        <w:pStyle w:val="Subsection"/>
      </w:pPr>
      <w:r>
        <w:tab/>
        <w:t>(4)</w:t>
      </w:r>
      <w:r>
        <w:tab/>
        <w:t xml:space="preserve">If an amount of safety levy in excess of the amount referred to in subregulation (2)(b) has been paid by a person, the CEO must cause — </w:t>
      </w:r>
    </w:p>
    <w:p w:rsidR="001C55C6" w:rsidRDefault="00321A8E">
      <w:pPr>
        <w:pStyle w:val="Indenta"/>
      </w:pPr>
      <w:r>
        <w:tab/>
        <w:t>(a)</w:t>
      </w:r>
      <w:r>
        <w:tab/>
        <w:t xml:space="preserve">the amount of the excess; and </w:t>
      </w:r>
    </w:p>
    <w:p w:rsidR="001C55C6" w:rsidRDefault="00321A8E">
      <w:pPr>
        <w:pStyle w:val="Indenta"/>
      </w:pPr>
      <w:r>
        <w:tab/>
        <w:t>(b)</w:t>
      </w:r>
      <w:r>
        <w:tab/>
        <w:t>any penalty amount paid in relation to the amount of the excess,</w:t>
      </w:r>
    </w:p>
    <w:p w:rsidR="001C55C6" w:rsidRDefault="00321A8E">
      <w:pPr>
        <w:pStyle w:val="Subsection"/>
      </w:pPr>
      <w:r>
        <w:tab/>
      </w:r>
      <w:r>
        <w:tab/>
        <w:t>to be refunded to the person.</w:t>
      </w:r>
    </w:p>
    <w:p w:rsidR="001C55C6" w:rsidRDefault="00321A8E">
      <w:pPr>
        <w:pStyle w:val="Footnotesection"/>
      </w:pPr>
      <w:r>
        <w:tab/>
        <w:t>[Regulation 10 amended: Gazette 28 Sep 2012 p. 4658.]</w:t>
      </w:r>
    </w:p>
    <w:p w:rsidR="001C55C6" w:rsidRDefault="00321A8E">
      <w:pPr>
        <w:pStyle w:val="Heading2"/>
      </w:pPr>
      <w:bookmarkStart w:id="30" w:name="_Toc55895420"/>
      <w:bookmarkStart w:id="31" w:name="_Toc55895692"/>
      <w:bookmarkStart w:id="32" w:name="_Toc55903345"/>
      <w:bookmarkStart w:id="33" w:name="_Toc55903415"/>
      <w:r>
        <w:rPr>
          <w:rStyle w:val="CharPartNo"/>
        </w:rPr>
        <w:t>Part 5</w:t>
      </w:r>
      <w:r>
        <w:rPr>
          <w:rStyle w:val="CharDivNo"/>
        </w:rPr>
        <w:t> </w:t>
      </w:r>
      <w:r>
        <w:t>—</w:t>
      </w:r>
      <w:r>
        <w:rPr>
          <w:rStyle w:val="CharDivText"/>
        </w:rPr>
        <w:t> </w:t>
      </w:r>
      <w:r>
        <w:rPr>
          <w:rStyle w:val="CharPartText"/>
        </w:rPr>
        <w:t>Objections and review</w:t>
      </w:r>
      <w:bookmarkEnd w:id="30"/>
      <w:bookmarkEnd w:id="31"/>
      <w:bookmarkEnd w:id="32"/>
      <w:bookmarkEnd w:id="33"/>
    </w:p>
    <w:p w:rsidR="001C55C6" w:rsidRDefault="00321A8E">
      <w:pPr>
        <w:pStyle w:val="Heading5"/>
      </w:pPr>
      <w:bookmarkStart w:id="34" w:name="_Toc55903416"/>
      <w:r>
        <w:rPr>
          <w:rStyle w:val="CharSectno"/>
        </w:rPr>
        <w:t>11</w:t>
      </w:r>
      <w:r>
        <w:t>.</w:t>
      </w:r>
      <w:r>
        <w:tab/>
        <w:t>Prescribed ground of objection</w:t>
      </w:r>
      <w:bookmarkEnd w:id="34"/>
    </w:p>
    <w:p w:rsidR="001C55C6" w:rsidRDefault="00321A8E">
      <w:pPr>
        <w:pStyle w:val="Subsection"/>
      </w:pPr>
      <w:r>
        <w:tab/>
      </w:r>
      <w:r>
        <w:tab/>
        <w:t>For the purposes of section 14(1)(c), a prescribed ground of objection is that there has been an error in the classification of the safety system in respect of which the levy amount is payable.</w:t>
      </w:r>
    </w:p>
    <w:p w:rsidR="001C55C6" w:rsidRDefault="00321A8E">
      <w:pPr>
        <w:pStyle w:val="Heading5"/>
      </w:pPr>
      <w:bookmarkStart w:id="35" w:name="_Toc55903417"/>
      <w:r>
        <w:rPr>
          <w:rStyle w:val="CharSectno"/>
        </w:rPr>
        <w:t>12</w:t>
      </w:r>
      <w:r>
        <w:t>.</w:t>
      </w:r>
      <w:r>
        <w:tab/>
        <w:t>Time for making objection</w:t>
      </w:r>
      <w:bookmarkEnd w:id="35"/>
    </w:p>
    <w:p w:rsidR="001C55C6" w:rsidRDefault="00321A8E">
      <w:pPr>
        <w:pStyle w:val="Subsection"/>
      </w:pPr>
      <w:r>
        <w:tab/>
      </w:r>
      <w:r>
        <w:tab/>
        <w:t>For the purposes of section 14(2), the prescribed period for making an objection is 28 days after the day on which the assessment notice to which the objection relates was issued.</w:t>
      </w:r>
    </w:p>
    <w:p w:rsidR="001C55C6" w:rsidRDefault="00321A8E">
      <w:pPr>
        <w:pStyle w:val="Heading5"/>
      </w:pPr>
      <w:bookmarkStart w:id="36" w:name="_Toc55903418"/>
      <w:r>
        <w:rPr>
          <w:rStyle w:val="CharSectno"/>
        </w:rPr>
        <w:t>13</w:t>
      </w:r>
      <w:r>
        <w:t>.</w:t>
      </w:r>
      <w:r>
        <w:tab/>
        <w:t>Form of objection</w:t>
      </w:r>
      <w:bookmarkEnd w:id="36"/>
    </w:p>
    <w:p w:rsidR="001C55C6" w:rsidRDefault="00321A8E">
      <w:pPr>
        <w:pStyle w:val="Subsection"/>
      </w:pPr>
      <w:r>
        <w:tab/>
      </w:r>
      <w:r>
        <w:tab/>
        <w:t>In addition to the requirements of section 14(3)(a) and (b), an objection must have attached to it the assessment notice to which the objection relates.</w:t>
      </w:r>
    </w:p>
    <w:p w:rsidR="001C55C6" w:rsidRDefault="00321A8E">
      <w:pPr>
        <w:pStyle w:val="Heading5"/>
      </w:pPr>
      <w:bookmarkStart w:id="37" w:name="_Toc55903419"/>
      <w:r>
        <w:rPr>
          <w:rStyle w:val="CharSectno"/>
        </w:rPr>
        <w:t>14</w:t>
      </w:r>
      <w:r>
        <w:t>.</w:t>
      </w:r>
      <w:r>
        <w:tab/>
        <w:t>Determination of objection</w:t>
      </w:r>
      <w:bookmarkEnd w:id="37"/>
    </w:p>
    <w:p w:rsidR="001C55C6" w:rsidRDefault="00321A8E">
      <w:pPr>
        <w:pStyle w:val="Subsection"/>
      </w:pPr>
      <w:r>
        <w:tab/>
        <w:t>(1)</w:t>
      </w:r>
      <w:r>
        <w:tab/>
        <w:t>The CEO must consider and determine an objection within 28 days after the day on which the objection was made.</w:t>
      </w:r>
    </w:p>
    <w:p w:rsidR="001C55C6" w:rsidRDefault="00321A8E">
      <w:pPr>
        <w:pStyle w:val="Subsection"/>
      </w:pPr>
      <w:r>
        <w:tab/>
        <w:t>(2)</w:t>
      </w:r>
      <w:r>
        <w:tab/>
        <w:t xml:space="preserve">In determining an objection, the CEO may — </w:t>
      </w:r>
    </w:p>
    <w:p w:rsidR="001C55C6" w:rsidRDefault="00321A8E">
      <w:pPr>
        <w:pStyle w:val="Indenta"/>
      </w:pPr>
      <w:r>
        <w:tab/>
        <w:t>(a)</w:t>
      </w:r>
      <w:r>
        <w:tab/>
        <w:t>decide to increase or decrease the levy amount; or</w:t>
      </w:r>
    </w:p>
    <w:p w:rsidR="001C55C6" w:rsidRDefault="00321A8E">
      <w:pPr>
        <w:pStyle w:val="Indenta"/>
      </w:pPr>
      <w:r>
        <w:tab/>
        <w:t>(b)</w:t>
      </w:r>
      <w:r>
        <w:tab/>
        <w:t>decide that the levy amount is to remain unchanged; or</w:t>
      </w:r>
    </w:p>
    <w:p w:rsidR="001C55C6" w:rsidRDefault="00321A8E">
      <w:pPr>
        <w:pStyle w:val="Indenta"/>
      </w:pPr>
      <w:r>
        <w:tab/>
        <w:t>(c)</w:t>
      </w:r>
      <w:r>
        <w:tab/>
        <w:t>decide that the person to whom the assessment notice was given is not liable to pay the safety levy to which it relates.</w:t>
      </w:r>
    </w:p>
    <w:p w:rsidR="001C55C6" w:rsidRDefault="00321A8E">
      <w:pPr>
        <w:pStyle w:val="Subsection"/>
      </w:pPr>
      <w:r>
        <w:tab/>
        <w:t>(3)</w:t>
      </w:r>
      <w:r>
        <w:tab/>
        <w:t>After making a decision on an objection, the CEO must give to the person making the objection written notice of the CEO’s decision and a statement of the reasons for the decision.</w:t>
      </w:r>
    </w:p>
    <w:p w:rsidR="001C55C6" w:rsidRDefault="00321A8E">
      <w:pPr>
        <w:pStyle w:val="Heading5"/>
      </w:pPr>
      <w:bookmarkStart w:id="38" w:name="_Toc55903420"/>
      <w:r>
        <w:rPr>
          <w:rStyle w:val="CharSectno"/>
        </w:rPr>
        <w:t>15</w:t>
      </w:r>
      <w:r>
        <w:t>.</w:t>
      </w:r>
      <w:r>
        <w:tab/>
        <w:t>Notice of adjusted safety levy following objection</w:t>
      </w:r>
      <w:bookmarkEnd w:id="38"/>
    </w:p>
    <w:p w:rsidR="001C55C6" w:rsidRDefault="00321A8E">
      <w:pPr>
        <w:pStyle w:val="Subsection"/>
      </w:pPr>
      <w:r>
        <w:tab/>
        <w:t>(1)</w:t>
      </w:r>
      <w:r>
        <w:tab/>
        <w:t>This regulation applies if the CEO’s decision on an objection is to increase or decrease the levy amount.</w:t>
      </w:r>
    </w:p>
    <w:p w:rsidR="001C55C6" w:rsidRDefault="00321A8E">
      <w:pPr>
        <w:pStyle w:val="Subsection"/>
      </w:pPr>
      <w:r>
        <w:tab/>
        <w:t>(2)</w:t>
      </w:r>
      <w:r>
        <w:tab/>
        <w:t xml:space="preserve">The CEO must — </w:t>
      </w:r>
    </w:p>
    <w:p w:rsidR="001C55C6" w:rsidRDefault="00321A8E">
      <w:pPr>
        <w:pStyle w:val="Indenta"/>
      </w:pPr>
      <w:r>
        <w:tab/>
        <w:t>(a)</w:t>
      </w:r>
      <w:r>
        <w:tab/>
        <w:t xml:space="preserve">determine — </w:t>
      </w:r>
    </w:p>
    <w:p w:rsidR="001C55C6" w:rsidRDefault="00321A8E">
      <w:pPr>
        <w:pStyle w:val="Indenti"/>
      </w:pPr>
      <w:r>
        <w:tab/>
        <w:t>(i)</w:t>
      </w:r>
      <w:r>
        <w:tab/>
        <w:t>the levy amount in accordance with regulation 5; and</w:t>
      </w:r>
    </w:p>
    <w:p w:rsidR="001C55C6" w:rsidRDefault="00321A8E">
      <w:pPr>
        <w:pStyle w:val="Indenti"/>
      </w:pPr>
      <w:r>
        <w:tab/>
        <w:t>(ii)</w:t>
      </w:r>
      <w:r>
        <w:tab/>
        <w:t>any penalty amount;</w:t>
      </w:r>
    </w:p>
    <w:p w:rsidR="001C55C6" w:rsidRDefault="00321A8E">
      <w:pPr>
        <w:pStyle w:val="Indenta"/>
      </w:pPr>
      <w:r>
        <w:tab/>
      </w:r>
      <w:r>
        <w:tab/>
        <w:t>and</w:t>
      </w:r>
    </w:p>
    <w:p w:rsidR="001C55C6" w:rsidRDefault="00321A8E">
      <w:pPr>
        <w:pStyle w:val="Indenta"/>
      </w:pPr>
      <w:r>
        <w:tab/>
        <w:t>(b)</w:t>
      </w:r>
      <w:r>
        <w:tab/>
        <w:t xml:space="preserve">determine the amount that is owing or is to be refunded having regard to — </w:t>
      </w:r>
    </w:p>
    <w:p w:rsidR="001C55C6" w:rsidRDefault="00321A8E">
      <w:pPr>
        <w:pStyle w:val="Indenti"/>
      </w:pPr>
      <w:r>
        <w:tab/>
        <w:t>(i)</w:t>
      </w:r>
      <w:r>
        <w:tab/>
        <w:t>any amount of safety levy already paid in relation to an assessment or reassessment; and</w:t>
      </w:r>
    </w:p>
    <w:p w:rsidR="001C55C6" w:rsidRDefault="00321A8E">
      <w:pPr>
        <w:pStyle w:val="Indenti"/>
      </w:pPr>
      <w:r>
        <w:tab/>
        <w:t>(ii)</w:t>
      </w:r>
      <w:r>
        <w:tab/>
        <w:t>any penalty amount already paid;</w:t>
      </w:r>
    </w:p>
    <w:p w:rsidR="001C55C6" w:rsidRDefault="00321A8E">
      <w:pPr>
        <w:pStyle w:val="Indenta"/>
      </w:pPr>
      <w:r>
        <w:tab/>
      </w:r>
      <w:r>
        <w:tab/>
        <w:t>and</w:t>
      </w:r>
    </w:p>
    <w:p w:rsidR="001C55C6" w:rsidRDefault="00321A8E">
      <w:pPr>
        <w:pStyle w:val="Indenta"/>
      </w:pPr>
      <w:r>
        <w:tab/>
        <w:t>(c)</w:t>
      </w:r>
      <w:r>
        <w:tab/>
        <w:t>give a written notice of adjustment to the person who is liable to pay the safety levy.</w:t>
      </w:r>
    </w:p>
    <w:p w:rsidR="001C55C6" w:rsidRDefault="00321A8E">
      <w:pPr>
        <w:pStyle w:val="Subsection"/>
      </w:pPr>
      <w:r>
        <w:tab/>
        <w:t>(3)</w:t>
      </w:r>
      <w:r>
        <w:tab/>
        <w:t xml:space="preserve">The notice of adjustment must specify the following — </w:t>
      </w:r>
    </w:p>
    <w:p w:rsidR="001C55C6" w:rsidRDefault="00321A8E">
      <w:pPr>
        <w:pStyle w:val="Indenta"/>
      </w:pPr>
      <w:r>
        <w:tab/>
        <w:t>(a)</w:t>
      </w:r>
      <w:r>
        <w:tab/>
        <w:t>the day on which the notice was issued;</w:t>
      </w:r>
    </w:p>
    <w:p w:rsidR="001C55C6" w:rsidRDefault="00321A8E">
      <w:pPr>
        <w:pStyle w:val="Indenta"/>
      </w:pPr>
      <w:r>
        <w:tab/>
        <w:t>(b)</w:t>
      </w:r>
      <w:r>
        <w:tab/>
        <w:t>the levy amount;</w:t>
      </w:r>
    </w:p>
    <w:p w:rsidR="001C55C6" w:rsidRDefault="00321A8E">
      <w:pPr>
        <w:pStyle w:val="Indenta"/>
      </w:pPr>
      <w:r>
        <w:tab/>
        <w:t>(c)</w:t>
      </w:r>
      <w:r>
        <w:tab/>
        <w:t xml:space="preserve">if the levy amount is increased — </w:t>
      </w:r>
    </w:p>
    <w:p w:rsidR="001C55C6" w:rsidRDefault="00321A8E">
      <w:pPr>
        <w:pStyle w:val="Indenti"/>
      </w:pPr>
      <w:r>
        <w:tab/>
        <w:t>(i)</w:t>
      </w:r>
      <w:r>
        <w:tab/>
        <w:t>any amount of safety levy payable under the original assessment, or any earlier reassessment, that is unpaid; and</w:t>
      </w:r>
    </w:p>
    <w:p w:rsidR="001C55C6" w:rsidRDefault="00321A8E">
      <w:pPr>
        <w:pStyle w:val="Indenti"/>
      </w:pPr>
      <w:r>
        <w:tab/>
        <w:t>(ii)</w:t>
      </w:r>
      <w:r>
        <w:tab/>
        <w:t>any additional amount of safety levy payable as a consequence of the determination under subregulation (2)(b) and the day on which that amount is payable; and</w:t>
      </w:r>
    </w:p>
    <w:p w:rsidR="001C55C6" w:rsidRDefault="00321A8E">
      <w:pPr>
        <w:pStyle w:val="Indenti"/>
      </w:pPr>
      <w:r>
        <w:tab/>
        <w:t>(iii)</w:t>
      </w:r>
      <w:r>
        <w:tab/>
        <w:t>any penalty amount that is owing;</w:t>
      </w:r>
    </w:p>
    <w:p w:rsidR="001C55C6" w:rsidRDefault="00321A8E">
      <w:pPr>
        <w:pStyle w:val="Indenta"/>
        <w:keepNext/>
      </w:pPr>
      <w:r>
        <w:tab/>
        <w:t>(d)</w:t>
      </w:r>
      <w:r>
        <w:tab/>
        <w:t xml:space="preserve">if the levy amount is decreased — </w:t>
      </w:r>
    </w:p>
    <w:p w:rsidR="001C55C6" w:rsidRDefault="00321A8E">
      <w:pPr>
        <w:pStyle w:val="Indenti"/>
      </w:pPr>
      <w:r>
        <w:tab/>
        <w:t>(i)</w:t>
      </w:r>
      <w:r>
        <w:tab/>
        <w:t>any amount of safety levy payable under the original assessment, or any earlier reassessment, that is unpaid (after taking into account the determination under subregulation (2)(b)); and</w:t>
      </w:r>
    </w:p>
    <w:p w:rsidR="001C55C6" w:rsidRDefault="00321A8E">
      <w:pPr>
        <w:pStyle w:val="Indenti"/>
      </w:pPr>
      <w:r>
        <w:tab/>
        <w:t>(ii)</w:t>
      </w:r>
      <w:r>
        <w:tab/>
        <w:t>the amount of any refund; and</w:t>
      </w:r>
    </w:p>
    <w:p w:rsidR="001C55C6" w:rsidRDefault="00321A8E">
      <w:pPr>
        <w:pStyle w:val="Indenti"/>
      </w:pPr>
      <w:r>
        <w:tab/>
        <w:t>(iii)</w:t>
      </w:r>
      <w:r>
        <w:tab/>
        <w:t>any penalty amount that is owing (after taking into account the determination under subregulation (2)(b)).</w:t>
      </w:r>
    </w:p>
    <w:p w:rsidR="001C55C6" w:rsidRDefault="00321A8E">
      <w:pPr>
        <w:pStyle w:val="Subsection"/>
      </w:pPr>
      <w:r>
        <w:tab/>
        <w:t>(4)</w:t>
      </w:r>
      <w:r>
        <w:tab/>
        <w:t>The day referred to in subregulation (3)(c)(ii) must not be earlier than 30 days after the day specified in the notice of adjustment as the day on which the notice was issued.</w:t>
      </w:r>
    </w:p>
    <w:p w:rsidR="001C55C6" w:rsidRDefault="00321A8E">
      <w:pPr>
        <w:pStyle w:val="Subsection"/>
      </w:pPr>
      <w:r>
        <w:tab/>
        <w:t>(5)</w:t>
      </w:r>
      <w:r>
        <w:tab/>
        <w:t xml:space="preserve">If an amount of safety levy in excess of the amount referred to in subregulation (3)(b) has been paid by a person, the CEO must cause — </w:t>
      </w:r>
    </w:p>
    <w:p w:rsidR="001C55C6" w:rsidRDefault="00321A8E">
      <w:pPr>
        <w:pStyle w:val="Indenta"/>
      </w:pPr>
      <w:r>
        <w:tab/>
        <w:t>(a)</w:t>
      </w:r>
      <w:r>
        <w:tab/>
        <w:t>the amount of the excess; and</w:t>
      </w:r>
    </w:p>
    <w:p w:rsidR="001C55C6" w:rsidRDefault="00321A8E">
      <w:pPr>
        <w:pStyle w:val="Indenta"/>
      </w:pPr>
      <w:r>
        <w:tab/>
        <w:t>(b)</w:t>
      </w:r>
      <w:r>
        <w:tab/>
        <w:t>any penalty amount paid in relation to the amount of the excess,</w:t>
      </w:r>
    </w:p>
    <w:p w:rsidR="001C55C6" w:rsidRDefault="00321A8E">
      <w:pPr>
        <w:pStyle w:val="Subsection"/>
      </w:pPr>
      <w:r>
        <w:tab/>
      </w:r>
      <w:r>
        <w:tab/>
        <w:t>to be refunded to the person.</w:t>
      </w:r>
    </w:p>
    <w:p w:rsidR="001C55C6" w:rsidRDefault="00321A8E">
      <w:pPr>
        <w:pStyle w:val="Heading5"/>
      </w:pPr>
      <w:bookmarkStart w:id="39" w:name="_Toc55903421"/>
      <w:r>
        <w:rPr>
          <w:rStyle w:val="CharSectno"/>
        </w:rPr>
        <w:t>16</w:t>
      </w:r>
      <w:r>
        <w:t>.</w:t>
      </w:r>
      <w:r>
        <w:tab/>
        <w:t>Notice of withdrawal of safety levy following objection</w:t>
      </w:r>
      <w:bookmarkEnd w:id="39"/>
    </w:p>
    <w:p w:rsidR="001C55C6" w:rsidRDefault="00321A8E">
      <w:pPr>
        <w:pStyle w:val="Subsection"/>
      </w:pPr>
      <w:r>
        <w:tab/>
        <w:t>(1)</w:t>
      </w:r>
      <w:r>
        <w:tab/>
        <w:t>This regulation applies if the CEO’s decision on an objection is that the person to whom the assessment notice was given is not liable to pay the safety levy to which the notice relates.</w:t>
      </w:r>
    </w:p>
    <w:p w:rsidR="001C55C6" w:rsidRDefault="00321A8E">
      <w:pPr>
        <w:pStyle w:val="Subsection"/>
      </w:pPr>
      <w:r>
        <w:tab/>
        <w:t>(2)</w:t>
      </w:r>
      <w:r>
        <w:tab/>
        <w:t xml:space="preserve">The CEO must — </w:t>
      </w:r>
    </w:p>
    <w:p w:rsidR="001C55C6" w:rsidRDefault="00321A8E">
      <w:pPr>
        <w:pStyle w:val="Indenta"/>
        <w:rPr>
          <w:rStyle w:val="DraftersNotes"/>
          <w:b w:val="0"/>
          <w:i w:val="0"/>
          <w:sz w:val="24"/>
        </w:rPr>
      </w:pPr>
      <w:r>
        <w:tab/>
        <w:t>(a)</w:t>
      </w:r>
      <w:r>
        <w:tab/>
        <w:t>give to the person referred to in subregulation (1) a written notice stating that the assessment notice is withdrawn; and</w:t>
      </w:r>
    </w:p>
    <w:p w:rsidR="001C55C6" w:rsidRDefault="00321A8E">
      <w:pPr>
        <w:pStyle w:val="Indenta"/>
      </w:pPr>
      <w:r>
        <w:tab/>
        <w:t>(b)</w:t>
      </w:r>
      <w:r>
        <w:tab/>
        <w:t xml:space="preserve">cause to be refunded to the person — </w:t>
      </w:r>
    </w:p>
    <w:p w:rsidR="001C55C6" w:rsidRDefault="00321A8E">
      <w:pPr>
        <w:pStyle w:val="Indenti"/>
      </w:pPr>
      <w:r>
        <w:tab/>
        <w:t>(i)</w:t>
      </w:r>
      <w:r>
        <w:tab/>
        <w:t>any amount of safety levy paid by the person in relation to the assessment or reassessment; and</w:t>
      </w:r>
    </w:p>
    <w:p w:rsidR="001C55C6" w:rsidRDefault="00321A8E">
      <w:pPr>
        <w:pStyle w:val="Indenti"/>
      </w:pPr>
      <w:r>
        <w:tab/>
        <w:t>(ii)</w:t>
      </w:r>
      <w:r>
        <w:tab/>
        <w:t>any penalty amount paid in relation to the assessment or reassessment.</w:t>
      </w:r>
    </w:p>
    <w:p w:rsidR="001C55C6" w:rsidRDefault="00321A8E">
      <w:pPr>
        <w:pStyle w:val="Heading5"/>
      </w:pPr>
      <w:bookmarkStart w:id="40" w:name="_Toc55903422"/>
      <w:r>
        <w:rPr>
          <w:rStyle w:val="CharSectno"/>
        </w:rPr>
        <w:t>17</w:t>
      </w:r>
      <w:r>
        <w:t>.</w:t>
      </w:r>
      <w:r>
        <w:tab/>
        <w:t>Review of decision on objection</w:t>
      </w:r>
      <w:bookmarkEnd w:id="40"/>
    </w:p>
    <w:p w:rsidR="001C55C6" w:rsidRDefault="00321A8E">
      <w:pPr>
        <w:pStyle w:val="Subsection"/>
      </w:pPr>
      <w:r>
        <w:tab/>
        <w:t>(1)</w:t>
      </w:r>
      <w:r>
        <w:tab/>
        <w:t>An application under section 16 for the review of a decision must be made within 42 days after the day on which notice of the decision is given under regulation 14(3).</w:t>
      </w:r>
    </w:p>
    <w:p w:rsidR="001C55C6" w:rsidRDefault="00321A8E">
      <w:pPr>
        <w:pStyle w:val="Subsection"/>
      </w:pPr>
      <w:r>
        <w:tab/>
        <w:t>(2)</w:t>
      </w:r>
      <w:r>
        <w:tab/>
        <w:t>The State Administrative Tribunal may extend the period referred to in subregulation (1), before or after it has expired, if the applicant shows that there are reasonable grounds for doing so.</w:t>
      </w:r>
    </w:p>
    <w:p w:rsidR="001C55C6" w:rsidRDefault="00321A8E">
      <w:pPr>
        <w:pStyle w:val="Heading2"/>
      </w:pPr>
      <w:bookmarkStart w:id="41" w:name="_Toc55895428"/>
      <w:bookmarkStart w:id="42" w:name="_Toc55895700"/>
      <w:bookmarkStart w:id="43" w:name="_Toc55903353"/>
      <w:bookmarkStart w:id="44" w:name="_Toc55903423"/>
      <w:r>
        <w:rPr>
          <w:rStyle w:val="CharPartNo"/>
        </w:rPr>
        <w:t>Part 6</w:t>
      </w:r>
      <w:r>
        <w:rPr>
          <w:rStyle w:val="CharDivNo"/>
        </w:rPr>
        <w:t> </w:t>
      </w:r>
      <w:r>
        <w:t>—</w:t>
      </w:r>
      <w:r>
        <w:rPr>
          <w:rStyle w:val="CharDivText"/>
        </w:rPr>
        <w:t> </w:t>
      </w:r>
      <w:r>
        <w:rPr>
          <w:rStyle w:val="CharPartText"/>
        </w:rPr>
        <w:t>Other matters</w:t>
      </w:r>
      <w:bookmarkEnd w:id="41"/>
      <w:bookmarkEnd w:id="42"/>
      <w:bookmarkEnd w:id="43"/>
      <w:bookmarkEnd w:id="44"/>
    </w:p>
    <w:p w:rsidR="001C55C6" w:rsidRDefault="00321A8E">
      <w:pPr>
        <w:pStyle w:val="Heading5"/>
      </w:pPr>
      <w:bookmarkStart w:id="45" w:name="_Toc55903424"/>
      <w:r>
        <w:rPr>
          <w:rStyle w:val="CharSectno"/>
        </w:rPr>
        <w:t>18</w:t>
      </w:r>
      <w:r>
        <w:t>.</w:t>
      </w:r>
      <w:r>
        <w:tab/>
        <w:t>Penalty amount: prescribed rate of interest</w:t>
      </w:r>
      <w:bookmarkEnd w:id="45"/>
    </w:p>
    <w:p w:rsidR="001C55C6" w:rsidRDefault="00321A8E">
      <w:pPr>
        <w:pStyle w:val="Subsection"/>
      </w:pPr>
      <w:r>
        <w:tab/>
      </w:r>
      <w:r>
        <w:tab/>
        <w:t>For the purposes of section 12(1), the rate of 20% per annum is prescribed.</w:t>
      </w:r>
    </w:p>
    <w:p w:rsidR="001C55C6" w:rsidRDefault="00321A8E">
      <w:pPr>
        <w:pStyle w:val="Heading5"/>
      </w:pPr>
      <w:bookmarkStart w:id="46" w:name="_Toc55903425"/>
      <w:r>
        <w:rPr>
          <w:rStyle w:val="CharSectno"/>
        </w:rPr>
        <w:t>19</w:t>
      </w:r>
      <w:r>
        <w:t>.</w:t>
      </w:r>
      <w:r>
        <w:tab/>
        <w:t>When levy amount becomes due and payable</w:t>
      </w:r>
      <w:bookmarkEnd w:id="46"/>
    </w:p>
    <w:p w:rsidR="001C55C6" w:rsidRDefault="00321A8E">
      <w:pPr>
        <w:pStyle w:val="Subsection"/>
      </w:pPr>
      <w:r>
        <w:tab/>
        <w:t>(1)</w:t>
      </w:r>
      <w:r>
        <w:tab/>
        <w:t xml:space="preserve">In this regulation — </w:t>
      </w:r>
    </w:p>
    <w:p w:rsidR="001C55C6" w:rsidRDefault="00321A8E">
      <w:pPr>
        <w:pStyle w:val="Defstart"/>
      </w:pPr>
      <w:r>
        <w:tab/>
      </w:r>
      <w:r>
        <w:rPr>
          <w:rStyle w:val="CharDefText"/>
        </w:rPr>
        <w:t>notice</w:t>
      </w:r>
      <w:r>
        <w:t xml:space="preserve"> means — </w:t>
      </w:r>
    </w:p>
    <w:p w:rsidR="001C55C6" w:rsidRDefault="00321A8E">
      <w:pPr>
        <w:pStyle w:val="Defpara"/>
      </w:pPr>
      <w:r>
        <w:tab/>
        <w:t>(a)</w:t>
      </w:r>
      <w:r>
        <w:tab/>
        <w:t>an assessment notice; or</w:t>
      </w:r>
    </w:p>
    <w:p w:rsidR="001C55C6" w:rsidRDefault="00321A8E">
      <w:pPr>
        <w:pStyle w:val="Defpara"/>
      </w:pPr>
      <w:r>
        <w:tab/>
        <w:t>(b)</w:t>
      </w:r>
      <w:r>
        <w:tab/>
        <w:t>a notice of adjustment given under regulation 15(2).</w:t>
      </w:r>
    </w:p>
    <w:p w:rsidR="001C55C6" w:rsidRDefault="00321A8E">
      <w:pPr>
        <w:pStyle w:val="Subsection"/>
      </w:pPr>
      <w:r>
        <w:tab/>
        <w:t>(2)</w:t>
      </w:r>
      <w:r>
        <w:tab/>
        <w:t>A levy amount becomes due and payable on the day specified in the notice relating to the levy amount as the day on which the levy amount is payable.</w:t>
      </w:r>
    </w:p>
    <w:p w:rsidR="001C55C6" w:rsidRDefault="00321A8E">
      <w:pPr>
        <w:pStyle w:val="Heading2"/>
      </w:pPr>
      <w:bookmarkStart w:id="47" w:name="_Toc55895431"/>
      <w:bookmarkStart w:id="48" w:name="_Toc55895703"/>
      <w:bookmarkStart w:id="49" w:name="_Toc55903356"/>
      <w:bookmarkStart w:id="50" w:name="_Toc55903426"/>
      <w:r>
        <w:rPr>
          <w:rStyle w:val="CharPartNo"/>
        </w:rPr>
        <w:t>Part 7</w:t>
      </w:r>
      <w:r>
        <w:rPr>
          <w:rStyle w:val="CharDivNo"/>
        </w:rPr>
        <w:t> </w:t>
      </w:r>
      <w:r>
        <w:t>—</w:t>
      </w:r>
      <w:r>
        <w:rPr>
          <w:rStyle w:val="CharDivText"/>
        </w:rPr>
        <w:t> </w:t>
      </w:r>
      <w:r>
        <w:rPr>
          <w:rStyle w:val="CharPartText"/>
        </w:rPr>
        <w:t>Transitional provisions</w:t>
      </w:r>
      <w:bookmarkEnd w:id="47"/>
      <w:bookmarkEnd w:id="48"/>
      <w:bookmarkEnd w:id="49"/>
      <w:bookmarkEnd w:id="50"/>
    </w:p>
    <w:p w:rsidR="001C55C6" w:rsidRDefault="00321A8E">
      <w:pPr>
        <w:pStyle w:val="Footnoteheading"/>
      </w:pPr>
      <w:r>
        <w:tab/>
        <w:t>[Heading inserted: Gazette 28 Sep 2012 p. 4658.]</w:t>
      </w:r>
    </w:p>
    <w:p w:rsidR="001C55C6" w:rsidRDefault="00321A8E">
      <w:pPr>
        <w:pStyle w:val="Heading5"/>
      </w:pPr>
      <w:bookmarkStart w:id="51" w:name="_Toc55903427"/>
      <w:r>
        <w:rPr>
          <w:rStyle w:val="CharSectno"/>
        </w:rPr>
        <w:t>20</w:t>
      </w:r>
      <w:r>
        <w:t>.</w:t>
      </w:r>
      <w:r>
        <w:tab/>
        <w:t xml:space="preserve">Transitional provision for </w:t>
      </w:r>
      <w:r>
        <w:rPr>
          <w:i/>
        </w:rPr>
        <w:t>Petroleum and Geothermal Energy Safety Levies Amendment Regulations 2012</w:t>
      </w:r>
      <w:bookmarkEnd w:id="51"/>
    </w:p>
    <w:p w:rsidR="001C55C6" w:rsidRDefault="00321A8E">
      <w:pPr>
        <w:pStyle w:val="Subsection"/>
      </w:pPr>
      <w:r>
        <w:rPr>
          <w:szCs w:val="24"/>
        </w:rPr>
        <w:tab/>
      </w:r>
      <w:r>
        <w:rPr>
          <w:szCs w:val="24"/>
        </w:rPr>
        <w:tab/>
        <w:t xml:space="preserve">Levy amounts for the levy period ending on 30 September 2012 are to be worked out and assessed in accordance with these regulations as in force immediately before the commencement of the </w:t>
      </w:r>
      <w:r>
        <w:rPr>
          <w:i/>
          <w:szCs w:val="24"/>
        </w:rPr>
        <w:t>Petroleum and Geothermal Energy Safety Levies Amendment Regulations 2012</w:t>
      </w:r>
      <w:r>
        <w:rPr>
          <w:szCs w:val="24"/>
        </w:rPr>
        <w:t xml:space="preserve"> (other than regulations 1 and 2).</w:t>
      </w:r>
    </w:p>
    <w:p w:rsidR="001C55C6" w:rsidRDefault="00321A8E">
      <w:pPr>
        <w:pStyle w:val="Footnotesection"/>
      </w:pPr>
      <w:r>
        <w:tab/>
        <w:t>[Regulation 20 inserted: Gazette 28 Sep 2012 p. 4658.]</w:t>
      </w:r>
    </w:p>
    <w:p w:rsidR="001C55C6" w:rsidRDefault="001C55C6">
      <w:pPr>
        <w:sectPr w:rsidR="001C55C6">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rsidR="001C55C6" w:rsidRDefault="00321A8E">
      <w:pPr>
        <w:pStyle w:val="yScheduleHeading"/>
      </w:pPr>
      <w:bookmarkStart w:id="52" w:name="_Toc55895433"/>
      <w:bookmarkStart w:id="53" w:name="_Toc55895705"/>
      <w:bookmarkStart w:id="54" w:name="_Toc55903358"/>
      <w:bookmarkStart w:id="55" w:name="_Toc55903428"/>
      <w:r>
        <w:rPr>
          <w:rStyle w:val="CharSchNo"/>
        </w:rPr>
        <w:t>Schedule 1</w:t>
      </w:r>
      <w:r>
        <w:rPr>
          <w:rStyle w:val="CharSDivNo"/>
        </w:rPr>
        <w:t> </w:t>
      </w:r>
      <w:r>
        <w:t>—</w:t>
      </w:r>
      <w:r>
        <w:rPr>
          <w:rStyle w:val="CharSDivText"/>
        </w:rPr>
        <w:t> </w:t>
      </w:r>
      <w:r>
        <w:rPr>
          <w:rStyle w:val="CharSchText"/>
        </w:rPr>
        <w:t>Complexity ratings</w:t>
      </w:r>
      <w:bookmarkEnd w:id="52"/>
      <w:bookmarkEnd w:id="53"/>
      <w:bookmarkEnd w:id="54"/>
      <w:bookmarkEnd w:id="55"/>
    </w:p>
    <w:p w:rsidR="001C55C6" w:rsidRDefault="00321A8E">
      <w:pPr>
        <w:pStyle w:val="yShoulderClause"/>
      </w:pPr>
      <w:r>
        <w:t>[r. 3]</w:t>
      </w:r>
    </w:p>
    <w:p w:rsidR="001C55C6" w:rsidRDefault="00321A8E">
      <w:pPr>
        <w:pStyle w:val="yFootnoteheading"/>
        <w:spacing w:after="120"/>
      </w:pPr>
      <w:r>
        <w:tab/>
        <w:t>[Heading inserted: Gazette 28 Sep 2012 p. 4658.]</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622"/>
        <w:gridCol w:w="2623"/>
      </w:tblGrid>
      <w:tr w:rsidR="001C55C6">
        <w:tc>
          <w:tcPr>
            <w:tcW w:w="992" w:type="dxa"/>
          </w:tcPr>
          <w:p w:rsidR="001C55C6" w:rsidRDefault="00321A8E">
            <w:pPr>
              <w:pStyle w:val="yTableNAm"/>
            </w:pPr>
            <w:r>
              <w:rPr>
                <w:b/>
              </w:rPr>
              <w:t>Class</w:t>
            </w:r>
          </w:p>
        </w:tc>
        <w:tc>
          <w:tcPr>
            <w:tcW w:w="2622" w:type="dxa"/>
          </w:tcPr>
          <w:p w:rsidR="001C55C6" w:rsidRDefault="00321A8E">
            <w:pPr>
              <w:pStyle w:val="yTableNAm"/>
            </w:pPr>
            <w:r>
              <w:rPr>
                <w:b/>
              </w:rPr>
              <w:t>Complexity ratings for safety system other than facility safety case</w:t>
            </w:r>
          </w:p>
        </w:tc>
        <w:tc>
          <w:tcPr>
            <w:tcW w:w="2623" w:type="dxa"/>
          </w:tcPr>
          <w:p w:rsidR="001C55C6" w:rsidRDefault="00321A8E">
            <w:pPr>
              <w:pStyle w:val="yTableNAm"/>
            </w:pPr>
            <w:r>
              <w:rPr>
                <w:b/>
              </w:rPr>
              <w:t>Complexity ratings for facility safety case</w:t>
            </w:r>
          </w:p>
        </w:tc>
      </w:tr>
      <w:tr w:rsidR="001C55C6">
        <w:tc>
          <w:tcPr>
            <w:tcW w:w="992" w:type="dxa"/>
          </w:tcPr>
          <w:p w:rsidR="001C55C6" w:rsidRDefault="00321A8E">
            <w:pPr>
              <w:pStyle w:val="yTableNAm"/>
            </w:pPr>
            <w:r>
              <w:t>Class A</w:t>
            </w:r>
          </w:p>
        </w:tc>
        <w:tc>
          <w:tcPr>
            <w:tcW w:w="2622" w:type="dxa"/>
          </w:tcPr>
          <w:p w:rsidR="001C55C6" w:rsidRDefault="00321A8E">
            <w:pPr>
              <w:pStyle w:val="yTableNAm"/>
              <w:jc w:val="center"/>
            </w:pPr>
            <w:r>
              <w:t>21</w:t>
            </w:r>
          </w:p>
        </w:tc>
        <w:tc>
          <w:tcPr>
            <w:tcW w:w="2623" w:type="dxa"/>
          </w:tcPr>
          <w:p w:rsidR="001C55C6" w:rsidRDefault="00321A8E">
            <w:pPr>
              <w:pStyle w:val="yTableNAm"/>
              <w:jc w:val="center"/>
            </w:pPr>
            <w:r>
              <w:t>30</w:t>
            </w:r>
          </w:p>
        </w:tc>
      </w:tr>
      <w:tr w:rsidR="001C55C6">
        <w:tc>
          <w:tcPr>
            <w:tcW w:w="992" w:type="dxa"/>
          </w:tcPr>
          <w:p w:rsidR="001C55C6" w:rsidRDefault="00321A8E">
            <w:pPr>
              <w:pStyle w:val="yTableNAm"/>
            </w:pPr>
            <w:r>
              <w:t>Class B</w:t>
            </w:r>
          </w:p>
        </w:tc>
        <w:tc>
          <w:tcPr>
            <w:tcW w:w="2622" w:type="dxa"/>
          </w:tcPr>
          <w:p w:rsidR="001C55C6" w:rsidRDefault="00321A8E">
            <w:pPr>
              <w:pStyle w:val="yTableNAm"/>
              <w:jc w:val="center"/>
            </w:pPr>
            <w:r>
              <w:t>15</w:t>
            </w:r>
          </w:p>
        </w:tc>
        <w:tc>
          <w:tcPr>
            <w:tcW w:w="2623" w:type="dxa"/>
          </w:tcPr>
          <w:p w:rsidR="001C55C6" w:rsidRDefault="00321A8E">
            <w:pPr>
              <w:pStyle w:val="yTableNAm"/>
              <w:jc w:val="center"/>
            </w:pPr>
            <w:r>
              <w:t>22</w:t>
            </w:r>
          </w:p>
        </w:tc>
      </w:tr>
      <w:tr w:rsidR="001C55C6">
        <w:tc>
          <w:tcPr>
            <w:tcW w:w="992" w:type="dxa"/>
          </w:tcPr>
          <w:p w:rsidR="001C55C6" w:rsidRDefault="00321A8E">
            <w:pPr>
              <w:pStyle w:val="yTableNAm"/>
            </w:pPr>
            <w:r>
              <w:t>Class C</w:t>
            </w:r>
          </w:p>
        </w:tc>
        <w:tc>
          <w:tcPr>
            <w:tcW w:w="2622" w:type="dxa"/>
          </w:tcPr>
          <w:p w:rsidR="001C55C6" w:rsidRDefault="00321A8E">
            <w:pPr>
              <w:pStyle w:val="yTableNAm"/>
              <w:jc w:val="center"/>
            </w:pPr>
            <w:r>
              <w:t>10</w:t>
            </w:r>
          </w:p>
        </w:tc>
        <w:tc>
          <w:tcPr>
            <w:tcW w:w="2623" w:type="dxa"/>
          </w:tcPr>
          <w:p w:rsidR="001C55C6" w:rsidRDefault="00321A8E">
            <w:pPr>
              <w:pStyle w:val="yTableNAm"/>
              <w:jc w:val="center"/>
            </w:pPr>
            <w:r>
              <w:t>15</w:t>
            </w:r>
          </w:p>
        </w:tc>
      </w:tr>
      <w:tr w:rsidR="001C55C6">
        <w:tc>
          <w:tcPr>
            <w:tcW w:w="992" w:type="dxa"/>
          </w:tcPr>
          <w:p w:rsidR="001C55C6" w:rsidRDefault="00321A8E">
            <w:pPr>
              <w:pStyle w:val="yTableNAm"/>
            </w:pPr>
            <w:r>
              <w:t>Class D</w:t>
            </w:r>
          </w:p>
        </w:tc>
        <w:tc>
          <w:tcPr>
            <w:tcW w:w="2622" w:type="dxa"/>
          </w:tcPr>
          <w:p w:rsidR="001C55C6" w:rsidRDefault="00321A8E">
            <w:pPr>
              <w:pStyle w:val="yTableNAm"/>
              <w:jc w:val="center"/>
            </w:pPr>
            <w:r>
              <w:t>6</w:t>
            </w:r>
          </w:p>
        </w:tc>
        <w:tc>
          <w:tcPr>
            <w:tcW w:w="2623" w:type="dxa"/>
          </w:tcPr>
          <w:p w:rsidR="001C55C6" w:rsidRDefault="00321A8E">
            <w:pPr>
              <w:pStyle w:val="yTableNAm"/>
              <w:jc w:val="center"/>
            </w:pPr>
            <w:r>
              <w:t>10</w:t>
            </w:r>
          </w:p>
        </w:tc>
      </w:tr>
      <w:tr w:rsidR="001C55C6">
        <w:tc>
          <w:tcPr>
            <w:tcW w:w="992" w:type="dxa"/>
          </w:tcPr>
          <w:p w:rsidR="001C55C6" w:rsidRDefault="00321A8E">
            <w:pPr>
              <w:pStyle w:val="yTableNAm"/>
            </w:pPr>
            <w:r>
              <w:t>Class E</w:t>
            </w:r>
          </w:p>
        </w:tc>
        <w:tc>
          <w:tcPr>
            <w:tcW w:w="2622" w:type="dxa"/>
          </w:tcPr>
          <w:p w:rsidR="001C55C6" w:rsidRDefault="00321A8E">
            <w:pPr>
              <w:pStyle w:val="yTableNAm"/>
              <w:jc w:val="center"/>
            </w:pPr>
            <w:r>
              <w:t>3</w:t>
            </w:r>
          </w:p>
        </w:tc>
        <w:tc>
          <w:tcPr>
            <w:tcW w:w="2623" w:type="dxa"/>
          </w:tcPr>
          <w:p w:rsidR="001C55C6" w:rsidRDefault="00321A8E">
            <w:pPr>
              <w:pStyle w:val="yTableNAm"/>
              <w:jc w:val="center"/>
            </w:pPr>
            <w:r>
              <w:t>5</w:t>
            </w:r>
          </w:p>
        </w:tc>
      </w:tr>
      <w:tr w:rsidR="001C55C6">
        <w:tc>
          <w:tcPr>
            <w:tcW w:w="992" w:type="dxa"/>
          </w:tcPr>
          <w:p w:rsidR="001C55C6" w:rsidRDefault="00321A8E">
            <w:pPr>
              <w:pStyle w:val="yTableNAm"/>
            </w:pPr>
            <w:r>
              <w:t>Class F</w:t>
            </w:r>
          </w:p>
        </w:tc>
        <w:tc>
          <w:tcPr>
            <w:tcW w:w="2622" w:type="dxa"/>
          </w:tcPr>
          <w:p w:rsidR="001C55C6" w:rsidRDefault="00321A8E">
            <w:pPr>
              <w:pStyle w:val="yTableNAm"/>
              <w:jc w:val="center"/>
            </w:pPr>
            <w:r>
              <w:t>1</w:t>
            </w:r>
          </w:p>
        </w:tc>
        <w:tc>
          <w:tcPr>
            <w:tcW w:w="2623" w:type="dxa"/>
          </w:tcPr>
          <w:p w:rsidR="001C55C6" w:rsidRDefault="00321A8E">
            <w:pPr>
              <w:pStyle w:val="yTableNAm"/>
              <w:jc w:val="center"/>
            </w:pPr>
            <w:r>
              <w:t>2</w:t>
            </w:r>
          </w:p>
        </w:tc>
      </w:tr>
    </w:tbl>
    <w:p w:rsidR="001C55C6" w:rsidRDefault="00321A8E">
      <w:pPr>
        <w:pStyle w:val="yFootnotesection"/>
      </w:pPr>
      <w:r>
        <w:tab/>
        <w:t>[Schedule 1 inserted: Gazette 28 Sep 2012 p. 4658.]</w:t>
      </w:r>
    </w:p>
    <w:p w:rsidR="001C55C6" w:rsidRDefault="001C55C6"/>
    <w:p w:rsidR="001C55C6" w:rsidRDefault="001C55C6">
      <w:pPr>
        <w:sectPr w:rsidR="001C55C6">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rsidR="001F37B8" w:rsidRDefault="001F37B8">
      <w:pPr>
        <w:pStyle w:val="nHeading2"/>
      </w:pPr>
      <w:bookmarkStart w:id="57" w:name="_Toc55895706"/>
      <w:bookmarkStart w:id="58" w:name="_Toc55903359"/>
      <w:bookmarkStart w:id="59" w:name="_Toc55903429"/>
      <w:bookmarkStart w:id="60" w:name="_Toc55895436"/>
      <w:r>
        <w:t>Notes</w:t>
      </w:r>
      <w:bookmarkEnd w:id="57"/>
      <w:bookmarkEnd w:id="58"/>
      <w:bookmarkEnd w:id="59"/>
    </w:p>
    <w:p w:rsidR="001F37B8" w:rsidRDefault="001F37B8">
      <w:pPr>
        <w:pStyle w:val="nStatement"/>
      </w:pPr>
      <w:r>
        <w:t xml:space="preserve">This is a compilation of the </w:t>
      </w:r>
      <w:r>
        <w:rPr>
          <w:i/>
          <w:noProof/>
        </w:rPr>
        <w:t>Petroleum and Geothermal Energy Safety Levies Regulations 2011</w:t>
      </w:r>
      <w:r>
        <w:t xml:space="preserve"> and includes amendments made by other written laws. For provisions that have come into operation see the compilation table. For provisions that have not yet come into operation see the uncommenced provisions table.</w:t>
      </w:r>
    </w:p>
    <w:p w:rsidR="001F37B8" w:rsidRDefault="001F37B8">
      <w:pPr>
        <w:pStyle w:val="nHeading3"/>
      </w:pPr>
      <w:bookmarkStart w:id="61" w:name="_Toc55903430"/>
      <w:r>
        <w:t>Compilation table</w:t>
      </w:r>
      <w:bookmarkEnd w:id="6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1F37B8">
        <w:trPr>
          <w:tblHeader/>
        </w:trPr>
        <w:tc>
          <w:tcPr>
            <w:tcW w:w="3118" w:type="dxa"/>
          </w:tcPr>
          <w:p w:rsidR="001F37B8" w:rsidRDefault="001F37B8">
            <w:pPr>
              <w:pStyle w:val="nTable"/>
              <w:spacing w:after="40"/>
              <w:rPr>
                <w:b/>
              </w:rPr>
            </w:pPr>
            <w:r>
              <w:rPr>
                <w:b/>
              </w:rPr>
              <w:t>Citation</w:t>
            </w:r>
          </w:p>
        </w:tc>
        <w:tc>
          <w:tcPr>
            <w:tcW w:w="1276" w:type="dxa"/>
          </w:tcPr>
          <w:p w:rsidR="001F37B8" w:rsidRDefault="001F37B8">
            <w:pPr>
              <w:pStyle w:val="nTable"/>
              <w:spacing w:after="40"/>
              <w:rPr>
                <w:b/>
              </w:rPr>
            </w:pPr>
            <w:r>
              <w:rPr>
                <w:b/>
              </w:rPr>
              <w:t>Published</w:t>
            </w:r>
          </w:p>
        </w:tc>
        <w:tc>
          <w:tcPr>
            <w:tcW w:w="2693" w:type="dxa"/>
          </w:tcPr>
          <w:p w:rsidR="001F37B8" w:rsidRDefault="001F37B8">
            <w:pPr>
              <w:pStyle w:val="nTable"/>
              <w:spacing w:after="40"/>
              <w:rPr>
                <w:b/>
              </w:rPr>
            </w:pPr>
            <w:r>
              <w:rPr>
                <w:b/>
              </w:rPr>
              <w:t>Commencement</w:t>
            </w:r>
          </w:p>
        </w:tc>
      </w:tr>
      <w:tr w:rsidR="001F37B8" w:rsidTr="00465948">
        <w:tc>
          <w:tcPr>
            <w:tcW w:w="3118" w:type="dxa"/>
            <w:tcBorders>
              <w:bottom w:val="nil"/>
            </w:tcBorders>
          </w:tcPr>
          <w:p w:rsidR="001F37B8" w:rsidRDefault="001F37B8" w:rsidP="00465948">
            <w:pPr>
              <w:pStyle w:val="nTable"/>
              <w:spacing w:after="40"/>
              <w:rPr>
                <w:i/>
              </w:rPr>
            </w:pPr>
            <w:r>
              <w:rPr>
                <w:i/>
              </w:rPr>
              <w:t>Petroleum and Geothermal Energy Safety Levies Regulations 2011</w:t>
            </w:r>
          </w:p>
        </w:tc>
        <w:tc>
          <w:tcPr>
            <w:tcW w:w="1276" w:type="dxa"/>
            <w:tcBorders>
              <w:bottom w:val="nil"/>
            </w:tcBorders>
          </w:tcPr>
          <w:p w:rsidR="001F37B8" w:rsidRDefault="001F37B8" w:rsidP="00465948">
            <w:pPr>
              <w:pStyle w:val="nTable"/>
              <w:spacing w:after="40"/>
            </w:pPr>
            <w:r>
              <w:t>30 Dec 2011 p. 5515-34</w:t>
            </w:r>
          </w:p>
        </w:tc>
        <w:tc>
          <w:tcPr>
            <w:tcW w:w="2693" w:type="dxa"/>
            <w:tcBorders>
              <w:bottom w:val="nil"/>
            </w:tcBorders>
          </w:tcPr>
          <w:p w:rsidR="001F37B8" w:rsidRDefault="001F37B8" w:rsidP="00465948">
            <w:pPr>
              <w:pStyle w:val="nTable"/>
              <w:spacing w:after="40"/>
            </w:pPr>
            <w:r>
              <w:t>r. 1 and 2: 30 Dec 2011 (see r. 2(a));</w:t>
            </w:r>
            <w:r>
              <w:br/>
              <w:t xml:space="preserve">Regulations other than r. 1 and 2: 1 Jan 2012 (see r. 2(b) and </w:t>
            </w:r>
            <w:r>
              <w:rPr>
                <w:i/>
              </w:rPr>
              <w:t>Gazette</w:t>
            </w:r>
            <w:r>
              <w:t xml:space="preserve"> 30 Dec 2011 p. 5573)</w:t>
            </w:r>
          </w:p>
        </w:tc>
      </w:tr>
      <w:tr w:rsidR="001F37B8" w:rsidTr="00465948">
        <w:tc>
          <w:tcPr>
            <w:tcW w:w="3118" w:type="dxa"/>
            <w:tcBorders>
              <w:top w:val="nil"/>
              <w:bottom w:val="nil"/>
              <w:right w:val="nil"/>
            </w:tcBorders>
          </w:tcPr>
          <w:p w:rsidR="001F37B8" w:rsidRDefault="001F37B8" w:rsidP="00465948">
            <w:pPr>
              <w:pStyle w:val="nTable"/>
              <w:spacing w:after="40"/>
              <w:rPr>
                <w:i/>
              </w:rPr>
            </w:pPr>
            <w:r>
              <w:rPr>
                <w:i/>
              </w:rPr>
              <w:t>Petroleum and Geothermal Energy Safety Levies Amendment Regulations 2012</w:t>
            </w:r>
          </w:p>
        </w:tc>
        <w:tc>
          <w:tcPr>
            <w:tcW w:w="1276" w:type="dxa"/>
            <w:tcBorders>
              <w:top w:val="nil"/>
              <w:left w:val="nil"/>
              <w:bottom w:val="nil"/>
              <w:right w:val="nil"/>
            </w:tcBorders>
          </w:tcPr>
          <w:p w:rsidR="001F37B8" w:rsidRDefault="001F37B8" w:rsidP="00465948">
            <w:pPr>
              <w:pStyle w:val="nTable"/>
              <w:spacing w:after="40"/>
            </w:pPr>
            <w:r>
              <w:t>28 Sep 2012 p. 4655</w:t>
            </w:r>
            <w:r>
              <w:noBreakHyphen/>
              <w:t>8</w:t>
            </w:r>
          </w:p>
        </w:tc>
        <w:tc>
          <w:tcPr>
            <w:tcW w:w="2693" w:type="dxa"/>
            <w:tcBorders>
              <w:top w:val="nil"/>
              <w:left w:val="nil"/>
              <w:bottom w:val="nil"/>
            </w:tcBorders>
          </w:tcPr>
          <w:p w:rsidR="001F37B8" w:rsidRDefault="001F37B8" w:rsidP="00465948">
            <w:pPr>
              <w:pStyle w:val="nTable"/>
              <w:spacing w:after="40"/>
            </w:pPr>
            <w:r>
              <w:t>r. 1 and 2: 28 Sep 2012 (see r. 2(a));</w:t>
            </w:r>
            <w:r>
              <w:br/>
              <w:t xml:space="preserve">Regulations other than r. 1 and 2: 1 Oct 2012 (see r. 2(b) and </w:t>
            </w:r>
            <w:r>
              <w:rPr>
                <w:i/>
              </w:rPr>
              <w:t>Gazette</w:t>
            </w:r>
            <w:r>
              <w:t xml:space="preserve"> 28 Sep 2012 p. 4647)</w:t>
            </w:r>
          </w:p>
        </w:tc>
      </w:tr>
      <w:tr w:rsidR="001F37B8" w:rsidTr="00465948">
        <w:tc>
          <w:tcPr>
            <w:tcW w:w="3118" w:type="dxa"/>
            <w:tcBorders>
              <w:top w:val="nil"/>
              <w:bottom w:val="nil"/>
              <w:right w:val="nil"/>
            </w:tcBorders>
          </w:tcPr>
          <w:p w:rsidR="001F37B8" w:rsidRDefault="001F37B8" w:rsidP="00465948">
            <w:pPr>
              <w:pStyle w:val="nTable"/>
              <w:spacing w:after="40"/>
              <w:rPr>
                <w:i/>
              </w:rPr>
            </w:pPr>
            <w:r>
              <w:rPr>
                <w:i/>
              </w:rPr>
              <w:t>Petroleum and Geothermal Energy Safety Levies Amendment Regulations 2013</w:t>
            </w:r>
          </w:p>
        </w:tc>
        <w:tc>
          <w:tcPr>
            <w:tcW w:w="1276" w:type="dxa"/>
            <w:tcBorders>
              <w:top w:val="nil"/>
              <w:left w:val="nil"/>
              <w:bottom w:val="nil"/>
              <w:right w:val="nil"/>
            </w:tcBorders>
          </w:tcPr>
          <w:p w:rsidR="001F37B8" w:rsidRDefault="001F37B8" w:rsidP="00465948">
            <w:pPr>
              <w:pStyle w:val="nTable"/>
              <w:spacing w:after="40"/>
            </w:pPr>
            <w:r>
              <w:t>28 Jun 2013 p. 2829</w:t>
            </w:r>
          </w:p>
        </w:tc>
        <w:tc>
          <w:tcPr>
            <w:tcW w:w="2693" w:type="dxa"/>
            <w:tcBorders>
              <w:top w:val="nil"/>
              <w:left w:val="nil"/>
              <w:bottom w:val="nil"/>
            </w:tcBorders>
          </w:tcPr>
          <w:p w:rsidR="001F37B8" w:rsidRDefault="001F37B8" w:rsidP="00465948">
            <w:pPr>
              <w:pStyle w:val="nTable"/>
              <w:spacing w:after="40"/>
            </w:pPr>
            <w:r>
              <w:t>r. 1 and 2: 28 Jun 2013 (see r. 2(a));</w:t>
            </w:r>
            <w:r>
              <w:br/>
              <w:t>Regulations other than r. 1 and 2: 1 Jul 2013 (see r. 2(b))</w:t>
            </w:r>
          </w:p>
        </w:tc>
      </w:tr>
      <w:tr w:rsidR="001F37B8" w:rsidTr="00465948">
        <w:tc>
          <w:tcPr>
            <w:tcW w:w="3118" w:type="dxa"/>
            <w:tcBorders>
              <w:top w:val="nil"/>
              <w:bottom w:val="nil"/>
              <w:right w:val="nil"/>
            </w:tcBorders>
          </w:tcPr>
          <w:p w:rsidR="001F37B8" w:rsidRDefault="001F37B8" w:rsidP="00465948">
            <w:pPr>
              <w:pStyle w:val="nTable"/>
              <w:spacing w:after="40"/>
              <w:rPr>
                <w:i/>
              </w:rPr>
            </w:pPr>
            <w:r>
              <w:rPr>
                <w:i/>
              </w:rPr>
              <w:t>Petroleum and Geothermal Energy Safety Levies Amendment Regulations 2015</w:t>
            </w:r>
          </w:p>
        </w:tc>
        <w:tc>
          <w:tcPr>
            <w:tcW w:w="1276" w:type="dxa"/>
            <w:tcBorders>
              <w:top w:val="nil"/>
              <w:left w:val="nil"/>
              <w:bottom w:val="nil"/>
              <w:right w:val="nil"/>
            </w:tcBorders>
          </w:tcPr>
          <w:p w:rsidR="001F37B8" w:rsidRDefault="001F37B8" w:rsidP="00465948">
            <w:pPr>
              <w:pStyle w:val="nTable"/>
              <w:spacing w:after="40"/>
            </w:pPr>
            <w:r>
              <w:t>26 Jun 2015 p. 2260</w:t>
            </w:r>
            <w:r>
              <w:noBreakHyphen/>
              <w:t>1</w:t>
            </w:r>
          </w:p>
        </w:tc>
        <w:tc>
          <w:tcPr>
            <w:tcW w:w="2693" w:type="dxa"/>
            <w:tcBorders>
              <w:top w:val="nil"/>
              <w:left w:val="nil"/>
              <w:bottom w:val="nil"/>
            </w:tcBorders>
          </w:tcPr>
          <w:p w:rsidR="001F37B8" w:rsidRDefault="001F37B8" w:rsidP="00465948">
            <w:pPr>
              <w:pStyle w:val="nTable"/>
              <w:spacing w:after="40"/>
            </w:pPr>
            <w:r>
              <w:t>r. 1 and 2: 26 Jun 2015 (see r. 2(a));</w:t>
            </w:r>
            <w:r>
              <w:br/>
              <w:t>Regulations other than r. 1 and 2: 1 Jul 2015 (see r. 2(b))</w:t>
            </w:r>
          </w:p>
        </w:tc>
      </w:tr>
      <w:tr w:rsidR="001F37B8" w:rsidTr="00465948">
        <w:tc>
          <w:tcPr>
            <w:tcW w:w="3118" w:type="dxa"/>
            <w:tcBorders>
              <w:top w:val="nil"/>
              <w:bottom w:val="single" w:sz="4" w:space="0" w:color="auto"/>
              <w:right w:val="nil"/>
            </w:tcBorders>
          </w:tcPr>
          <w:p w:rsidR="001F37B8" w:rsidRDefault="001F37B8" w:rsidP="00465948">
            <w:pPr>
              <w:pStyle w:val="nTable"/>
              <w:spacing w:after="40"/>
              <w:rPr>
                <w:i/>
              </w:rPr>
            </w:pPr>
            <w:r>
              <w:rPr>
                <w:i/>
              </w:rPr>
              <w:t>Mines and Petroleum Regulations Amendment (Fees and Charges) Regulations 2019</w:t>
            </w:r>
            <w:r>
              <w:t xml:space="preserve"> Pt. 15</w:t>
            </w:r>
          </w:p>
        </w:tc>
        <w:tc>
          <w:tcPr>
            <w:tcW w:w="1276" w:type="dxa"/>
            <w:tcBorders>
              <w:top w:val="nil"/>
              <w:left w:val="nil"/>
              <w:bottom w:val="single" w:sz="4" w:space="0" w:color="auto"/>
              <w:right w:val="nil"/>
            </w:tcBorders>
          </w:tcPr>
          <w:p w:rsidR="001F37B8" w:rsidRDefault="001F37B8" w:rsidP="00465948">
            <w:pPr>
              <w:pStyle w:val="nTable"/>
              <w:spacing w:after="40"/>
            </w:pPr>
            <w:r>
              <w:t>18 Jun 2019 p. 2040</w:t>
            </w:r>
            <w:r>
              <w:noBreakHyphen/>
              <w:t>56</w:t>
            </w:r>
          </w:p>
        </w:tc>
        <w:tc>
          <w:tcPr>
            <w:tcW w:w="2693" w:type="dxa"/>
            <w:tcBorders>
              <w:top w:val="nil"/>
              <w:left w:val="nil"/>
              <w:bottom w:val="single" w:sz="4" w:space="0" w:color="auto"/>
            </w:tcBorders>
          </w:tcPr>
          <w:p w:rsidR="001F37B8" w:rsidRDefault="001F37B8" w:rsidP="00465948">
            <w:pPr>
              <w:pStyle w:val="nTable"/>
              <w:spacing w:after="40"/>
            </w:pPr>
            <w:r>
              <w:t>1 Jul 2019 (see r. 2(b))</w:t>
            </w:r>
          </w:p>
        </w:tc>
      </w:tr>
    </w:tbl>
    <w:p w:rsidR="001F37B8" w:rsidRDefault="001F37B8">
      <w:pPr>
        <w:pStyle w:val="nHeading3"/>
      </w:pPr>
      <w:bookmarkStart w:id="62" w:name="_Toc55903431"/>
      <w:r>
        <w:t>Uncommenced provisions table</w:t>
      </w:r>
      <w:bookmarkEnd w:id="62"/>
    </w:p>
    <w:p w:rsidR="001F37B8" w:rsidRDefault="001F37B8">
      <w:pPr>
        <w:pStyle w:val="nStatement"/>
        <w:keepNext/>
        <w:spacing w:after="240"/>
      </w:pPr>
      <w:r>
        <w:t xml:space="preserve">To view the text of the uncommenced provisions see </w:t>
      </w:r>
      <w:r w:rsidR="00E86211">
        <w:rPr>
          <w:i/>
        </w:rPr>
        <w:t xml:space="preserve">Acts as passed </w:t>
      </w:r>
      <w:r>
        <w:t>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1F37B8">
        <w:trPr>
          <w:tblHeader/>
        </w:trPr>
        <w:tc>
          <w:tcPr>
            <w:tcW w:w="3118" w:type="dxa"/>
          </w:tcPr>
          <w:p w:rsidR="001F37B8" w:rsidRDefault="001F37B8">
            <w:pPr>
              <w:pStyle w:val="nTable"/>
              <w:spacing w:after="40"/>
              <w:rPr>
                <w:b/>
              </w:rPr>
            </w:pPr>
            <w:r>
              <w:rPr>
                <w:b/>
              </w:rPr>
              <w:t>Citation</w:t>
            </w:r>
          </w:p>
        </w:tc>
        <w:tc>
          <w:tcPr>
            <w:tcW w:w="1276" w:type="dxa"/>
          </w:tcPr>
          <w:p w:rsidR="001F37B8" w:rsidRDefault="001F37B8">
            <w:pPr>
              <w:pStyle w:val="nTable"/>
              <w:spacing w:after="40"/>
              <w:rPr>
                <w:b/>
              </w:rPr>
            </w:pPr>
            <w:r>
              <w:rPr>
                <w:b/>
              </w:rPr>
              <w:t>Published</w:t>
            </w:r>
          </w:p>
        </w:tc>
        <w:tc>
          <w:tcPr>
            <w:tcW w:w="2693" w:type="dxa"/>
          </w:tcPr>
          <w:p w:rsidR="001F37B8" w:rsidRDefault="001F37B8">
            <w:pPr>
              <w:pStyle w:val="nTable"/>
              <w:spacing w:after="40"/>
              <w:rPr>
                <w:b/>
              </w:rPr>
            </w:pPr>
            <w:r>
              <w:rPr>
                <w:b/>
              </w:rPr>
              <w:t>Commencement</w:t>
            </w:r>
          </w:p>
        </w:tc>
      </w:tr>
      <w:tr w:rsidR="00910746" w:rsidTr="006E2CEA">
        <w:tc>
          <w:tcPr>
            <w:tcW w:w="4394" w:type="dxa"/>
            <w:gridSpan w:val="2"/>
          </w:tcPr>
          <w:p w:rsidR="00910746" w:rsidRDefault="00910746">
            <w:pPr>
              <w:pStyle w:val="nTable"/>
              <w:spacing w:after="40"/>
            </w:pPr>
            <w:r>
              <w:rPr>
                <w:i/>
              </w:rPr>
              <w:t>Work Health and Safety Act 2020</w:t>
            </w:r>
            <w:r>
              <w:t xml:space="preserve"> s. 346 assented to 10 Nov 2020</w:t>
            </w:r>
          </w:p>
        </w:tc>
        <w:tc>
          <w:tcPr>
            <w:tcW w:w="2693" w:type="dxa"/>
          </w:tcPr>
          <w:p w:rsidR="00910746" w:rsidRDefault="00910746">
            <w:pPr>
              <w:pStyle w:val="nTable"/>
              <w:spacing w:after="40"/>
            </w:pPr>
            <w:r>
              <w:rPr>
                <w:snapToGrid w:val="0"/>
              </w:rPr>
              <w:t>To be proclaimed (see s. 2(1)(c))</w:t>
            </w:r>
          </w:p>
        </w:tc>
      </w:tr>
    </w:tbl>
    <w:p w:rsidR="001F37B8" w:rsidRDefault="001F37B8"/>
    <w:p w:rsidR="001F37B8" w:rsidRDefault="001F37B8">
      <w:pPr>
        <w:sectPr w:rsidR="001F37B8">
          <w:headerReference w:type="even" r:id="rId29"/>
          <w:headerReference w:type="default" r:id="rId30"/>
          <w:pgSz w:w="11907" w:h="16840" w:code="9"/>
          <w:pgMar w:top="2376" w:right="2404" w:bottom="3544" w:left="2404" w:header="720" w:footer="3380" w:gutter="0"/>
          <w:cols w:space="720"/>
          <w:noEndnote/>
          <w:docGrid w:linePitch="326"/>
        </w:sectPr>
      </w:pPr>
    </w:p>
    <w:p w:rsidR="001C55C6" w:rsidRDefault="00321A8E">
      <w:pPr>
        <w:pStyle w:val="nHeading2"/>
        <w:rPr>
          <w:sz w:val="28"/>
        </w:rPr>
      </w:pPr>
      <w:bookmarkStart w:id="64" w:name="_Toc55895709"/>
      <w:bookmarkStart w:id="65" w:name="_Toc55903362"/>
      <w:bookmarkStart w:id="66" w:name="_Toc55903432"/>
      <w:r>
        <w:rPr>
          <w:sz w:val="28"/>
        </w:rPr>
        <w:t>Defined terms</w:t>
      </w:r>
      <w:bookmarkEnd w:id="60"/>
      <w:bookmarkEnd w:id="64"/>
      <w:bookmarkEnd w:id="65"/>
      <w:bookmarkEnd w:id="66"/>
    </w:p>
    <w:p w:rsidR="001C55C6" w:rsidRDefault="001C55C6">
      <w:pPr>
        <w:ind w:left="850" w:right="850"/>
        <w:jc w:val="center"/>
        <w:rPr>
          <w:i/>
          <w:sz w:val="18"/>
        </w:rPr>
      </w:pPr>
    </w:p>
    <w:p w:rsidR="001C55C6" w:rsidRDefault="00321A8E">
      <w:pPr>
        <w:ind w:left="850" w:right="850"/>
        <w:jc w:val="center"/>
        <w:rPr>
          <w:i/>
          <w:sz w:val="18"/>
        </w:rPr>
      </w:pPr>
      <w:r>
        <w:rPr>
          <w:i/>
          <w:sz w:val="18"/>
        </w:rPr>
        <w:t>[This is a list of terms defined and the provisions where they are defined.  The list is not part of the law.]</w:t>
      </w:r>
    </w:p>
    <w:p w:rsidR="001C55C6" w:rsidRDefault="00321A8E">
      <w:pPr>
        <w:pBdr>
          <w:bottom w:val="single" w:sz="4" w:space="1" w:color="auto"/>
        </w:pBdr>
        <w:tabs>
          <w:tab w:val="right" w:pos="7070"/>
        </w:tabs>
        <w:ind w:left="578"/>
        <w:rPr>
          <w:b/>
          <w:sz w:val="20"/>
        </w:rPr>
      </w:pPr>
      <w:r>
        <w:rPr>
          <w:b/>
          <w:sz w:val="20"/>
        </w:rPr>
        <w:t>Defined term</w:t>
      </w:r>
      <w:r>
        <w:rPr>
          <w:b/>
          <w:sz w:val="20"/>
        </w:rPr>
        <w:tab/>
        <w:t>Provision(s)</w:t>
      </w:r>
    </w:p>
    <w:p w:rsidR="001C55C6" w:rsidRDefault="00321A8E">
      <w:pPr>
        <w:pStyle w:val="DefinedTerms"/>
      </w:pPr>
      <w:r>
        <w:t>class</w:t>
      </w:r>
      <w:r>
        <w:tab/>
        <w:t>3</w:t>
      </w:r>
    </w:p>
    <w:p w:rsidR="001C55C6" w:rsidRDefault="00321A8E">
      <w:pPr>
        <w:pStyle w:val="DefinedTerms"/>
      </w:pPr>
      <w:r>
        <w:t>classification</w:t>
      </w:r>
      <w:r>
        <w:tab/>
        <w:t>3</w:t>
      </w:r>
    </w:p>
    <w:p w:rsidR="001C55C6" w:rsidRDefault="00321A8E">
      <w:pPr>
        <w:pStyle w:val="DefinedTerms"/>
      </w:pPr>
      <w:r>
        <w:t>complexity rating</w:t>
      </w:r>
      <w:r>
        <w:tab/>
        <w:t>3</w:t>
      </w:r>
    </w:p>
    <w:p w:rsidR="001C55C6" w:rsidRDefault="00321A8E">
      <w:pPr>
        <w:pStyle w:val="DefinedTerms"/>
      </w:pPr>
      <w:r>
        <w:t>facility safety case</w:t>
      </w:r>
      <w:r>
        <w:tab/>
        <w:t>3</w:t>
      </w:r>
    </w:p>
    <w:p w:rsidR="001C55C6" w:rsidRDefault="00321A8E">
      <w:pPr>
        <w:pStyle w:val="DefinedTerms"/>
      </w:pPr>
      <w:r>
        <w:t>levy amount</w:t>
      </w:r>
      <w:r>
        <w:tab/>
        <w:t>3</w:t>
      </w:r>
    </w:p>
    <w:p w:rsidR="001C55C6" w:rsidRDefault="00321A8E">
      <w:pPr>
        <w:pStyle w:val="DefinedTerms"/>
      </w:pPr>
      <w:r>
        <w:t>notice</w:t>
      </w:r>
      <w:r>
        <w:tab/>
        <w:t>19(1)</w:t>
      </w:r>
    </w:p>
    <w:p w:rsidR="001C55C6" w:rsidRDefault="00321A8E">
      <w:pPr>
        <w:pStyle w:val="DefinedTerms"/>
      </w:pPr>
      <w:r>
        <w:t>operation</w:t>
      </w:r>
      <w:r>
        <w:tab/>
        <w:t>3</w:t>
      </w:r>
    </w:p>
    <w:p w:rsidR="001C55C6" w:rsidRDefault="00321A8E">
      <w:pPr>
        <w:pStyle w:val="DefinedTerms"/>
      </w:pPr>
      <w:r>
        <w:t>original assessment</w:t>
      </w:r>
      <w:r>
        <w:tab/>
        <w:t>3, 9(1)</w:t>
      </w:r>
    </w:p>
    <w:p w:rsidR="001C55C6" w:rsidRDefault="00321A8E">
      <w:pPr>
        <w:pStyle w:val="DefinedTerms"/>
      </w:pPr>
      <w:r>
        <w:t>other protected persons</w:t>
      </w:r>
      <w:r>
        <w:tab/>
        <w:t>7(1)</w:t>
      </w:r>
    </w:p>
    <w:p w:rsidR="001C55C6" w:rsidRDefault="00321A8E">
      <w:pPr>
        <w:pStyle w:val="DefinedTerms"/>
      </w:pPr>
      <w:r>
        <w:t>relevant period</w:t>
      </w:r>
      <w:r>
        <w:tab/>
        <w:t>7(1)</w:t>
      </w:r>
    </w:p>
    <w:p w:rsidR="001C55C6" w:rsidRDefault="00321A8E">
      <w:pPr>
        <w:pStyle w:val="DefinedTerms"/>
      </w:pPr>
      <w:r>
        <w:t>safety system</w:t>
      </w:r>
      <w:r>
        <w:tab/>
        <w:t>3</w:t>
      </w:r>
    </w:p>
    <w:p w:rsidR="001C55C6" w:rsidRDefault="00321A8E">
      <w:pPr>
        <w:pStyle w:val="DefinedTerms"/>
      </w:pPr>
      <w:r>
        <w:t>section</w:t>
      </w:r>
      <w:r>
        <w:tab/>
        <w:t>3</w:t>
      </w:r>
    </w:p>
    <w:p w:rsidR="001C55C6" w:rsidRDefault="001C55C6">
      <w:pPr>
        <w:pStyle w:val="DefinedTerms"/>
        <w:sectPr w:rsidR="001C55C6">
          <w:headerReference w:type="even" r:id="rId31"/>
          <w:headerReference w:type="default" r:id="rId32"/>
          <w:pgSz w:w="11907" w:h="16840" w:code="9"/>
          <w:pgMar w:top="2381" w:right="2409" w:bottom="3543" w:left="2409" w:header="720" w:footer="3380" w:gutter="0"/>
          <w:cols w:space="720"/>
          <w:noEndnote/>
          <w:docGrid w:linePitch="326"/>
        </w:sectPr>
      </w:pPr>
    </w:p>
    <w:p w:rsidR="001C55C6" w:rsidRDefault="001C55C6"/>
    <w:sectPr w:rsidR="001C55C6">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55C6" w:rsidRDefault="00321A8E">
      <w:pPr>
        <w:rPr>
          <w:b/>
          <w:sz w:val="28"/>
        </w:rPr>
      </w:pPr>
      <w:r>
        <w:rPr>
          <w:b/>
          <w:sz w:val="28"/>
        </w:rPr>
        <w:t>Endnotes</w:t>
      </w:r>
    </w:p>
    <w:p w:rsidR="001C55C6" w:rsidRDefault="00321A8E">
      <w:pPr>
        <w:spacing w:after="240"/>
        <w:rPr>
          <w:rFonts w:ascii="Times" w:hAnsi="Times"/>
          <w:sz w:val="18"/>
        </w:rPr>
      </w:pPr>
      <w:r>
        <w:rPr>
          <w:sz w:val="20"/>
        </w:rPr>
        <w:t>[For ease of reference detach these notes and read them alongside the draft.]</w:t>
      </w:r>
    </w:p>
    <w:p w:rsidR="001C55C6" w:rsidRDefault="001C55C6"/>
  </w:endnote>
  <w:endnote w:type="continuationSeparator" w:id="0">
    <w:p w:rsidR="001C55C6" w:rsidRDefault="001C55C6">
      <w:pPr>
        <w:pStyle w:val="Footer"/>
      </w:pPr>
    </w:p>
    <w:p w:rsidR="001C55C6" w:rsidRDefault="001C55C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55C6" w:rsidRDefault="001C55C6">
    <w:pPr>
      <w:pStyle w:val="Footer"/>
      <w:pBdr>
        <w:bottom w:val="single" w:sz="4" w:space="1" w:color="auto"/>
      </w:pBdr>
      <w:rPr>
        <w:sz w:val="20"/>
      </w:rPr>
    </w:pPr>
  </w:p>
  <w:p w:rsidR="001C55C6" w:rsidRDefault="00321A8E">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554887">
      <w:rPr>
        <w:sz w:val="20"/>
      </w:rPr>
      <w:t>00-g0-00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554887">
      <w:rPr>
        <w:sz w:val="20"/>
      </w:rPr>
      <w:t>10 Nov 2020</w:t>
    </w:r>
    <w:r>
      <w:rPr>
        <w:sz w:val="20"/>
      </w:rPr>
      <w:fldChar w:fldCharType="end"/>
    </w:r>
  </w:p>
  <w:p w:rsidR="001C55C6" w:rsidRDefault="00321A8E">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55C6" w:rsidRDefault="001C55C6">
    <w:pPr>
      <w:pStyle w:val="Footer"/>
      <w:pBdr>
        <w:bottom w:val="single" w:sz="4" w:space="1" w:color="auto"/>
      </w:pBdr>
      <w:rPr>
        <w:sz w:val="20"/>
      </w:rPr>
    </w:pPr>
  </w:p>
  <w:p w:rsidR="001C55C6" w:rsidRDefault="00321A8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54887">
      <w:rPr>
        <w:sz w:val="20"/>
      </w:rPr>
      <w:t>10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554887">
      <w:rPr>
        <w:sz w:val="20"/>
      </w:rPr>
      <w:t>00-g0-00</w:t>
    </w:r>
    <w:r>
      <w:rPr>
        <w:sz w:val="20"/>
      </w:rPr>
      <w:fldChar w:fldCharType="end"/>
    </w:r>
  </w:p>
  <w:p w:rsidR="001C55C6" w:rsidRDefault="00321A8E">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55C6" w:rsidRDefault="001C55C6">
    <w:pPr>
      <w:pStyle w:val="Footer"/>
      <w:pBdr>
        <w:bottom w:val="single" w:sz="4" w:space="1" w:color="auto"/>
      </w:pBdr>
      <w:rPr>
        <w:sz w:val="20"/>
      </w:rPr>
    </w:pPr>
  </w:p>
  <w:p w:rsidR="001C55C6" w:rsidRDefault="00321A8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54887">
      <w:rPr>
        <w:sz w:val="20"/>
      </w:rPr>
      <w:t>10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554887">
      <w:rPr>
        <w:sz w:val="20"/>
      </w:rPr>
      <w:t>00-g0-00</w:t>
    </w:r>
    <w:r>
      <w:rPr>
        <w:sz w:val="20"/>
      </w:rPr>
      <w:fldChar w:fldCharType="end"/>
    </w:r>
  </w:p>
  <w:p w:rsidR="001C55C6" w:rsidRDefault="00321A8E">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55C6" w:rsidRDefault="001C55C6">
    <w:pPr>
      <w:pStyle w:val="Footer"/>
      <w:pBdr>
        <w:bottom w:val="single" w:sz="4" w:space="1" w:color="auto"/>
      </w:pBdr>
      <w:rPr>
        <w:sz w:val="20"/>
      </w:rPr>
    </w:pPr>
  </w:p>
  <w:p w:rsidR="001C55C6" w:rsidRDefault="00321A8E">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sidR="00554887">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554887">
      <w:rPr>
        <w:sz w:val="20"/>
      </w:rPr>
      <w:t>00-g0-00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554887">
      <w:rPr>
        <w:sz w:val="20"/>
      </w:rPr>
      <w:t>10 Nov 2020</w:t>
    </w:r>
    <w:r>
      <w:rPr>
        <w:sz w:val="20"/>
      </w:rPr>
      <w:fldChar w:fldCharType="end"/>
    </w:r>
  </w:p>
  <w:p w:rsidR="001C55C6" w:rsidRDefault="00321A8E">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55C6" w:rsidRDefault="001C55C6">
    <w:pPr>
      <w:pStyle w:val="Footer"/>
      <w:pBdr>
        <w:bottom w:val="single" w:sz="4" w:space="1" w:color="auto"/>
      </w:pBdr>
      <w:rPr>
        <w:sz w:val="20"/>
      </w:rPr>
    </w:pPr>
  </w:p>
  <w:p w:rsidR="001C55C6" w:rsidRDefault="00321A8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54887">
      <w:rPr>
        <w:sz w:val="20"/>
      </w:rPr>
      <w:t>10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554887">
      <w:rPr>
        <w:sz w:val="20"/>
      </w:rPr>
      <w:t>00-g0-00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554887">
      <w:rPr>
        <w:noProof/>
        <w:sz w:val="20"/>
      </w:rPr>
      <w:t>19</w:t>
    </w:r>
    <w:r>
      <w:rPr>
        <w:sz w:val="20"/>
      </w:rPr>
      <w:fldChar w:fldCharType="end"/>
    </w:r>
  </w:p>
  <w:p w:rsidR="001C55C6" w:rsidRDefault="00321A8E">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55C6" w:rsidRDefault="001C55C6">
    <w:pPr>
      <w:pStyle w:val="Footer"/>
      <w:pBdr>
        <w:bottom w:val="single" w:sz="4" w:space="1" w:color="auto"/>
      </w:pBdr>
      <w:rPr>
        <w:sz w:val="20"/>
      </w:rPr>
    </w:pPr>
  </w:p>
  <w:p w:rsidR="001C55C6" w:rsidRDefault="00321A8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54887">
      <w:rPr>
        <w:sz w:val="20"/>
      </w:rPr>
      <w:t>10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554887">
      <w:rPr>
        <w:sz w:val="20"/>
      </w:rPr>
      <w:t>00-g0-00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554887">
      <w:rPr>
        <w:noProof/>
        <w:sz w:val="20"/>
      </w:rPr>
      <w:t>1</w:t>
    </w:r>
    <w:r>
      <w:rPr>
        <w:sz w:val="20"/>
      </w:rPr>
      <w:fldChar w:fldCharType="end"/>
    </w:r>
  </w:p>
  <w:p w:rsidR="001C55C6" w:rsidRDefault="00321A8E">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55C6" w:rsidRDefault="001C55C6">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55C6" w:rsidRDefault="001C55C6">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55C6" w:rsidRDefault="001C55C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55C6" w:rsidRDefault="00321A8E">
      <w:r>
        <w:separator/>
      </w:r>
    </w:p>
  </w:footnote>
  <w:footnote w:type="continuationSeparator" w:id="0">
    <w:p w:rsidR="001C55C6" w:rsidRDefault="00321A8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4887" w:rsidRDefault="0055488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4887" w:rsidRDefault="0055488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55C6" w:rsidRDefault="001C55C6">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C55C6">
      <w:trPr>
        <w:cantSplit/>
      </w:trPr>
      <w:tc>
        <w:tcPr>
          <w:tcW w:w="7258" w:type="dxa"/>
          <w:gridSpan w:val="2"/>
        </w:tcPr>
        <w:p w:rsidR="001C55C6" w:rsidRDefault="00321A8E">
          <w:pPr>
            <w:pStyle w:val="Header"/>
          </w:pPr>
          <w:r>
            <w:rPr>
              <w:b/>
              <w:i/>
            </w:rPr>
            <w:fldChar w:fldCharType="begin"/>
          </w:r>
          <w:r>
            <w:rPr>
              <w:b/>
              <w:i/>
            </w:rPr>
            <w:instrText xml:space="preserve"> STYLEREF "Name of Act/Reg" </w:instrText>
          </w:r>
          <w:r>
            <w:rPr>
              <w:b/>
              <w:i/>
            </w:rPr>
            <w:fldChar w:fldCharType="separate"/>
          </w:r>
          <w:r w:rsidR="00554887">
            <w:rPr>
              <w:b/>
              <w:i/>
            </w:rPr>
            <w:t>Petroleum and Geothermal Energy Safety Levies Regulations 2011</w:t>
          </w:r>
          <w:r>
            <w:rPr>
              <w:b/>
              <w:i/>
            </w:rPr>
            <w:fldChar w:fldCharType="end"/>
          </w:r>
        </w:p>
      </w:tc>
    </w:tr>
    <w:tr w:rsidR="001C55C6">
      <w:tc>
        <w:tcPr>
          <w:tcW w:w="1548" w:type="dxa"/>
        </w:tcPr>
        <w:p w:rsidR="001C55C6" w:rsidRDefault="001C55C6">
          <w:pPr>
            <w:pStyle w:val="Header"/>
            <w:spacing w:before="40"/>
          </w:pPr>
        </w:p>
      </w:tc>
      <w:tc>
        <w:tcPr>
          <w:tcW w:w="5715" w:type="dxa"/>
        </w:tcPr>
        <w:p w:rsidR="001C55C6" w:rsidRDefault="001C55C6">
          <w:pPr>
            <w:pStyle w:val="Header"/>
            <w:spacing w:before="40"/>
          </w:pPr>
        </w:p>
      </w:tc>
    </w:tr>
    <w:tr w:rsidR="001C55C6">
      <w:tc>
        <w:tcPr>
          <w:tcW w:w="1548" w:type="dxa"/>
        </w:tcPr>
        <w:p w:rsidR="001C55C6" w:rsidRDefault="001C55C6">
          <w:pPr>
            <w:pStyle w:val="Header"/>
            <w:spacing w:before="40"/>
          </w:pPr>
        </w:p>
      </w:tc>
      <w:tc>
        <w:tcPr>
          <w:tcW w:w="5715" w:type="dxa"/>
        </w:tcPr>
        <w:p w:rsidR="001C55C6" w:rsidRDefault="001C55C6">
          <w:pPr>
            <w:pStyle w:val="Header"/>
            <w:spacing w:before="40"/>
          </w:pPr>
        </w:p>
      </w:tc>
    </w:tr>
    <w:tr w:rsidR="001C55C6">
      <w:trPr>
        <w:cantSplit/>
      </w:trPr>
      <w:tc>
        <w:tcPr>
          <w:tcW w:w="7258" w:type="dxa"/>
          <w:gridSpan w:val="2"/>
        </w:tcPr>
        <w:p w:rsidR="001C55C6" w:rsidRDefault="00321A8E">
          <w:pPr>
            <w:pStyle w:val="Header"/>
            <w:spacing w:before="40"/>
          </w:pPr>
          <w:r>
            <w:t>Contents</w:t>
          </w:r>
        </w:p>
      </w:tc>
    </w:tr>
  </w:tbl>
  <w:p w:rsidR="001C55C6" w:rsidRDefault="001C55C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C55C6">
      <w:trPr>
        <w:cantSplit/>
      </w:trPr>
      <w:tc>
        <w:tcPr>
          <w:tcW w:w="7258" w:type="dxa"/>
          <w:gridSpan w:val="2"/>
        </w:tcPr>
        <w:p w:rsidR="001C55C6" w:rsidRDefault="00321A8E">
          <w:pPr>
            <w:pStyle w:val="Header"/>
            <w:ind w:right="17"/>
            <w:jc w:val="right"/>
          </w:pPr>
          <w:r>
            <w:rPr>
              <w:b/>
              <w:i/>
            </w:rPr>
            <w:fldChar w:fldCharType="begin"/>
          </w:r>
          <w:r>
            <w:rPr>
              <w:b/>
              <w:i/>
            </w:rPr>
            <w:instrText xml:space="preserve"> STYLEREF "Name of Act/Reg" </w:instrText>
          </w:r>
          <w:r>
            <w:rPr>
              <w:b/>
              <w:i/>
            </w:rPr>
            <w:fldChar w:fldCharType="separate"/>
          </w:r>
          <w:r w:rsidR="00554887">
            <w:rPr>
              <w:b/>
              <w:i/>
            </w:rPr>
            <w:t>Petroleum and Geothermal Energy Safety Levies Regulations 2011</w:t>
          </w:r>
          <w:r>
            <w:rPr>
              <w:b/>
              <w:i/>
            </w:rPr>
            <w:fldChar w:fldCharType="end"/>
          </w:r>
        </w:p>
      </w:tc>
    </w:tr>
    <w:tr w:rsidR="001C55C6">
      <w:tc>
        <w:tcPr>
          <w:tcW w:w="5715" w:type="dxa"/>
        </w:tcPr>
        <w:p w:rsidR="001C55C6" w:rsidRDefault="001C55C6">
          <w:pPr>
            <w:pStyle w:val="Header"/>
            <w:spacing w:before="40"/>
            <w:jc w:val="right"/>
          </w:pPr>
        </w:p>
      </w:tc>
      <w:tc>
        <w:tcPr>
          <w:tcW w:w="1548" w:type="dxa"/>
        </w:tcPr>
        <w:p w:rsidR="001C55C6" w:rsidRDefault="001C55C6">
          <w:pPr>
            <w:pStyle w:val="Header"/>
            <w:spacing w:before="40"/>
            <w:ind w:right="17"/>
            <w:jc w:val="right"/>
          </w:pPr>
        </w:p>
      </w:tc>
    </w:tr>
    <w:tr w:rsidR="001C55C6">
      <w:tc>
        <w:tcPr>
          <w:tcW w:w="5715" w:type="dxa"/>
        </w:tcPr>
        <w:p w:rsidR="001C55C6" w:rsidRDefault="001C55C6">
          <w:pPr>
            <w:pStyle w:val="Header"/>
            <w:spacing w:before="40"/>
            <w:jc w:val="right"/>
          </w:pPr>
        </w:p>
      </w:tc>
      <w:tc>
        <w:tcPr>
          <w:tcW w:w="1548" w:type="dxa"/>
        </w:tcPr>
        <w:p w:rsidR="001C55C6" w:rsidRDefault="001C55C6">
          <w:pPr>
            <w:pStyle w:val="Header"/>
            <w:spacing w:before="40"/>
            <w:ind w:right="17"/>
            <w:jc w:val="right"/>
          </w:pPr>
        </w:p>
      </w:tc>
    </w:tr>
    <w:tr w:rsidR="001C55C6">
      <w:trPr>
        <w:cantSplit/>
      </w:trPr>
      <w:tc>
        <w:tcPr>
          <w:tcW w:w="7258" w:type="dxa"/>
          <w:gridSpan w:val="2"/>
        </w:tcPr>
        <w:p w:rsidR="001C55C6" w:rsidRDefault="00321A8E">
          <w:pPr>
            <w:pStyle w:val="Header"/>
            <w:spacing w:before="40"/>
            <w:ind w:right="17"/>
            <w:jc w:val="right"/>
          </w:pPr>
          <w:r>
            <w:t>Contents</w:t>
          </w:r>
        </w:p>
      </w:tc>
    </w:tr>
  </w:tbl>
  <w:p w:rsidR="001C55C6" w:rsidRDefault="001C55C6">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55C6" w:rsidRDefault="001C55C6">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C55C6">
      <w:trPr>
        <w:cantSplit/>
      </w:trPr>
      <w:tc>
        <w:tcPr>
          <w:tcW w:w="7258" w:type="dxa"/>
          <w:gridSpan w:val="2"/>
        </w:tcPr>
        <w:p w:rsidR="001C55C6" w:rsidRDefault="00321A8E">
          <w:pPr>
            <w:pStyle w:val="Header"/>
          </w:pPr>
          <w:r>
            <w:rPr>
              <w:b/>
              <w:i/>
            </w:rPr>
            <w:fldChar w:fldCharType="begin"/>
          </w:r>
          <w:r>
            <w:rPr>
              <w:b/>
              <w:i/>
            </w:rPr>
            <w:instrText xml:space="preserve"> Styleref "Name of Act/Reg" </w:instrText>
          </w:r>
          <w:r>
            <w:rPr>
              <w:b/>
              <w:i/>
            </w:rPr>
            <w:fldChar w:fldCharType="separate"/>
          </w:r>
          <w:r w:rsidR="00554887">
            <w:rPr>
              <w:b/>
              <w:i/>
            </w:rPr>
            <w:t>Petroleum and Geothermal Energy Safety Levies Regulations 2011</w:t>
          </w:r>
          <w:r>
            <w:rPr>
              <w:b/>
              <w:i/>
            </w:rPr>
            <w:fldChar w:fldCharType="end"/>
          </w:r>
        </w:p>
      </w:tc>
    </w:tr>
    <w:tr w:rsidR="001C55C6">
      <w:tc>
        <w:tcPr>
          <w:tcW w:w="1548" w:type="dxa"/>
        </w:tcPr>
        <w:p w:rsidR="001C55C6" w:rsidRDefault="00321A8E">
          <w:pPr>
            <w:pStyle w:val="Header"/>
            <w:spacing w:before="40"/>
          </w:pPr>
          <w:r>
            <w:rPr>
              <w:b/>
            </w:rPr>
            <w:fldChar w:fldCharType="begin"/>
          </w:r>
          <w:r>
            <w:rPr>
              <w:b/>
            </w:rPr>
            <w:instrText>styleref CharPartNo</w:instrText>
          </w:r>
          <w:r>
            <w:rPr>
              <w:b/>
            </w:rPr>
            <w:fldChar w:fldCharType="end"/>
          </w:r>
        </w:p>
      </w:tc>
      <w:tc>
        <w:tcPr>
          <w:tcW w:w="5715" w:type="dxa"/>
          <w:vAlign w:val="bottom"/>
        </w:tcPr>
        <w:p w:rsidR="001C55C6" w:rsidRDefault="00321A8E">
          <w:pPr>
            <w:pStyle w:val="Header"/>
            <w:spacing w:before="40"/>
          </w:pPr>
          <w:r>
            <w:fldChar w:fldCharType="begin"/>
          </w:r>
          <w:r>
            <w:instrText>styleref CharPartText</w:instrText>
          </w:r>
          <w:r>
            <w:fldChar w:fldCharType="end"/>
          </w:r>
        </w:p>
      </w:tc>
    </w:tr>
    <w:tr w:rsidR="001C55C6">
      <w:tc>
        <w:tcPr>
          <w:tcW w:w="1548" w:type="dxa"/>
        </w:tcPr>
        <w:p w:rsidR="001C55C6" w:rsidRDefault="00321A8E">
          <w:pPr>
            <w:pStyle w:val="Header"/>
            <w:spacing w:before="40"/>
          </w:pPr>
          <w:r>
            <w:rPr>
              <w:b/>
            </w:rPr>
            <w:fldChar w:fldCharType="begin"/>
          </w:r>
          <w:r>
            <w:rPr>
              <w:b/>
            </w:rPr>
            <w:instrText xml:space="preserve"> styleref CharDivNo </w:instrText>
          </w:r>
          <w:r>
            <w:rPr>
              <w:b/>
            </w:rPr>
            <w:fldChar w:fldCharType="end"/>
          </w:r>
        </w:p>
      </w:tc>
      <w:tc>
        <w:tcPr>
          <w:tcW w:w="5715" w:type="dxa"/>
        </w:tcPr>
        <w:p w:rsidR="001C55C6" w:rsidRDefault="00321A8E">
          <w:pPr>
            <w:pStyle w:val="Header"/>
            <w:spacing w:before="40"/>
          </w:pPr>
          <w:r>
            <w:fldChar w:fldCharType="begin"/>
          </w:r>
          <w:r>
            <w:instrText xml:space="preserve"> styleref CharDivText </w:instrText>
          </w:r>
          <w:r>
            <w:fldChar w:fldCharType="end"/>
          </w:r>
        </w:p>
      </w:tc>
    </w:tr>
    <w:tr w:rsidR="001C55C6">
      <w:trPr>
        <w:cantSplit/>
      </w:trPr>
      <w:tc>
        <w:tcPr>
          <w:tcW w:w="7258" w:type="dxa"/>
          <w:gridSpan w:val="2"/>
        </w:tcPr>
        <w:p w:rsidR="001C55C6" w:rsidRDefault="00321A8E">
          <w:pPr>
            <w:pStyle w:val="Header"/>
            <w:spacing w:before="40"/>
          </w:pPr>
          <w:r>
            <w:rPr>
              <w:b/>
            </w:rPr>
            <w:t xml:space="preserve">r. </w:t>
          </w:r>
          <w:r>
            <w:rPr>
              <w:b/>
            </w:rPr>
            <w:fldChar w:fldCharType="begin"/>
          </w:r>
          <w:r>
            <w:rPr>
              <w:b/>
            </w:rPr>
            <w:instrText xml:space="preserve"> styleref CharSectno </w:instrText>
          </w:r>
          <w:r>
            <w:rPr>
              <w:b/>
            </w:rPr>
            <w:fldChar w:fldCharType="separate"/>
          </w:r>
          <w:r w:rsidR="00554887">
            <w:rPr>
              <w:b/>
            </w:rPr>
            <w:t>1</w:t>
          </w:r>
          <w:r>
            <w:rPr>
              <w:b/>
            </w:rPr>
            <w:fldChar w:fldCharType="end"/>
          </w:r>
        </w:p>
      </w:tc>
    </w:tr>
  </w:tbl>
  <w:p w:rsidR="001C55C6" w:rsidRDefault="001C55C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C55C6">
      <w:trPr>
        <w:cantSplit/>
      </w:trPr>
      <w:tc>
        <w:tcPr>
          <w:tcW w:w="7258" w:type="dxa"/>
          <w:gridSpan w:val="2"/>
        </w:tcPr>
        <w:p w:rsidR="001C55C6" w:rsidRDefault="00321A8E">
          <w:pPr>
            <w:pStyle w:val="Header"/>
            <w:ind w:right="17"/>
            <w:jc w:val="right"/>
          </w:pPr>
          <w:r>
            <w:rPr>
              <w:b/>
              <w:i/>
            </w:rPr>
            <w:fldChar w:fldCharType="begin"/>
          </w:r>
          <w:r>
            <w:rPr>
              <w:b/>
              <w:i/>
            </w:rPr>
            <w:instrText xml:space="preserve"> Styleref "Name of Act/Reg" </w:instrText>
          </w:r>
          <w:r>
            <w:rPr>
              <w:b/>
              <w:i/>
            </w:rPr>
            <w:fldChar w:fldCharType="separate"/>
          </w:r>
          <w:r w:rsidR="00554887">
            <w:rPr>
              <w:b/>
              <w:i/>
            </w:rPr>
            <w:t>Petroleum and Geothermal Energy Safety Levies Regulations 2011</w:t>
          </w:r>
          <w:r>
            <w:rPr>
              <w:b/>
              <w:i/>
            </w:rPr>
            <w:fldChar w:fldCharType="end"/>
          </w:r>
        </w:p>
      </w:tc>
    </w:tr>
    <w:tr w:rsidR="001C55C6">
      <w:tc>
        <w:tcPr>
          <w:tcW w:w="5715" w:type="dxa"/>
        </w:tcPr>
        <w:p w:rsidR="001C55C6" w:rsidRDefault="00321A8E">
          <w:pPr>
            <w:pStyle w:val="Header"/>
            <w:spacing w:before="40"/>
            <w:jc w:val="right"/>
          </w:pPr>
          <w:r>
            <w:fldChar w:fldCharType="begin"/>
          </w:r>
          <w:r>
            <w:instrText>styleref CharPartText</w:instrText>
          </w:r>
          <w:r>
            <w:fldChar w:fldCharType="end"/>
          </w:r>
        </w:p>
      </w:tc>
      <w:tc>
        <w:tcPr>
          <w:tcW w:w="1548" w:type="dxa"/>
        </w:tcPr>
        <w:p w:rsidR="001C55C6" w:rsidRDefault="00321A8E">
          <w:pPr>
            <w:pStyle w:val="Header"/>
            <w:spacing w:before="40"/>
            <w:ind w:right="17"/>
            <w:jc w:val="right"/>
          </w:pPr>
          <w:r>
            <w:rPr>
              <w:b/>
            </w:rPr>
            <w:fldChar w:fldCharType="begin"/>
          </w:r>
          <w:r>
            <w:rPr>
              <w:b/>
            </w:rPr>
            <w:instrText>styleref CharPartNo</w:instrText>
          </w:r>
          <w:r>
            <w:rPr>
              <w:b/>
            </w:rPr>
            <w:fldChar w:fldCharType="end"/>
          </w:r>
        </w:p>
      </w:tc>
    </w:tr>
    <w:tr w:rsidR="001C55C6">
      <w:tc>
        <w:tcPr>
          <w:tcW w:w="5715" w:type="dxa"/>
        </w:tcPr>
        <w:p w:rsidR="001C55C6" w:rsidRDefault="00321A8E">
          <w:pPr>
            <w:pStyle w:val="Header"/>
            <w:spacing w:before="40"/>
            <w:jc w:val="right"/>
          </w:pPr>
          <w:r>
            <w:fldChar w:fldCharType="begin"/>
          </w:r>
          <w:r>
            <w:instrText xml:space="preserve"> styleref CharDivText </w:instrText>
          </w:r>
          <w:r>
            <w:fldChar w:fldCharType="end"/>
          </w:r>
        </w:p>
      </w:tc>
      <w:tc>
        <w:tcPr>
          <w:tcW w:w="1548" w:type="dxa"/>
        </w:tcPr>
        <w:p w:rsidR="001C55C6" w:rsidRDefault="00321A8E">
          <w:pPr>
            <w:pStyle w:val="Header"/>
            <w:spacing w:before="40"/>
            <w:ind w:right="17"/>
            <w:jc w:val="right"/>
          </w:pPr>
          <w:r>
            <w:rPr>
              <w:b/>
            </w:rPr>
            <w:fldChar w:fldCharType="begin"/>
          </w:r>
          <w:r>
            <w:rPr>
              <w:b/>
            </w:rPr>
            <w:instrText xml:space="preserve"> styleref CharDivNo </w:instrText>
          </w:r>
          <w:r>
            <w:rPr>
              <w:b/>
            </w:rPr>
            <w:fldChar w:fldCharType="end"/>
          </w:r>
        </w:p>
      </w:tc>
    </w:tr>
    <w:tr w:rsidR="001C55C6">
      <w:trPr>
        <w:cantSplit/>
      </w:trPr>
      <w:tc>
        <w:tcPr>
          <w:tcW w:w="7258" w:type="dxa"/>
          <w:gridSpan w:val="2"/>
        </w:tcPr>
        <w:p w:rsidR="001C55C6" w:rsidRDefault="00321A8E">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sidR="00554887">
            <w:rPr>
              <w:b/>
            </w:rPr>
            <w:t>1</w:t>
          </w:r>
          <w:r>
            <w:rPr>
              <w:b/>
            </w:rPr>
            <w:fldChar w:fldCharType="end"/>
          </w:r>
        </w:p>
      </w:tc>
    </w:tr>
  </w:tbl>
  <w:p w:rsidR="001C55C6" w:rsidRDefault="001C55C6">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55C6" w:rsidRDefault="001C55C6">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C55C6">
      <w:trPr>
        <w:cantSplit/>
      </w:trPr>
      <w:tc>
        <w:tcPr>
          <w:tcW w:w="7258" w:type="dxa"/>
          <w:gridSpan w:val="2"/>
        </w:tcPr>
        <w:p w:rsidR="001C55C6" w:rsidRDefault="00321A8E">
          <w:pPr>
            <w:pStyle w:val="Header"/>
          </w:pPr>
          <w:r>
            <w:rPr>
              <w:b/>
              <w:i/>
            </w:rPr>
            <w:fldChar w:fldCharType="begin"/>
          </w:r>
          <w:r>
            <w:rPr>
              <w:b/>
              <w:i/>
            </w:rPr>
            <w:instrText>STYLEREF "Name of Act/Reg"</w:instrText>
          </w:r>
          <w:r>
            <w:rPr>
              <w:b/>
              <w:i/>
            </w:rPr>
            <w:fldChar w:fldCharType="separate"/>
          </w:r>
          <w:r w:rsidR="00554887">
            <w:rPr>
              <w:b/>
              <w:i/>
            </w:rPr>
            <w:t>Petroleum and Geothermal Energy Safety Levies Regulations 2011</w:t>
          </w:r>
          <w:r>
            <w:rPr>
              <w:b/>
              <w:i/>
            </w:rPr>
            <w:fldChar w:fldCharType="end"/>
          </w:r>
        </w:p>
      </w:tc>
    </w:tr>
    <w:tr w:rsidR="001C55C6">
      <w:tc>
        <w:tcPr>
          <w:tcW w:w="1548" w:type="dxa"/>
        </w:tcPr>
        <w:p w:rsidR="001C55C6" w:rsidRDefault="00321A8E">
          <w:pPr>
            <w:pStyle w:val="Header"/>
            <w:spacing w:before="40"/>
          </w:pPr>
          <w:r>
            <w:rPr>
              <w:b/>
            </w:rPr>
            <w:fldChar w:fldCharType="begin"/>
          </w:r>
          <w:r>
            <w:rPr>
              <w:b/>
            </w:rPr>
            <w:instrText xml:space="preserve"> styleref CharSchno </w:instrText>
          </w:r>
          <w:r>
            <w:rPr>
              <w:b/>
            </w:rPr>
            <w:fldChar w:fldCharType="end"/>
          </w:r>
        </w:p>
      </w:tc>
      <w:tc>
        <w:tcPr>
          <w:tcW w:w="5715" w:type="dxa"/>
        </w:tcPr>
        <w:p w:rsidR="001C55C6" w:rsidRDefault="00321A8E">
          <w:pPr>
            <w:pStyle w:val="Header"/>
            <w:spacing w:before="40"/>
          </w:pPr>
          <w:r>
            <w:fldChar w:fldCharType="begin"/>
          </w:r>
          <w:r>
            <w:instrText xml:space="preserve"> styleref CharSchText </w:instrText>
          </w:r>
          <w:r>
            <w:fldChar w:fldCharType="end"/>
          </w:r>
        </w:p>
      </w:tc>
    </w:tr>
    <w:tr w:rsidR="001C55C6">
      <w:tc>
        <w:tcPr>
          <w:tcW w:w="1548" w:type="dxa"/>
        </w:tcPr>
        <w:p w:rsidR="001C55C6" w:rsidRDefault="00321A8E">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1C55C6" w:rsidRDefault="00321A8E">
          <w:pPr>
            <w:pStyle w:val="Header"/>
            <w:spacing w:before="40"/>
          </w:pPr>
          <w:r>
            <w:fldChar w:fldCharType="begin"/>
          </w:r>
          <w:r>
            <w:instrText xml:space="preserve"> styleref CharSDivText </w:instrText>
          </w:r>
          <w:r>
            <w:fldChar w:fldCharType="end"/>
          </w:r>
        </w:p>
      </w:tc>
    </w:tr>
    <w:tr w:rsidR="001C55C6">
      <w:tc>
        <w:tcPr>
          <w:tcW w:w="1548" w:type="dxa"/>
        </w:tcPr>
        <w:p w:rsidR="001C55C6" w:rsidRDefault="001C55C6">
          <w:pPr>
            <w:pStyle w:val="Header"/>
            <w:spacing w:before="40"/>
          </w:pPr>
        </w:p>
      </w:tc>
      <w:tc>
        <w:tcPr>
          <w:tcW w:w="5715" w:type="dxa"/>
        </w:tcPr>
        <w:p w:rsidR="001C55C6" w:rsidRDefault="001C55C6">
          <w:pPr>
            <w:pStyle w:val="Header"/>
            <w:spacing w:before="40"/>
          </w:pPr>
        </w:p>
      </w:tc>
    </w:tr>
  </w:tbl>
  <w:p w:rsidR="001C55C6" w:rsidRDefault="001C55C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1C55C6">
      <w:trPr>
        <w:cantSplit/>
      </w:trPr>
      <w:tc>
        <w:tcPr>
          <w:tcW w:w="7263" w:type="dxa"/>
          <w:gridSpan w:val="2"/>
        </w:tcPr>
        <w:p w:rsidR="001C55C6" w:rsidRDefault="00321A8E">
          <w:pPr>
            <w:pStyle w:val="Header"/>
            <w:ind w:right="17"/>
            <w:jc w:val="right"/>
          </w:pPr>
          <w:r>
            <w:rPr>
              <w:b/>
              <w:i/>
            </w:rPr>
            <w:fldChar w:fldCharType="begin"/>
          </w:r>
          <w:r>
            <w:rPr>
              <w:b/>
              <w:i/>
            </w:rPr>
            <w:instrText xml:space="preserve"> Styleref "Name of Act/Reg" </w:instrText>
          </w:r>
          <w:r>
            <w:rPr>
              <w:b/>
              <w:i/>
            </w:rPr>
            <w:fldChar w:fldCharType="separate"/>
          </w:r>
          <w:r w:rsidR="00554887">
            <w:rPr>
              <w:b/>
              <w:i/>
            </w:rPr>
            <w:t>Petroleum and Geothermal Energy Safety Levies Regulations 2011</w:t>
          </w:r>
          <w:r>
            <w:rPr>
              <w:b/>
              <w:i/>
            </w:rPr>
            <w:fldChar w:fldCharType="end"/>
          </w:r>
        </w:p>
      </w:tc>
    </w:tr>
    <w:tr w:rsidR="001C55C6">
      <w:tc>
        <w:tcPr>
          <w:tcW w:w="5715" w:type="dxa"/>
          <w:vAlign w:val="bottom"/>
        </w:tcPr>
        <w:p w:rsidR="001C55C6" w:rsidRDefault="00321A8E">
          <w:pPr>
            <w:pStyle w:val="Header"/>
            <w:spacing w:before="40"/>
            <w:jc w:val="right"/>
          </w:pPr>
          <w:r>
            <w:fldChar w:fldCharType="begin"/>
          </w:r>
          <w:r>
            <w:instrText>styleref CharSchText</w:instrText>
          </w:r>
          <w:r>
            <w:fldChar w:fldCharType="end"/>
          </w:r>
        </w:p>
      </w:tc>
      <w:tc>
        <w:tcPr>
          <w:tcW w:w="1548" w:type="dxa"/>
        </w:tcPr>
        <w:p w:rsidR="001C55C6" w:rsidRDefault="00321A8E">
          <w:pPr>
            <w:pStyle w:val="Header"/>
            <w:spacing w:before="40"/>
            <w:ind w:right="17"/>
            <w:jc w:val="right"/>
          </w:pPr>
          <w:r>
            <w:rPr>
              <w:b/>
            </w:rPr>
            <w:fldChar w:fldCharType="begin"/>
          </w:r>
          <w:r>
            <w:rPr>
              <w:b/>
            </w:rPr>
            <w:instrText>styleref CharSchno</w:instrText>
          </w:r>
          <w:r>
            <w:rPr>
              <w:b/>
            </w:rPr>
            <w:fldChar w:fldCharType="end"/>
          </w:r>
        </w:p>
      </w:tc>
    </w:tr>
    <w:tr w:rsidR="001C55C6">
      <w:tc>
        <w:tcPr>
          <w:tcW w:w="5715" w:type="dxa"/>
        </w:tcPr>
        <w:p w:rsidR="001C55C6" w:rsidRDefault="00321A8E">
          <w:pPr>
            <w:pStyle w:val="Header"/>
            <w:spacing w:before="40"/>
            <w:jc w:val="right"/>
          </w:pPr>
          <w:r>
            <w:fldChar w:fldCharType="begin"/>
          </w:r>
          <w:r>
            <w:instrText xml:space="preserve"> styleref CharSDivText </w:instrText>
          </w:r>
          <w:r>
            <w:fldChar w:fldCharType="end"/>
          </w:r>
        </w:p>
      </w:tc>
      <w:tc>
        <w:tcPr>
          <w:tcW w:w="1548" w:type="dxa"/>
        </w:tcPr>
        <w:p w:rsidR="001C55C6" w:rsidRDefault="00321A8E">
          <w:pPr>
            <w:pStyle w:val="Header"/>
            <w:spacing w:before="40"/>
            <w:ind w:right="17"/>
            <w:jc w:val="right"/>
          </w:pPr>
          <w:r>
            <w:rPr>
              <w:b/>
            </w:rPr>
            <w:fldChar w:fldCharType="begin"/>
          </w:r>
          <w:r>
            <w:rPr>
              <w:b/>
            </w:rPr>
            <w:instrText xml:space="preserve"> STYLEREF CharSDivNo \* charformat</w:instrText>
          </w:r>
          <w:r>
            <w:rPr>
              <w:b/>
            </w:rPr>
            <w:fldChar w:fldCharType="end"/>
          </w:r>
        </w:p>
      </w:tc>
    </w:tr>
    <w:tr w:rsidR="001C55C6">
      <w:tc>
        <w:tcPr>
          <w:tcW w:w="5715" w:type="dxa"/>
        </w:tcPr>
        <w:p w:rsidR="001C55C6" w:rsidRDefault="001C55C6">
          <w:pPr>
            <w:pStyle w:val="Header"/>
            <w:spacing w:before="40"/>
            <w:jc w:val="right"/>
          </w:pPr>
        </w:p>
      </w:tc>
      <w:tc>
        <w:tcPr>
          <w:tcW w:w="1548" w:type="dxa"/>
        </w:tcPr>
        <w:p w:rsidR="001C55C6" w:rsidRDefault="001C55C6">
          <w:pPr>
            <w:pStyle w:val="Header"/>
            <w:spacing w:before="40"/>
            <w:ind w:right="17"/>
            <w:jc w:val="right"/>
          </w:pPr>
        </w:p>
      </w:tc>
    </w:tr>
  </w:tbl>
  <w:p w:rsidR="001C55C6" w:rsidRDefault="001C55C6">
    <w:pPr>
      <w:pStyle w:val="Header"/>
      <w:pBdr>
        <w:top w:val="single" w:sz="4" w:space="1" w:color="auto"/>
      </w:pBdr>
    </w:pPr>
    <w:bookmarkStart w:id="56" w:name="Schedule"/>
    <w:bookmarkEnd w:id="5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55C6" w:rsidRDefault="001C55C6">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F37B8">
      <w:trPr>
        <w:cantSplit/>
      </w:trPr>
      <w:tc>
        <w:tcPr>
          <w:tcW w:w="7258" w:type="dxa"/>
          <w:gridSpan w:val="2"/>
        </w:tcPr>
        <w:p w:rsidR="001F37B8" w:rsidRDefault="001F37B8">
          <w:pPr>
            <w:pStyle w:val="Header"/>
          </w:pPr>
          <w:r>
            <w:rPr>
              <w:b/>
              <w:i/>
            </w:rPr>
            <w:fldChar w:fldCharType="begin"/>
          </w:r>
          <w:r>
            <w:rPr>
              <w:b/>
              <w:i/>
            </w:rPr>
            <w:instrText xml:space="preserve"> STYLEREF "Name of Act/Reg" </w:instrText>
          </w:r>
          <w:r>
            <w:rPr>
              <w:b/>
              <w:i/>
            </w:rPr>
            <w:fldChar w:fldCharType="separate"/>
          </w:r>
          <w:r w:rsidR="00554887">
            <w:rPr>
              <w:b/>
              <w:i/>
            </w:rPr>
            <w:t>Petroleum and Geothermal Energy Safety Levies Regulations 2011</w:t>
          </w:r>
          <w:r>
            <w:rPr>
              <w:b/>
              <w:i/>
            </w:rPr>
            <w:fldChar w:fldCharType="end"/>
          </w:r>
        </w:p>
      </w:tc>
    </w:tr>
    <w:tr w:rsidR="001F37B8">
      <w:tc>
        <w:tcPr>
          <w:tcW w:w="1548" w:type="dxa"/>
        </w:tcPr>
        <w:p w:rsidR="001F37B8" w:rsidRDefault="001F37B8">
          <w:pPr>
            <w:pStyle w:val="Header"/>
            <w:spacing w:before="40"/>
          </w:pPr>
          <w:r>
            <w:rPr>
              <w:b/>
            </w:rPr>
            <w:fldChar w:fldCharType="begin"/>
          </w:r>
          <w:r>
            <w:rPr>
              <w:b/>
            </w:rPr>
            <w:instrText xml:space="preserve"> STYLEREF "nHeading 2" </w:instrText>
          </w:r>
          <w:r>
            <w:rPr>
              <w:b/>
            </w:rPr>
            <w:fldChar w:fldCharType="separate"/>
          </w:r>
          <w:r w:rsidR="00554887">
            <w:rPr>
              <w:b/>
            </w:rPr>
            <w:t>Notes</w:t>
          </w:r>
          <w:r>
            <w:rPr>
              <w:b/>
            </w:rPr>
            <w:fldChar w:fldCharType="end"/>
          </w:r>
        </w:p>
      </w:tc>
      <w:tc>
        <w:tcPr>
          <w:tcW w:w="5715" w:type="dxa"/>
        </w:tcPr>
        <w:p w:rsidR="001F37B8" w:rsidRDefault="001F37B8">
          <w:pPr>
            <w:pStyle w:val="Header"/>
            <w:spacing w:before="40"/>
          </w:pPr>
          <w:r>
            <w:fldChar w:fldCharType="begin"/>
          </w:r>
          <w:r>
            <w:instrText xml:space="preserve"> STYLEREF "nHeading 3" </w:instrText>
          </w:r>
          <w:r>
            <w:fldChar w:fldCharType="separate"/>
          </w:r>
          <w:r w:rsidR="00554887">
            <w:t>Compilation table</w:t>
          </w:r>
          <w:r>
            <w:fldChar w:fldCharType="end"/>
          </w:r>
        </w:p>
      </w:tc>
    </w:tr>
    <w:tr w:rsidR="001F37B8">
      <w:tc>
        <w:tcPr>
          <w:tcW w:w="1548" w:type="dxa"/>
        </w:tcPr>
        <w:p w:rsidR="001F37B8" w:rsidRDefault="001F37B8">
          <w:pPr>
            <w:pStyle w:val="Header"/>
            <w:spacing w:before="40"/>
          </w:pPr>
        </w:p>
      </w:tc>
      <w:tc>
        <w:tcPr>
          <w:tcW w:w="5715" w:type="dxa"/>
        </w:tcPr>
        <w:p w:rsidR="001F37B8" w:rsidRDefault="001F37B8">
          <w:pPr>
            <w:pStyle w:val="Header"/>
            <w:spacing w:before="40"/>
          </w:pPr>
        </w:p>
      </w:tc>
    </w:tr>
    <w:tr w:rsidR="001F37B8">
      <w:trPr>
        <w:cantSplit/>
      </w:trPr>
      <w:tc>
        <w:tcPr>
          <w:tcW w:w="7258" w:type="dxa"/>
          <w:gridSpan w:val="2"/>
        </w:tcPr>
        <w:p w:rsidR="001F37B8" w:rsidRDefault="001F37B8">
          <w:pPr>
            <w:pStyle w:val="Header"/>
            <w:spacing w:before="40"/>
          </w:pPr>
        </w:p>
      </w:tc>
    </w:tr>
  </w:tbl>
  <w:p w:rsidR="001F37B8" w:rsidRDefault="001F37B8">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F37B8">
      <w:trPr>
        <w:cantSplit/>
      </w:trPr>
      <w:tc>
        <w:tcPr>
          <w:tcW w:w="7258" w:type="dxa"/>
          <w:gridSpan w:val="2"/>
        </w:tcPr>
        <w:p w:rsidR="001F37B8" w:rsidRDefault="001F37B8">
          <w:pPr>
            <w:pStyle w:val="Header"/>
            <w:ind w:right="17"/>
            <w:jc w:val="right"/>
          </w:pPr>
          <w:r>
            <w:rPr>
              <w:b/>
              <w:i/>
            </w:rPr>
            <w:fldChar w:fldCharType="begin"/>
          </w:r>
          <w:r>
            <w:rPr>
              <w:b/>
              <w:i/>
            </w:rPr>
            <w:instrText xml:space="preserve"> STYLEREF "Name of Act/Reg" </w:instrText>
          </w:r>
          <w:r>
            <w:rPr>
              <w:b/>
              <w:i/>
            </w:rPr>
            <w:fldChar w:fldCharType="separate"/>
          </w:r>
          <w:r w:rsidR="00554887">
            <w:rPr>
              <w:b/>
              <w:i/>
            </w:rPr>
            <w:t>Petroleum and Geothermal Energy Safety Levies Regulations 2011</w:t>
          </w:r>
          <w:r>
            <w:rPr>
              <w:b/>
              <w:i/>
            </w:rPr>
            <w:fldChar w:fldCharType="end"/>
          </w:r>
        </w:p>
      </w:tc>
    </w:tr>
    <w:tr w:rsidR="001F37B8">
      <w:tc>
        <w:tcPr>
          <w:tcW w:w="5715" w:type="dxa"/>
        </w:tcPr>
        <w:p w:rsidR="001F37B8" w:rsidRDefault="001F37B8">
          <w:pPr>
            <w:pStyle w:val="Header"/>
            <w:spacing w:before="40"/>
            <w:jc w:val="right"/>
          </w:pPr>
          <w:r>
            <w:fldChar w:fldCharType="begin"/>
          </w:r>
          <w:r>
            <w:instrText xml:space="preserve"> STYLEREF "nHeading 3" </w:instrText>
          </w:r>
          <w:r>
            <w:fldChar w:fldCharType="separate"/>
          </w:r>
          <w:r w:rsidR="00554887">
            <w:t>Compilation table</w:t>
          </w:r>
          <w:r>
            <w:fldChar w:fldCharType="end"/>
          </w:r>
        </w:p>
      </w:tc>
      <w:tc>
        <w:tcPr>
          <w:tcW w:w="1548" w:type="dxa"/>
        </w:tcPr>
        <w:p w:rsidR="001F37B8" w:rsidRDefault="001F37B8">
          <w:pPr>
            <w:pStyle w:val="Header"/>
            <w:spacing w:before="40"/>
            <w:ind w:right="17"/>
            <w:jc w:val="right"/>
          </w:pPr>
          <w:r>
            <w:rPr>
              <w:b/>
            </w:rPr>
            <w:fldChar w:fldCharType="begin"/>
          </w:r>
          <w:r>
            <w:rPr>
              <w:b/>
            </w:rPr>
            <w:instrText xml:space="preserve"> STYLEREF "nHeading 2" </w:instrText>
          </w:r>
          <w:r>
            <w:rPr>
              <w:b/>
            </w:rPr>
            <w:fldChar w:fldCharType="separate"/>
          </w:r>
          <w:r w:rsidR="00554887">
            <w:rPr>
              <w:b/>
            </w:rPr>
            <w:t>Notes</w:t>
          </w:r>
          <w:r>
            <w:rPr>
              <w:b/>
            </w:rPr>
            <w:fldChar w:fldCharType="end"/>
          </w:r>
        </w:p>
      </w:tc>
    </w:tr>
    <w:tr w:rsidR="001F37B8">
      <w:tc>
        <w:tcPr>
          <w:tcW w:w="5715" w:type="dxa"/>
        </w:tcPr>
        <w:p w:rsidR="001F37B8" w:rsidRDefault="001F37B8">
          <w:pPr>
            <w:pStyle w:val="Header"/>
            <w:spacing w:before="40"/>
            <w:jc w:val="right"/>
          </w:pPr>
        </w:p>
      </w:tc>
      <w:tc>
        <w:tcPr>
          <w:tcW w:w="1548" w:type="dxa"/>
        </w:tcPr>
        <w:p w:rsidR="001F37B8" w:rsidRDefault="001F37B8">
          <w:pPr>
            <w:pStyle w:val="Header"/>
            <w:spacing w:before="40"/>
            <w:ind w:right="17"/>
            <w:jc w:val="right"/>
          </w:pPr>
        </w:p>
      </w:tc>
    </w:tr>
    <w:tr w:rsidR="001F37B8">
      <w:trPr>
        <w:cantSplit/>
      </w:trPr>
      <w:tc>
        <w:tcPr>
          <w:tcW w:w="7258" w:type="dxa"/>
          <w:gridSpan w:val="2"/>
        </w:tcPr>
        <w:p w:rsidR="001F37B8" w:rsidRDefault="001F37B8">
          <w:pPr>
            <w:pStyle w:val="Header"/>
            <w:spacing w:before="40"/>
            <w:ind w:right="17"/>
            <w:jc w:val="right"/>
          </w:pPr>
        </w:p>
      </w:tc>
    </w:tr>
  </w:tbl>
  <w:p w:rsidR="001F37B8" w:rsidRDefault="001F37B8">
    <w:pPr>
      <w:pStyle w:val="Header"/>
      <w:pBdr>
        <w:top w:val="single" w:sz="4" w:space="1" w:color="auto"/>
      </w:pBdr>
    </w:pPr>
    <w:bookmarkStart w:id="63" w:name="Compilation"/>
    <w:bookmarkEnd w:id="6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1C55C6">
      <w:trPr>
        <w:cantSplit/>
      </w:trPr>
      <w:tc>
        <w:tcPr>
          <w:tcW w:w="7263" w:type="dxa"/>
          <w:gridSpan w:val="2"/>
        </w:tcPr>
        <w:p w:rsidR="001C55C6" w:rsidRDefault="00321A8E">
          <w:pPr>
            <w:pStyle w:val="Header"/>
          </w:pPr>
          <w:r>
            <w:rPr>
              <w:b/>
              <w:i/>
            </w:rPr>
            <w:fldChar w:fldCharType="begin"/>
          </w:r>
          <w:r>
            <w:rPr>
              <w:b/>
              <w:i/>
            </w:rPr>
            <w:instrText xml:space="preserve"> STYLEREF "Name of Act/Reg" </w:instrText>
          </w:r>
          <w:r>
            <w:rPr>
              <w:b/>
              <w:i/>
            </w:rPr>
            <w:fldChar w:fldCharType="separate"/>
          </w:r>
          <w:r w:rsidR="00554887">
            <w:rPr>
              <w:b/>
              <w:i/>
            </w:rPr>
            <w:t>Petroleum and Geothermal Energy Safety Levies Regulations 2011</w:t>
          </w:r>
          <w:r>
            <w:rPr>
              <w:b/>
              <w:i/>
            </w:rPr>
            <w:fldChar w:fldCharType="end"/>
          </w:r>
        </w:p>
      </w:tc>
    </w:tr>
    <w:tr w:rsidR="001C55C6">
      <w:tc>
        <w:tcPr>
          <w:tcW w:w="1348" w:type="dxa"/>
        </w:tcPr>
        <w:p w:rsidR="001C55C6" w:rsidRDefault="001C55C6">
          <w:pPr>
            <w:pStyle w:val="Header"/>
            <w:spacing w:before="40"/>
          </w:pPr>
        </w:p>
      </w:tc>
      <w:tc>
        <w:tcPr>
          <w:tcW w:w="5915" w:type="dxa"/>
        </w:tcPr>
        <w:p w:rsidR="001C55C6" w:rsidRDefault="001C55C6">
          <w:pPr>
            <w:pStyle w:val="Header"/>
            <w:spacing w:before="40"/>
          </w:pPr>
        </w:p>
      </w:tc>
    </w:tr>
    <w:tr w:rsidR="001C55C6">
      <w:tc>
        <w:tcPr>
          <w:tcW w:w="1348" w:type="dxa"/>
        </w:tcPr>
        <w:p w:rsidR="001C55C6" w:rsidRDefault="001C55C6">
          <w:pPr>
            <w:pStyle w:val="Header"/>
            <w:spacing w:before="40"/>
          </w:pPr>
        </w:p>
      </w:tc>
      <w:tc>
        <w:tcPr>
          <w:tcW w:w="5915" w:type="dxa"/>
        </w:tcPr>
        <w:p w:rsidR="001C55C6" w:rsidRDefault="001C55C6">
          <w:pPr>
            <w:pStyle w:val="Header"/>
            <w:spacing w:before="40"/>
          </w:pPr>
        </w:p>
      </w:tc>
    </w:tr>
    <w:tr w:rsidR="001C55C6">
      <w:trPr>
        <w:cantSplit/>
      </w:trPr>
      <w:tc>
        <w:tcPr>
          <w:tcW w:w="7263" w:type="dxa"/>
          <w:gridSpan w:val="2"/>
        </w:tcPr>
        <w:p w:rsidR="001C55C6" w:rsidRDefault="00321A8E">
          <w:pPr>
            <w:pStyle w:val="Header"/>
            <w:spacing w:before="40"/>
          </w:pPr>
          <w:r>
            <w:t>Defined terms</w:t>
          </w:r>
        </w:p>
      </w:tc>
    </w:tr>
  </w:tbl>
  <w:p w:rsidR="001C55C6" w:rsidRDefault="001C55C6">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1C55C6">
      <w:trPr>
        <w:cantSplit/>
      </w:trPr>
      <w:tc>
        <w:tcPr>
          <w:tcW w:w="7263" w:type="dxa"/>
          <w:gridSpan w:val="2"/>
        </w:tcPr>
        <w:p w:rsidR="001C55C6" w:rsidRDefault="00321A8E">
          <w:pPr>
            <w:pStyle w:val="Header"/>
            <w:spacing w:before="40"/>
            <w:ind w:right="17"/>
            <w:jc w:val="right"/>
          </w:pPr>
          <w:r>
            <w:rPr>
              <w:b/>
              <w:i/>
            </w:rPr>
            <w:fldChar w:fldCharType="begin"/>
          </w:r>
          <w:r>
            <w:rPr>
              <w:b/>
              <w:i/>
            </w:rPr>
            <w:instrText xml:space="preserve"> STYLEREF "Name of Act/Reg" </w:instrText>
          </w:r>
          <w:r>
            <w:rPr>
              <w:b/>
              <w:i/>
            </w:rPr>
            <w:fldChar w:fldCharType="separate"/>
          </w:r>
          <w:r w:rsidR="00554887">
            <w:rPr>
              <w:b/>
              <w:i/>
            </w:rPr>
            <w:t>Petroleum and Geothermal Energy Safety Levies Regulations 2011</w:t>
          </w:r>
          <w:r>
            <w:rPr>
              <w:b/>
              <w:i/>
            </w:rPr>
            <w:fldChar w:fldCharType="end"/>
          </w:r>
        </w:p>
      </w:tc>
    </w:tr>
    <w:tr w:rsidR="001C55C6">
      <w:tc>
        <w:tcPr>
          <w:tcW w:w="5884" w:type="dxa"/>
        </w:tcPr>
        <w:p w:rsidR="001C55C6" w:rsidRDefault="001C55C6">
          <w:pPr>
            <w:pStyle w:val="Header"/>
            <w:spacing w:before="40"/>
            <w:jc w:val="right"/>
          </w:pPr>
        </w:p>
      </w:tc>
      <w:tc>
        <w:tcPr>
          <w:tcW w:w="1379" w:type="dxa"/>
        </w:tcPr>
        <w:p w:rsidR="001C55C6" w:rsidRDefault="001C55C6">
          <w:pPr>
            <w:pStyle w:val="Header"/>
            <w:spacing w:before="40"/>
            <w:ind w:right="17"/>
            <w:jc w:val="right"/>
          </w:pPr>
        </w:p>
      </w:tc>
    </w:tr>
    <w:tr w:rsidR="001C55C6">
      <w:tc>
        <w:tcPr>
          <w:tcW w:w="5884" w:type="dxa"/>
        </w:tcPr>
        <w:p w:rsidR="001C55C6" w:rsidRDefault="001C55C6">
          <w:pPr>
            <w:pStyle w:val="Header"/>
            <w:spacing w:before="40"/>
            <w:jc w:val="right"/>
          </w:pPr>
        </w:p>
      </w:tc>
      <w:tc>
        <w:tcPr>
          <w:tcW w:w="1379" w:type="dxa"/>
        </w:tcPr>
        <w:p w:rsidR="001C55C6" w:rsidRDefault="001C55C6">
          <w:pPr>
            <w:pStyle w:val="Header"/>
            <w:spacing w:before="40"/>
            <w:ind w:right="17"/>
            <w:jc w:val="right"/>
          </w:pPr>
        </w:p>
      </w:tc>
    </w:tr>
    <w:tr w:rsidR="001C55C6">
      <w:trPr>
        <w:cantSplit/>
      </w:trPr>
      <w:tc>
        <w:tcPr>
          <w:tcW w:w="7263" w:type="dxa"/>
          <w:gridSpan w:val="2"/>
        </w:tcPr>
        <w:p w:rsidR="001C55C6" w:rsidRDefault="00321A8E">
          <w:pPr>
            <w:pStyle w:val="Header"/>
            <w:spacing w:before="40"/>
            <w:ind w:right="17"/>
            <w:jc w:val="right"/>
          </w:pPr>
          <w:r>
            <w:t>Defined terms</w:t>
          </w:r>
        </w:p>
      </w:tc>
    </w:tr>
  </w:tbl>
  <w:p w:rsidR="001C55C6" w:rsidRDefault="001C55C6">
    <w:pPr>
      <w:pStyle w:val="Header"/>
      <w:pBdr>
        <w:top w:val="single" w:sz="4" w:space="1" w:color="auto"/>
      </w:pBdr>
    </w:pPr>
    <w:bookmarkStart w:id="67" w:name="DefinedTerms"/>
    <w:bookmarkEnd w:id="6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55C6" w:rsidRDefault="001C55C6">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55C6" w:rsidRDefault="001C55C6">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55C6" w:rsidRDefault="001C55C6">
    <w:pPr>
      <w:pStyle w:val="Header"/>
    </w:pPr>
    <w:bookmarkStart w:id="68" w:name="Coversheet"/>
    <w:bookmarkEnd w:id="6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2"/>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110100900"/>
    <w:docVar w:name="WAFER_20140109164303" w:val="RemoveTocBookmarks,RemoveUnusedBookmarks,RemoveLanguageTags,UsedStyles,ResetPageSize,UpdateArrangement"/>
    <w:docVar w:name="WAFER_20140109164303_GUID" w:val="4513d4f1-d592-42ed-aa5a-a53e88aa16b9"/>
    <w:docVar w:name="WAFER_20150630075839" w:val="ResetPageSize,UpdateArrangement,UpdateNTable"/>
    <w:docVar w:name="WAFER_20150630075839_GUID" w:val="16d1d6d0-0fde-4382-9934-ee253debaab3"/>
    <w:docVar w:name="WAFER_20151109113918" w:val="UpdateStyles,UsedStyles"/>
    <w:docVar w:name="WAFER_20151109113918_GUID" w:val="6be5858e-705b-4041-957b-65a534ac29b2"/>
    <w:docVar w:name="WAFER_20151201103323" w:val="RemoveTrackChanges"/>
    <w:docVar w:name="WAFER_20151201103323_GUID" w:val="ddc1abf6-9396-4e8f-800f-1fd90be363c7"/>
    <w:docVar w:name="WAFER_202011101009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0100900_GUID" w:val="6f746a08-329a-46b4-8e9e-d476ea905571"/>
  </w:docVars>
  <w:rsids>
    <w:rsidRoot w:val="001C55C6"/>
    <w:rsid w:val="00034E04"/>
    <w:rsid w:val="00092F9E"/>
    <w:rsid w:val="00185409"/>
    <w:rsid w:val="001C55C6"/>
    <w:rsid w:val="001F37B8"/>
    <w:rsid w:val="00321A8E"/>
    <w:rsid w:val="00472D07"/>
    <w:rsid w:val="00554887"/>
    <w:rsid w:val="0086213F"/>
    <w:rsid w:val="008E0F25"/>
    <w:rsid w:val="00910746"/>
    <w:rsid w:val="00A2421B"/>
    <w:rsid w:val="00A86968"/>
    <w:rsid w:val="00B50700"/>
    <w:rsid w:val="00C22A3D"/>
    <w:rsid w:val="00C557FA"/>
    <w:rsid w:val="00DF4421"/>
    <w:rsid w:val="00E86211"/>
    <w:rsid w:val="00F3254B"/>
    <w:rsid w:val="00FF37C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CommentSubject">
    <w:name w:val="annotation subject"/>
    <w:basedOn w:val="CommentText"/>
    <w:next w:val="CommentText"/>
    <w:link w:val="CommentSubjectChar"/>
    <w:rsid w:val="001F37B8"/>
    <w:rPr>
      <w:b/>
      <w:bCs/>
      <w:sz w:val="20"/>
    </w:rPr>
  </w:style>
  <w:style w:type="character" w:customStyle="1" w:styleId="CommentTextChar">
    <w:name w:val="Comment Text Char"/>
    <w:basedOn w:val="DefaultParagraphFont"/>
    <w:link w:val="CommentText"/>
    <w:semiHidden/>
    <w:rsid w:val="001F37B8"/>
    <w:rPr>
      <w:sz w:val="24"/>
    </w:rPr>
  </w:style>
  <w:style w:type="character" w:customStyle="1" w:styleId="CommentSubjectChar">
    <w:name w:val="Comment Subject Char"/>
    <w:basedOn w:val="CommentTextChar"/>
    <w:link w:val="CommentSubject"/>
    <w:rsid w:val="001F37B8"/>
    <w:rPr>
      <w:b/>
      <w:bCs/>
      <w:sz w:val="24"/>
    </w:rPr>
  </w:style>
  <w:style w:type="paragraph" w:styleId="Revision">
    <w:name w:val="Revision"/>
    <w:hidden/>
    <w:uiPriority w:val="99"/>
    <w:semiHidden/>
    <w:rsid w:val="001F37B8"/>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CommentSubject">
    <w:name w:val="annotation subject"/>
    <w:basedOn w:val="CommentText"/>
    <w:next w:val="CommentText"/>
    <w:link w:val="CommentSubjectChar"/>
    <w:rsid w:val="001F37B8"/>
    <w:rPr>
      <w:b/>
      <w:bCs/>
      <w:sz w:val="20"/>
    </w:rPr>
  </w:style>
  <w:style w:type="character" w:customStyle="1" w:styleId="CommentTextChar">
    <w:name w:val="Comment Text Char"/>
    <w:basedOn w:val="DefaultParagraphFont"/>
    <w:link w:val="CommentText"/>
    <w:semiHidden/>
    <w:rsid w:val="001F37B8"/>
    <w:rPr>
      <w:sz w:val="24"/>
    </w:rPr>
  </w:style>
  <w:style w:type="character" w:customStyle="1" w:styleId="CommentSubjectChar">
    <w:name w:val="Comment Subject Char"/>
    <w:basedOn w:val="CommentTextChar"/>
    <w:link w:val="CommentSubject"/>
    <w:rsid w:val="001F37B8"/>
    <w:rPr>
      <w:b/>
      <w:bCs/>
      <w:sz w:val="24"/>
    </w:rPr>
  </w:style>
  <w:style w:type="paragraph" w:styleId="Revision">
    <w:name w:val="Revision"/>
    <w:hidden/>
    <w:uiPriority w:val="99"/>
    <w:semiHidden/>
    <w:rsid w:val="001F37B8"/>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3634</Words>
  <Characters>17263</Characters>
  <Application>Microsoft Office Word</Application>
  <DocSecurity>0</DocSecurity>
  <Lines>575</Lines>
  <Paragraphs>401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20496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Safety Levies Regulations 2011 - 00-g0-00</dc:title>
  <dc:subject/>
  <dc:creator/>
  <cp:keywords/>
  <dc:description/>
  <cp:lastModifiedBy>Master Repository Process</cp:lastModifiedBy>
  <cp:revision>4</cp:revision>
  <cp:lastPrinted>2019-06-18T04:28:00Z</cp:lastPrinted>
  <dcterms:created xsi:type="dcterms:W3CDTF">2020-11-11T04:19:00Z</dcterms:created>
  <dcterms:modified xsi:type="dcterms:W3CDTF">2020-11-11T04:19:00Z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2011 p 5515-34</vt:lpwstr>
  </property>
  <property fmtid="{D5CDD505-2E9C-101B-9397-08002B2CF9AE}" pid="3" name="DocumentType">
    <vt:lpwstr>Reg</vt:lpwstr>
  </property>
  <property fmtid="{D5CDD505-2E9C-101B-9397-08002B2CF9AE}" pid="4" name="AsAtDate">
    <vt:lpwstr>10 Nov 2020</vt:lpwstr>
  </property>
  <property fmtid="{D5CDD505-2E9C-101B-9397-08002B2CF9AE}" pid="5" name="Suffix">
    <vt:lpwstr>00-g0-00</vt:lpwstr>
  </property>
  <property fmtid="{D5CDD505-2E9C-101B-9397-08002B2CF9AE}" pid="6" name="CommencementDate">
    <vt:lpwstr>20201110</vt:lpwstr>
  </property>
</Properties>
</file>