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Resources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_Toc97625221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_Toc97625222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_Toc97625223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particular provisions of the Act</w:t>
      </w:r>
    </w:p>
    <w:p>
      <w:pPr>
        <w:pStyle w:val="TOC8"/>
        <w:rPr>
          <w:rFonts w:asciiTheme="minorHAnsi" w:eastAsiaTheme="minorEastAsia" w:hAnsiTheme="minorHAnsi" w:cstheme="minorBidi"/>
          <w:szCs w:val="22"/>
        </w:rPr>
      </w:pPr>
      <w:r>
        <w:t>4.</w:t>
      </w:r>
      <w:r>
        <w:tab/>
        <w:t>Occupational safety and health laws that do not apply to petroleum operations or geothermal energy operations etc.</w:t>
      </w:r>
      <w:r>
        <w:tab/>
      </w:r>
      <w:r>
        <w:fldChar w:fldCharType="begin"/>
      </w:r>
      <w:r>
        <w:instrText xml:space="preserve"> PAGEREF _Toc97625225 \h </w:instrText>
      </w:r>
      <w:r>
        <w:fldChar w:fldCharType="separate"/>
      </w:r>
      <w:r>
        <w:t>3</w:t>
      </w:r>
      <w:r>
        <w:fldChar w:fldCharType="end"/>
      </w:r>
    </w:p>
    <w:p>
      <w:pPr>
        <w:pStyle w:val="TOC8"/>
        <w:rPr>
          <w:rFonts w:asciiTheme="minorHAnsi" w:eastAsiaTheme="minorEastAsia" w:hAnsiTheme="minorHAnsi" w:cstheme="minorBidi"/>
          <w:szCs w:val="22"/>
        </w:rPr>
      </w:pPr>
      <w:r>
        <w:t>5.</w:t>
      </w:r>
      <w:r>
        <w:tab/>
        <w:t>Reviewing authority</w:t>
      </w:r>
      <w:r>
        <w:tab/>
      </w:r>
      <w:r>
        <w:fldChar w:fldCharType="begin"/>
      </w:r>
      <w:r>
        <w:instrText xml:space="preserve"> PAGEREF _Toc97625226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orders under Sch. 1 cl. 44</w:t>
      </w:r>
      <w:r>
        <w:tab/>
      </w:r>
      <w:r>
        <w:fldChar w:fldCharType="begin"/>
      </w:r>
      <w:r>
        <w:instrText xml:space="preserve"> PAGEREF _Toc97625227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Election of safety and health representatives</w:t>
      </w:r>
    </w:p>
    <w:p>
      <w:pPr>
        <w:pStyle w:val="TOC4"/>
        <w:tabs>
          <w:tab w:val="right" w:leader="dot" w:pos="7077"/>
        </w:tabs>
        <w:rPr>
          <w:rFonts w:asciiTheme="minorHAnsi" w:eastAsiaTheme="minorEastAsia" w:hAnsiTheme="minorHAnsi" w:cstheme="minorBidi"/>
          <w:b w:val="0"/>
          <w:szCs w:val="22"/>
        </w:rPr>
      </w:pPr>
      <w:r>
        <w:t>Division 1 — Returning officer</w:t>
      </w:r>
    </w:p>
    <w:p>
      <w:pPr>
        <w:pStyle w:val="TOC8"/>
        <w:rPr>
          <w:rFonts w:asciiTheme="minorHAnsi" w:eastAsiaTheme="minorEastAsia" w:hAnsiTheme="minorHAnsi" w:cstheme="minorBidi"/>
          <w:szCs w:val="22"/>
        </w:rPr>
      </w:pPr>
      <w:r>
        <w:t>7.</w:t>
      </w:r>
      <w:r>
        <w:tab/>
        <w:t>Appointment of returning officer</w:t>
      </w:r>
      <w:r>
        <w:tab/>
      </w:r>
      <w:r>
        <w:fldChar w:fldCharType="begin"/>
      </w:r>
      <w:r>
        <w:instrText xml:space="preserve"> PAGEREF _Toc97625230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poll</w:t>
      </w:r>
    </w:p>
    <w:p>
      <w:pPr>
        <w:pStyle w:val="TOC8"/>
        <w:rPr>
          <w:rFonts w:asciiTheme="minorHAnsi" w:eastAsiaTheme="minorEastAsia" w:hAnsiTheme="minorHAnsi" w:cstheme="minorBidi"/>
          <w:szCs w:val="22"/>
        </w:rPr>
      </w:pPr>
      <w:r>
        <w:t>8.</w:t>
      </w:r>
      <w:r>
        <w:tab/>
        <w:t>Number of votes</w:t>
      </w:r>
      <w:r>
        <w:tab/>
      </w:r>
      <w:r>
        <w:fldChar w:fldCharType="begin"/>
      </w:r>
      <w:r>
        <w:instrText xml:space="preserve"> PAGEREF _Toc97625232 \h </w:instrText>
      </w:r>
      <w:r>
        <w:fldChar w:fldCharType="separate"/>
      </w:r>
      <w:r>
        <w:t>5</w:t>
      </w:r>
      <w:r>
        <w:fldChar w:fldCharType="end"/>
      </w:r>
    </w:p>
    <w:p>
      <w:pPr>
        <w:pStyle w:val="TOC8"/>
        <w:rPr>
          <w:rFonts w:asciiTheme="minorHAnsi" w:eastAsiaTheme="minorEastAsia" w:hAnsiTheme="minorHAnsi" w:cstheme="minorBidi"/>
          <w:szCs w:val="22"/>
        </w:rPr>
      </w:pPr>
      <w:r>
        <w:t>9.</w:t>
      </w:r>
      <w:r>
        <w:tab/>
        <w:t>Right to secret ballot</w:t>
      </w:r>
      <w:r>
        <w:tab/>
      </w:r>
      <w:r>
        <w:fldChar w:fldCharType="begin"/>
      </w:r>
      <w:r>
        <w:instrText xml:space="preserve"> PAGEREF _Toc97625233 \h </w:instrText>
      </w:r>
      <w:r>
        <w:fldChar w:fldCharType="separate"/>
      </w:r>
      <w:r>
        <w:t>5</w:t>
      </w:r>
      <w:r>
        <w:fldChar w:fldCharType="end"/>
      </w:r>
    </w:p>
    <w:p>
      <w:pPr>
        <w:pStyle w:val="TOC8"/>
        <w:rPr>
          <w:rFonts w:asciiTheme="minorHAnsi" w:eastAsiaTheme="minorEastAsia" w:hAnsiTheme="minorHAnsi" w:cstheme="minorBidi"/>
          <w:szCs w:val="22"/>
        </w:rPr>
      </w:pPr>
      <w:r>
        <w:t>10.</w:t>
      </w:r>
      <w:r>
        <w:tab/>
        <w:t>Conduct of poll by secret ballot</w:t>
      </w:r>
      <w:r>
        <w:tab/>
      </w:r>
      <w:r>
        <w:fldChar w:fldCharType="begin"/>
      </w:r>
      <w:r>
        <w:instrText xml:space="preserve"> PAGEREF _Toc97625234 \h </w:instrText>
      </w:r>
      <w:r>
        <w:fldChar w:fldCharType="separate"/>
      </w:r>
      <w:r>
        <w:t>5</w:t>
      </w:r>
      <w:r>
        <w:fldChar w:fldCharType="end"/>
      </w:r>
    </w:p>
    <w:p>
      <w:pPr>
        <w:pStyle w:val="TOC8"/>
        <w:rPr>
          <w:rFonts w:asciiTheme="minorHAnsi" w:eastAsiaTheme="minorEastAsia" w:hAnsiTheme="minorHAnsi" w:cstheme="minorBidi"/>
          <w:szCs w:val="22"/>
        </w:rPr>
      </w:pPr>
      <w:r>
        <w:t>11.</w:t>
      </w:r>
      <w:r>
        <w:tab/>
        <w:t>Conduct of poll if no request made for secret ballot</w:t>
      </w:r>
      <w:r>
        <w:tab/>
      </w:r>
      <w:r>
        <w:fldChar w:fldCharType="begin"/>
      </w:r>
      <w:r>
        <w:instrText xml:space="preserve"> PAGEREF _Toc97625235 \h </w:instrText>
      </w:r>
      <w:r>
        <w:fldChar w:fldCharType="separate"/>
      </w:r>
      <w:r>
        <w:t>5</w:t>
      </w:r>
      <w:r>
        <w:fldChar w:fldCharType="end"/>
      </w:r>
    </w:p>
    <w:p>
      <w:pPr>
        <w:pStyle w:val="TOC8"/>
        <w:rPr>
          <w:rFonts w:asciiTheme="minorHAnsi" w:eastAsiaTheme="minorEastAsia" w:hAnsiTheme="minorHAnsi" w:cstheme="minorBidi"/>
          <w:szCs w:val="22"/>
        </w:rPr>
      </w:pPr>
      <w:r>
        <w:t>12.</w:t>
      </w:r>
      <w:r>
        <w:tab/>
        <w:t>If no candidate is elected</w:t>
      </w:r>
      <w:r>
        <w:tab/>
      </w:r>
      <w:r>
        <w:fldChar w:fldCharType="begin"/>
      </w:r>
      <w:r>
        <w:instrText xml:space="preserve"> PAGEREF _Toc97625236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Polling by secret ballot</w:t>
      </w:r>
    </w:p>
    <w:p>
      <w:pPr>
        <w:pStyle w:val="TOC8"/>
        <w:rPr>
          <w:rFonts w:asciiTheme="minorHAnsi" w:eastAsiaTheme="minorEastAsia" w:hAnsiTheme="minorHAnsi" w:cstheme="minorBidi"/>
          <w:szCs w:val="22"/>
        </w:rPr>
      </w:pPr>
      <w:r>
        <w:t>13.</w:t>
      </w:r>
      <w:r>
        <w:tab/>
        <w:t>Ballot papers</w:t>
      </w:r>
      <w:r>
        <w:tab/>
      </w:r>
      <w:r>
        <w:fldChar w:fldCharType="begin"/>
      </w:r>
      <w:r>
        <w:instrText xml:space="preserve"> PAGEREF _Toc97625238 \h </w:instrText>
      </w:r>
      <w:r>
        <w:fldChar w:fldCharType="separate"/>
      </w:r>
      <w:r>
        <w:t>6</w:t>
      </w:r>
      <w:r>
        <w:fldChar w:fldCharType="end"/>
      </w:r>
    </w:p>
    <w:p>
      <w:pPr>
        <w:pStyle w:val="TOC8"/>
        <w:rPr>
          <w:rFonts w:asciiTheme="minorHAnsi" w:eastAsiaTheme="minorEastAsia" w:hAnsiTheme="minorHAnsi" w:cstheme="minorBidi"/>
          <w:szCs w:val="22"/>
        </w:rPr>
      </w:pPr>
      <w:r>
        <w:t>14.</w:t>
      </w:r>
      <w:r>
        <w:tab/>
        <w:t>Distribution of ballot papers</w:t>
      </w:r>
      <w:r>
        <w:tab/>
      </w:r>
      <w:r>
        <w:fldChar w:fldCharType="begin"/>
      </w:r>
      <w:r>
        <w:instrText xml:space="preserve"> PAGEREF _Toc97625239 \h </w:instrText>
      </w:r>
      <w:r>
        <w:fldChar w:fldCharType="separate"/>
      </w:r>
      <w:r>
        <w:t>6</w:t>
      </w:r>
      <w:r>
        <w:fldChar w:fldCharType="end"/>
      </w:r>
    </w:p>
    <w:p>
      <w:pPr>
        <w:pStyle w:val="TOC8"/>
        <w:rPr>
          <w:rFonts w:asciiTheme="minorHAnsi" w:eastAsiaTheme="minorEastAsia" w:hAnsiTheme="minorHAnsi" w:cstheme="minorBidi"/>
          <w:szCs w:val="22"/>
        </w:rPr>
      </w:pPr>
      <w:r>
        <w:t>15.</w:t>
      </w:r>
      <w:r>
        <w:tab/>
        <w:t>Manner of voting by secret ballot</w:t>
      </w:r>
      <w:r>
        <w:tab/>
      </w:r>
      <w:r>
        <w:fldChar w:fldCharType="begin"/>
      </w:r>
      <w:r>
        <w:instrText xml:space="preserve"> PAGEREF _Toc97625240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The count</w:t>
      </w:r>
    </w:p>
    <w:p>
      <w:pPr>
        <w:pStyle w:val="TOC8"/>
        <w:rPr>
          <w:rFonts w:asciiTheme="minorHAnsi" w:eastAsiaTheme="minorEastAsia" w:hAnsiTheme="minorHAnsi" w:cstheme="minorBidi"/>
          <w:szCs w:val="22"/>
        </w:rPr>
      </w:pPr>
      <w:r>
        <w:t>16.</w:t>
      </w:r>
      <w:r>
        <w:tab/>
        <w:t>Envelopes given to returning officer</w:t>
      </w:r>
      <w:r>
        <w:tab/>
      </w:r>
      <w:r>
        <w:fldChar w:fldCharType="begin"/>
      </w:r>
      <w:r>
        <w:instrText xml:space="preserve"> PAGEREF _Toc97625242 \h </w:instrText>
      </w:r>
      <w:r>
        <w:fldChar w:fldCharType="separate"/>
      </w:r>
      <w:r>
        <w:t>8</w:t>
      </w:r>
      <w:r>
        <w:fldChar w:fldCharType="end"/>
      </w:r>
    </w:p>
    <w:p>
      <w:pPr>
        <w:pStyle w:val="TOC8"/>
        <w:rPr>
          <w:rFonts w:asciiTheme="minorHAnsi" w:eastAsiaTheme="minorEastAsia" w:hAnsiTheme="minorHAnsi" w:cstheme="minorBidi"/>
          <w:szCs w:val="22"/>
        </w:rPr>
      </w:pPr>
      <w:r>
        <w:t>17.</w:t>
      </w:r>
      <w:r>
        <w:tab/>
        <w:t>Scrutineers</w:t>
      </w:r>
      <w:r>
        <w:tab/>
      </w:r>
      <w:r>
        <w:fldChar w:fldCharType="begin"/>
      </w:r>
      <w:r>
        <w:instrText xml:space="preserve"> PAGEREF _Toc97625243 \h </w:instrText>
      </w:r>
      <w:r>
        <w:fldChar w:fldCharType="separate"/>
      </w:r>
      <w:r>
        <w:t>8</w:t>
      </w:r>
      <w:r>
        <w:fldChar w:fldCharType="end"/>
      </w:r>
    </w:p>
    <w:p>
      <w:pPr>
        <w:pStyle w:val="TOC8"/>
        <w:rPr>
          <w:rFonts w:asciiTheme="minorHAnsi" w:eastAsiaTheme="minorEastAsia" w:hAnsiTheme="minorHAnsi" w:cstheme="minorBidi"/>
          <w:szCs w:val="22"/>
        </w:rPr>
      </w:pPr>
      <w:r>
        <w:t>18.</w:t>
      </w:r>
      <w:r>
        <w:tab/>
        <w:t>Returning officer to be advised of scrutineers</w:t>
      </w:r>
      <w:r>
        <w:tab/>
      </w:r>
      <w:r>
        <w:fldChar w:fldCharType="begin"/>
      </w:r>
      <w:r>
        <w:instrText xml:space="preserve"> PAGEREF _Toc97625244 \h </w:instrText>
      </w:r>
      <w:r>
        <w:fldChar w:fldCharType="separate"/>
      </w:r>
      <w:r>
        <w:t>8</w:t>
      </w:r>
      <w:r>
        <w:fldChar w:fldCharType="end"/>
      </w:r>
    </w:p>
    <w:p>
      <w:pPr>
        <w:pStyle w:val="TOC8"/>
        <w:rPr>
          <w:rFonts w:asciiTheme="minorHAnsi" w:eastAsiaTheme="minorEastAsia" w:hAnsiTheme="minorHAnsi" w:cstheme="minorBidi"/>
          <w:szCs w:val="22"/>
        </w:rPr>
      </w:pPr>
      <w:r>
        <w:t>19.</w:t>
      </w:r>
      <w:r>
        <w:tab/>
        <w:t>Persons present at the count</w:t>
      </w:r>
      <w:r>
        <w:tab/>
      </w:r>
      <w:r>
        <w:fldChar w:fldCharType="begin"/>
      </w:r>
      <w:r>
        <w:instrText xml:space="preserve"> PAGEREF _Toc97625245 \h </w:instrText>
      </w:r>
      <w:r>
        <w:fldChar w:fldCharType="separate"/>
      </w:r>
      <w:r>
        <w:t>8</w:t>
      </w:r>
      <w:r>
        <w:fldChar w:fldCharType="end"/>
      </w:r>
    </w:p>
    <w:p>
      <w:pPr>
        <w:pStyle w:val="TOC8"/>
        <w:rPr>
          <w:rFonts w:asciiTheme="minorHAnsi" w:eastAsiaTheme="minorEastAsia" w:hAnsiTheme="minorHAnsi" w:cstheme="minorBidi"/>
          <w:szCs w:val="22"/>
        </w:rPr>
      </w:pPr>
      <w:r>
        <w:t>20.</w:t>
      </w:r>
      <w:r>
        <w:tab/>
        <w:t>Conduct of the count</w:t>
      </w:r>
      <w:r>
        <w:tab/>
      </w:r>
      <w:r>
        <w:fldChar w:fldCharType="begin"/>
      </w:r>
      <w:r>
        <w:instrText xml:space="preserve"> PAGEREF _Toc97625246 \h </w:instrText>
      </w:r>
      <w:r>
        <w:fldChar w:fldCharType="separate"/>
      </w:r>
      <w:r>
        <w:t>9</w:t>
      </w:r>
      <w:r>
        <w:fldChar w:fldCharType="end"/>
      </w:r>
    </w:p>
    <w:p>
      <w:pPr>
        <w:pStyle w:val="TOC8"/>
        <w:rPr>
          <w:rFonts w:asciiTheme="minorHAnsi" w:eastAsiaTheme="minorEastAsia" w:hAnsiTheme="minorHAnsi" w:cstheme="minorBidi"/>
          <w:szCs w:val="22"/>
        </w:rPr>
      </w:pPr>
      <w:r>
        <w:t>21.</w:t>
      </w:r>
      <w:r>
        <w:tab/>
        <w:t>Informal ballot papers</w:t>
      </w:r>
      <w:r>
        <w:tab/>
      </w:r>
      <w:r>
        <w:fldChar w:fldCharType="begin"/>
      </w:r>
      <w:r>
        <w:instrText xml:space="preserve"> PAGEREF _Toc97625247 \h </w:instrText>
      </w:r>
      <w:r>
        <w:fldChar w:fldCharType="separate"/>
      </w:r>
      <w:r>
        <w:t>9</w:t>
      </w:r>
      <w:r>
        <w:fldChar w:fldCharType="end"/>
      </w:r>
    </w:p>
    <w:p>
      <w:pPr>
        <w:pStyle w:val="TOC8"/>
        <w:rPr>
          <w:rFonts w:asciiTheme="minorHAnsi" w:eastAsiaTheme="minorEastAsia" w:hAnsiTheme="minorHAnsi" w:cstheme="minorBidi"/>
          <w:szCs w:val="22"/>
        </w:rPr>
      </w:pPr>
      <w:r>
        <w:t>22.</w:t>
      </w:r>
      <w:r>
        <w:tab/>
        <w:t>Completion of the count</w:t>
      </w:r>
      <w:r>
        <w:tab/>
      </w:r>
      <w:r>
        <w:fldChar w:fldCharType="begin"/>
      </w:r>
      <w:r>
        <w:instrText xml:space="preserve"> PAGEREF _Toc97625248 \h </w:instrText>
      </w:r>
      <w:r>
        <w:fldChar w:fldCharType="separate"/>
      </w:r>
      <w:r>
        <w:t>10</w:t>
      </w:r>
      <w:r>
        <w:fldChar w:fldCharType="end"/>
      </w:r>
    </w:p>
    <w:p>
      <w:pPr>
        <w:pStyle w:val="TOC8"/>
        <w:rPr>
          <w:rFonts w:asciiTheme="minorHAnsi" w:eastAsiaTheme="minorEastAsia" w:hAnsiTheme="minorHAnsi" w:cstheme="minorBidi"/>
          <w:szCs w:val="22"/>
        </w:rPr>
      </w:pPr>
      <w:r>
        <w:t>23.</w:t>
      </w:r>
      <w:r>
        <w:tab/>
        <w:t>Destruction of election material</w:t>
      </w:r>
      <w:r>
        <w:tab/>
      </w:r>
      <w:r>
        <w:fldChar w:fldCharType="begin"/>
      </w:r>
      <w:r>
        <w:instrText xml:space="preserve"> PAGEREF _Toc97625249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Result of election</w:t>
      </w:r>
    </w:p>
    <w:p>
      <w:pPr>
        <w:pStyle w:val="TOC8"/>
        <w:rPr>
          <w:rFonts w:asciiTheme="minorHAnsi" w:eastAsiaTheme="minorEastAsia" w:hAnsiTheme="minorHAnsi" w:cstheme="minorBidi"/>
          <w:szCs w:val="22"/>
        </w:rPr>
      </w:pPr>
      <w:r>
        <w:t>24.</w:t>
      </w:r>
      <w:r>
        <w:tab/>
        <w:t>Request for recount</w:t>
      </w:r>
      <w:r>
        <w:tab/>
      </w:r>
      <w:r>
        <w:fldChar w:fldCharType="begin"/>
      </w:r>
      <w:r>
        <w:instrText xml:space="preserve"> PAGEREF _Toc97625251 \h </w:instrText>
      </w:r>
      <w:r>
        <w:fldChar w:fldCharType="separate"/>
      </w:r>
      <w:r>
        <w:t>10</w:t>
      </w:r>
      <w:r>
        <w:fldChar w:fldCharType="end"/>
      </w:r>
    </w:p>
    <w:p>
      <w:pPr>
        <w:pStyle w:val="TOC8"/>
        <w:rPr>
          <w:rFonts w:asciiTheme="minorHAnsi" w:eastAsiaTheme="minorEastAsia" w:hAnsiTheme="minorHAnsi" w:cstheme="minorBidi"/>
          <w:szCs w:val="22"/>
        </w:rPr>
      </w:pPr>
      <w:r>
        <w:t>25.</w:t>
      </w:r>
      <w:r>
        <w:tab/>
        <w:t>Irregularities at election</w:t>
      </w:r>
      <w:r>
        <w:tab/>
      </w:r>
      <w:r>
        <w:fldChar w:fldCharType="begin"/>
      </w:r>
      <w:r>
        <w:instrText xml:space="preserve"> PAGEREF _Toc97625252 \h </w:instrText>
      </w:r>
      <w:r>
        <w:fldChar w:fldCharType="separate"/>
      </w:r>
      <w:r>
        <w:t>11</w:t>
      </w:r>
      <w:r>
        <w:fldChar w:fldCharType="end"/>
      </w:r>
    </w:p>
    <w:p>
      <w:pPr>
        <w:pStyle w:val="TOC8"/>
        <w:rPr>
          <w:rFonts w:asciiTheme="minorHAnsi" w:eastAsiaTheme="minorEastAsia" w:hAnsiTheme="minorHAnsi" w:cstheme="minorBidi"/>
          <w:szCs w:val="22"/>
        </w:rPr>
      </w:pPr>
      <w:r>
        <w:t>26.</w:t>
      </w:r>
      <w:r>
        <w:tab/>
        <w:t>Result of poll</w:t>
      </w:r>
      <w:r>
        <w:tab/>
      </w:r>
      <w:r>
        <w:fldChar w:fldCharType="begin"/>
      </w:r>
      <w:r>
        <w:instrText xml:space="preserve"> PAGEREF _Toc97625253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Matters relating to occupational safety and health generally</w:t>
      </w:r>
    </w:p>
    <w:p>
      <w:pPr>
        <w:pStyle w:val="TOC8"/>
        <w:rPr>
          <w:rFonts w:asciiTheme="minorHAnsi" w:eastAsiaTheme="minorEastAsia" w:hAnsiTheme="minorHAnsi" w:cstheme="minorBidi"/>
          <w:szCs w:val="22"/>
        </w:rPr>
      </w:pPr>
      <w:r>
        <w:t>27.</w:t>
      </w:r>
      <w:r>
        <w:tab/>
        <w:t>Training of safety and health representatives</w:t>
      </w:r>
      <w:r>
        <w:tab/>
      </w:r>
      <w:r>
        <w:fldChar w:fldCharType="begin"/>
      </w:r>
      <w:r>
        <w:instrText xml:space="preserve"> PAGEREF _Toc97625255 \h </w:instrText>
      </w:r>
      <w:r>
        <w:fldChar w:fldCharType="separate"/>
      </w:r>
      <w:r>
        <w:t>13</w:t>
      </w:r>
      <w:r>
        <w:fldChar w:fldCharType="end"/>
      </w:r>
    </w:p>
    <w:p>
      <w:pPr>
        <w:pStyle w:val="TOC8"/>
        <w:rPr>
          <w:rFonts w:asciiTheme="minorHAnsi" w:eastAsiaTheme="minorEastAsia" w:hAnsiTheme="minorHAnsi" w:cstheme="minorBidi"/>
          <w:szCs w:val="22"/>
        </w:rPr>
      </w:pPr>
      <w:r>
        <w:t>28.</w:t>
      </w:r>
      <w:r>
        <w:tab/>
        <w:t>Avoiding fatigue</w:t>
      </w:r>
      <w:r>
        <w:tab/>
      </w:r>
      <w:r>
        <w:fldChar w:fldCharType="begin"/>
      </w:r>
      <w:r>
        <w:instrText xml:space="preserve"> PAGEREF _Toc97625256 \h </w:instrText>
      </w:r>
      <w:r>
        <w:fldChar w:fldCharType="separate"/>
      </w:r>
      <w:r>
        <w:t>13</w:t>
      </w:r>
      <w:r>
        <w:fldChar w:fldCharType="end"/>
      </w:r>
    </w:p>
    <w:p>
      <w:pPr>
        <w:pStyle w:val="TOC8"/>
        <w:rPr>
          <w:rFonts w:asciiTheme="minorHAnsi" w:eastAsiaTheme="minorEastAsia" w:hAnsiTheme="minorHAnsi" w:cstheme="minorBidi"/>
          <w:szCs w:val="22"/>
        </w:rPr>
      </w:pPr>
      <w:r>
        <w:t>29.</w:t>
      </w:r>
      <w:r>
        <w:tab/>
        <w:t>Possession or control of drugs or intoxicants</w:t>
      </w:r>
      <w:r>
        <w:tab/>
      </w:r>
      <w:r>
        <w:fldChar w:fldCharType="begin"/>
      </w:r>
      <w:r>
        <w:instrText xml:space="preserve"> PAGEREF _Toc97625257 \h </w:instrText>
      </w:r>
      <w:r>
        <w:fldChar w:fldCharType="separate"/>
      </w:r>
      <w:r>
        <w:t>13</w:t>
      </w:r>
      <w:r>
        <w:fldChar w:fldCharType="end"/>
      </w:r>
    </w:p>
    <w:p>
      <w:pPr>
        <w:pStyle w:val="TOC8"/>
        <w:rPr>
          <w:rFonts w:asciiTheme="minorHAnsi" w:eastAsiaTheme="minorEastAsia" w:hAnsiTheme="minorHAnsi" w:cstheme="minorBidi"/>
          <w:szCs w:val="22"/>
        </w:rPr>
      </w:pPr>
      <w:r>
        <w:t>30.</w:t>
      </w:r>
      <w:r>
        <w:tab/>
        <w:t>Person must leave petroleum operation or geothermal energy operation when required to do so</w:t>
      </w:r>
      <w:r>
        <w:tab/>
      </w:r>
      <w:r>
        <w:fldChar w:fldCharType="begin"/>
      </w:r>
      <w:r>
        <w:instrText xml:space="preserve"> PAGEREF _Toc97625258 \h </w:instrText>
      </w:r>
      <w:r>
        <w:fldChar w:fldCharType="separate"/>
      </w:r>
      <w:r>
        <w:t>15</w:t>
      </w:r>
      <w:r>
        <w:fldChar w:fldCharType="end"/>
      </w:r>
    </w:p>
    <w:p>
      <w:pPr>
        <w:pStyle w:val="TOC8"/>
        <w:rPr>
          <w:rFonts w:asciiTheme="minorHAnsi" w:eastAsiaTheme="minorEastAsia" w:hAnsiTheme="minorHAnsi" w:cstheme="minorBidi"/>
          <w:szCs w:val="22"/>
        </w:rPr>
      </w:pPr>
      <w:r>
        <w:t>31.</w:t>
      </w:r>
      <w:r>
        <w:tab/>
        <w:t>Prohibition on use of certain hazardous substances</w:t>
      </w:r>
      <w:r>
        <w:tab/>
      </w:r>
      <w:r>
        <w:fldChar w:fldCharType="begin"/>
      </w:r>
      <w:r>
        <w:instrText xml:space="preserve"> PAGEREF _Toc97625259 \h </w:instrText>
      </w:r>
      <w:r>
        <w:fldChar w:fldCharType="separate"/>
      </w:r>
      <w:r>
        <w:t>15</w:t>
      </w:r>
      <w:r>
        <w:fldChar w:fldCharType="end"/>
      </w:r>
    </w:p>
    <w:p>
      <w:pPr>
        <w:pStyle w:val="TOC8"/>
        <w:rPr>
          <w:rFonts w:asciiTheme="minorHAnsi" w:eastAsiaTheme="minorEastAsia" w:hAnsiTheme="minorHAnsi" w:cstheme="minorBidi"/>
          <w:szCs w:val="22"/>
        </w:rPr>
      </w:pPr>
      <w:r>
        <w:t>32.</w:t>
      </w:r>
      <w:r>
        <w:tab/>
        <w:t>Limitations on exposure to certain hazardous substances</w:t>
      </w:r>
      <w:r>
        <w:tab/>
      </w:r>
      <w:r>
        <w:fldChar w:fldCharType="begin"/>
      </w:r>
      <w:r>
        <w:instrText xml:space="preserve"> PAGEREF _Toc97625260 \h </w:instrText>
      </w:r>
      <w:r>
        <w:fldChar w:fldCharType="separate"/>
      </w:r>
      <w:r>
        <w:t>16</w:t>
      </w:r>
      <w:r>
        <w:fldChar w:fldCharType="end"/>
      </w:r>
    </w:p>
    <w:p>
      <w:pPr>
        <w:pStyle w:val="TOC8"/>
        <w:rPr>
          <w:rFonts w:asciiTheme="minorHAnsi" w:eastAsiaTheme="minorEastAsia" w:hAnsiTheme="minorHAnsi" w:cstheme="minorBidi"/>
          <w:szCs w:val="22"/>
        </w:rPr>
      </w:pPr>
      <w:r>
        <w:t>33.</w:t>
      </w:r>
      <w:r>
        <w:tab/>
        <w:t>Exposure to noise</w:t>
      </w:r>
      <w:r>
        <w:tab/>
      </w:r>
      <w:r>
        <w:fldChar w:fldCharType="begin"/>
      </w:r>
      <w:r>
        <w:instrText xml:space="preserve"> PAGEREF _Toc97625261 \h </w:instrText>
      </w:r>
      <w:r>
        <w:fldChar w:fldCharType="separate"/>
      </w:r>
      <w:r>
        <w:t>17</w:t>
      </w:r>
      <w:r>
        <w:fldChar w:fldCharType="end"/>
      </w:r>
    </w:p>
    <w:p>
      <w:pPr>
        <w:pStyle w:val="TOC8"/>
        <w:rPr>
          <w:rFonts w:asciiTheme="minorHAnsi" w:eastAsiaTheme="minorEastAsia" w:hAnsiTheme="minorHAnsi" w:cstheme="minorBidi"/>
          <w:szCs w:val="22"/>
        </w:rPr>
      </w:pPr>
      <w:r>
        <w:t>34.</w:t>
      </w:r>
      <w:r>
        <w:tab/>
        <w:t>Exemptions from hazardous substances and noise requirements</w:t>
      </w:r>
      <w:r>
        <w:tab/>
      </w:r>
      <w:r>
        <w:fldChar w:fldCharType="begin"/>
      </w:r>
      <w:r>
        <w:instrText xml:space="preserve"> PAGEREF _Toc97625262 \h </w:instrText>
      </w:r>
      <w:r>
        <w:fldChar w:fldCharType="separate"/>
      </w:r>
      <w:r>
        <w:t>18</w:t>
      </w:r>
      <w:r>
        <w:fldChar w:fldCharType="end"/>
      </w:r>
    </w:p>
    <w:p>
      <w:pPr>
        <w:pStyle w:val="TOC8"/>
        <w:rPr>
          <w:rFonts w:asciiTheme="minorHAnsi" w:eastAsiaTheme="minorEastAsia" w:hAnsiTheme="minorHAnsi" w:cstheme="minorBidi"/>
          <w:szCs w:val="22"/>
        </w:rPr>
      </w:pPr>
      <w:r>
        <w:t>35.</w:t>
      </w:r>
      <w:r>
        <w:tab/>
        <w:t>Taking samples for testing etc.</w:t>
      </w:r>
      <w:r>
        <w:tab/>
      </w:r>
      <w:r>
        <w:fldChar w:fldCharType="begin"/>
      </w:r>
      <w:r>
        <w:instrText xml:space="preserve"> PAGEREF _Toc97625263 \h </w:instrText>
      </w:r>
      <w:r>
        <w:fldChar w:fldCharType="separate"/>
      </w:r>
      <w:r>
        <w:t>18</w:t>
      </w:r>
      <w:r>
        <w:fldChar w:fldCharType="end"/>
      </w:r>
    </w:p>
    <w:p>
      <w:pPr>
        <w:pStyle w:val="TOC8"/>
        <w:rPr>
          <w:rFonts w:asciiTheme="minorHAnsi" w:eastAsiaTheme="minorEastAsia" w:hAnsiTheme="minorHAnsi" w:cstheme="minorBidi"/>
          <w:szCs w:val="22"/>
        </w:rPr>
      </w:pPr>
      <w:r>
        <w:t>36.</w:t>
      </w:r>
      <w:r>
        <w:tab/>
        <w:t>Form of certain notices</w:t>
      </w:r>
      <w:r>
        <w:tab/>
      </w:r>
      <w:r>
        <w:fldChar w:fldCharType="begin"/>
      </w:r>
      <w:r>
        <w:instrText xml:space="preserve"> PAGEREF _Toc97625264 \h </w:instrText>
      </w:r>
      <w:r>
        <w:fldChar w:fldCharType="separate"/>
      </w:r>
      <w:r>
        <w:t>19</w:t>
      </w:r>
      <w:r>
        <w:fldChar w:fldCharType="end"/>
      </w:r>
    </w:p>
    <w:p>
      <w:pPr>
        <w:pStyle w:val="TOC8"/>
        <w:rPr>
          <w:rFonts w:asciiTheme="minorHAnsi" w:eastAsiaTheme="minorEastAsia" w:hAnsiTheme="minorHAnsi" w:cstheme="minorBidi"/>
          <w:szCs w:val="22"/>
        </w:rPr>
      </w:pPr>
      <w:r>
        <w:t>37.</w:t>
      </w:r>
      <w:r>
        <w:tab/>
        <w:t>Forms, notices and reports</w:t>
      </w:r>
      <w:r>
        <w:tab/>
      </w:r>
      <w:r>
        <w:fldChar w:fldCharType="begin"/>
      </w:r>
      <w:r>
        <w:instrText xml:space="preserve"> PAGEREF _Toc97625265 \h </w:instrText>
      </w:r>
      <w:r>
        <w:fldChar w:fldCharType="separate"/>
      </w:r>
      <w:r>
        <w:t>19</w:t>
      </w:r>
      <w:r>
        <w:fldChar w:fldCharType="end"/>
      </w:r>
    </w:p>
    <w:p>
      <w:pPr>
        <w:pStyle w:val="TOC8"/>
        <w:rPr>
          <w:rFonts w:asciiTheme="minorHAnsi" w:eastAsiaTheme="minorEastAsia" w:hAnsiTheme="minorHAnsi" w:cstheme="minorBidi"/>
          <w:szCs w:val="22"/>
        </w:rPr>
      </w:pPr>
      <w:r>
        <w:t>38.</w:t>
      </w:r>
      <w:r>
        <w:tab/>
        <w:t>Service of Schedule 1 notices</w:t>
      </w:r>
      <w:r>
        <w:tab/>
      </w:r>
      <w:r>
        <w:fldChar w:fldCharType="begin"/>
      </w:r>
      <w:r>
        <w:instrText xml:space="preserve"> PAGEREF _Toc97625266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w:t>
      </w:r>
    </w:p>
    <w:p>
      <w:pPr>
        <w:pStyle w:val="TOC8"/>
        <w:rPr>
          <w:rFonts w:asciiTheme="minorHAnsi" w:eastAsiaTheme="minorEastAsia" w:hAnsiTheme="minorHAnsi" w:cstheme="minorBidi"/>
          <w:szCs w:val="22"/>
        </w:rPr>
      </w:pPr>
      <w:r>
        <w:t>39.</w:t>
      </w:r>
      <w:r>
        <w:tab/>
        <w:t>Election commenced but not completed before commencement of regulations</w:t>
      </w:r>
      <w:r>
        <w:tab/>
      </w:r>
      <w:r>
        <w:fldChar w:fldCharType="begin"/>
      </w:r>
      <w:r>
        <w:instrText xml:space="preserve"> PAGEREF _Toc97625268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Hazardous substances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ab/>
        <w:t>Terms used</w:t>
      </w:r>
      <w:r>
        <w:tab/>
      </w:r>
      <w:r>
        <w:fldChar w:fldCharType="begin"/>
      </w:r>
      <w:r>
        <w:instrText xml:space="preserve"> PAGEREF _Toc97625272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Permitted circumstances for using certain hazardous substances</w:t>
      </w:r>
    </w:p>
    <w:p>
      <w:pPr>
        <w:pStyle w:val="TOC4"/>
        <w:tabs>
          <w:tab w:val="right" w:leader="dot" w:pos="7077"/>
        </w:tabs>
        <w:rPr>
          <w:rFonts w:asciiTheme="minorHAnsi" w:eastAsiaTheme="minorEastAsia" w:hAnsiTheme="minorHAnsi" w:cstheme="minorBidi"/>
          <w:b w:val="0"/>
          <w:szCs w:val="22"/>
        </w:rPr>
      </w:pPr>
      <w:r>
        <w:t>Division 3 — Permitted circumstances for using certain hazardous substances with carcinogenic properties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_Toc97625276 \h </w:instrText>
      </w:r>
      <w:r>
        <w:fldChar w:fldCharType="separate"/>
      </w:r>
      <w:r>
        <w:t>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_Toc97625277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and Geothermal Energy Resources Act 1967</w:t>
      </w:r>
    </w:p>
    <w:p>
      <w:pPr>
        <w:pStyle w:val="NameofActReg"/>
      </w:pPr>
      <w:r>
        <w:t>Petroleum and Geothermal Energy Resources (Occupational Safety and Health) Regulations 2010</w:t>
      </w:r>
    </w:p>
    <w:p>
      <w:pPr>
        <w:pStyle w:val="Heading2"/>
        <w:pageBreakBefore w:val="0"/>
        <w:spacing w:before="240"/>
      </w:pPr>
      <w:bookmarkStart w:id="3" w:name="_Toc97289460"/>
      <w:bookmarkStart w:id="4" w:name="_Toc97289652"/>
      <w:bookmarkStart w:id="5" w:name="_Toc9762522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7625221"/>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Petroleum and Geothermal Energy Resources (Occupational Safety and Health) Regulations 2010 </w:t>
      </w:r>
      <w:r>
        <w:rPr>
          <w:iCs/>
          <w:vertAlign w:val="superscript"/>
        </w:rPr>
        <w:t>1</w:t>
      </w:r>
      <w:r>
        <w:t>.</w:t>
      </w:r>
    </w:p>
    <w:p>
      <w:pPr>
        <w:pStyle w:val="Heading5"/>
        <w:rPr>
          <w:spacing w:val="-2"/>
        </w:rPr>
      </w:pPr>
      <w:bookmarkStart w:id="8" w:name="_Toc9762522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 comes into operation.</w:t>
      </w:r>
    </w:p>
    <w:p>
      <w:pPr>
        <w:pStyle w:val="Heading5"/>
      </w:pPr>
      <w:bookmarkStart w:id="9" w:name="_Toc97625223"/>
      <w:r>
        <w:rPr>
          <w:rStyle w:val="CharSectno"/>
        </w:rPr>
        <w:t>3</w:t>
      </w:r>
      <w:r>
        <w:t>.</w:t>
      </w:r>
      <w:r>
        <w:tab/>
        <w:t>Terms used</w:t>
      </w:r>
      <w:bookmarkEnd w:id="9"/>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Schedule 1 clause 24;</w:t>
      </w:r>
    </w:p>
    <w:p>
      <w:pPr>
        <w:pStyle w:val="Defstart"/>
      </w:pPr>
      <w:r>
        <w:rPr>
          <w:b/>
        </w:rPr>
        <w:tab/>
      </w:r>
      <w:r>
        <w:rPr>
          <w:rStyle w:val="CharDefText"/>
        </w:rPr>
        <w:t>responsible person</w:t>
      </w:r>
      <w:r>
        <w:t xml:space="preserve"> means a person who is — </w:t>
      </w:r>
    </w:p>
    <w:p>
      <w:pPr>
        <w:pStyle w:val="Defpara"/>
      </w:pPr>
      <w:r>
        <w:tab/>
        <w:t>(a)</w:t>
      </w:r>
      <w:r>
        <w:tab/>
        <w:t>the operator of a petroleum operation or geothermal energy operation; or</w:t>
      </w:r>
    </w:p>
    <w:p>
      <w:pPr>
        <w:pStyle w:val="Defpara"/>
      </w:pPr>
      <w:r>
        <w:tab/>
        <w:t>(b)</w:t>
      </w:r>
      <w:r>
        <w:tab/>
        <w:t>an employer; or</w:t>
      </w:r>
    </w:p>
    <w:p>
      <w:pPr>
        <w:pStyle w:val="Defpara"/>
        <w:keepNext/>
      </w:pPr>
      <w:r>
        <w:lastRenderedPageBreak/>
        <w:tab/>
        <w:t>(c)</w:t>
      </w:r>
      <w:r>
        <w:tab/>
        <w:t xml:space="preserve">any other person in control of — </w:t>
      </w:r>
    </w:p>
    <w:p>
      <w:pPr>
        <w:pStyle w:val="Defsubpara"/>
      </w:pPr>
      <w:r>
        <w:tab/>
        <w:t>(i)</w:t>
      </w:r>
      <w:r>
        <w:tab/>
        <w:t>a petroleum operation or geothermal energy operation; or</w:t>
      </w:r>
    </w:p>
    <w:p>
      <w:pPr>
        <w:pStyle w:val="Defsubpara"/>
      </w:pPr>
      <w:r>
        <w:tab/>
        <w:t>(ii)</w:t>
      </w:r>
      <w:r>
        <w:tab/>
        <w:t>a part of a petroleum operation or geothermal energy operation; or</w:t>
      </w:r>
    </w:p>
    <w:p>
      <w:pPr>
        <w:pStyle w:val="Defsubpara"/>
      </w:pPr>
      <w:r>
        <w:tab/>
        <w:t>(iii)</w:t>
      </w:r>
      <w:r>
        <w:tab/>
        <w:t>particular work of persons engaged in a petroleum operation or geothermal energy operation;</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Schedule 1 clause 23;</w:t>
      </w:r>
    </w:p>
    <w:p>
      <w:pPr>
        <w:pStyle w:val="Defstart"/>
      </w:pPr>
      <w:r>
        <w:rPr>
          <w:b/>
        </w:rPr>
        <w:tab/>
      </w:r>
      <w:r>
        <w:rPr>
          <w:rStyle w:val="CharDefText"/>
        </w:rPr>
        <w:t>Schedule 1</w:t>
      </w:r>
      <w:r>
        <w:t xml:space="preserve"> means Schedule 1 to the Act except in the references in regulation 36 to “Schedule 1 to these regulations”;</w:t>
      </w:r>
    </w:p>
    <w:p>
      <w:pPr>
        <w:pStyle w:val="Defstart"/>
      </w:pPr>
      <w:r>
        <w:rPr>
          <w:b/>
        </w:rPr>
        <w:tab/>
      </w:r>
      <w:r>
        <w:rPr>
          <w:rStyle w:val="CharDefText"/>
        </w:rPr>
        <w:t>voter</w:t>
      </w:r>
      <w:r>
        <w:t>, in relation to an election, means a person who is eligible under Schedule 1 clause 24(7) to vote in the election.</w:t>
      </w:r>
    </w:p>
    <w:p>
      <w:pPr>
        <w:pStyle w:val="Heading2"/>
      </w:pPr>
      <w:bookmarkStart w:id="10" w:name="_Toc97289464"/>
      <w:bookmarkStart w:id="11" w:name="_Toc97289656"/>
      <w:bookmarkStart w:id="12" w:name="_Toc97625224"/>
      <w:r>
        <w:rPr>
          <w:rStyle w:val="CharPartNo"/>
        </w:rPr>
        <w:lastRenderedPageBreak/>
        <w:t>Part 2</w:t>
      </w:r>
      <w:r>
        <w:rPr>
          <w:rStyle w:val="CharDivNo"/>
        </w:rPr>
        <w:t> </w:t>
      </w:r>
      <w:r>
        <w:t>—</w:t>
      </w:r>
      <w:r>
        <w:rPr>
          <w:rStyle w:val="CharDivText"/>
        </w:rPr>
        <w:t> </w:t>
      </w:r>
      <w:r>
        <w:rPr>
          <w:rStyle w:val="CharPartText"/>
        </w:rPr>
        <w:t>Matters prescribed for particular provisions of the Act</w:t>
      </w:r>
      <w:bookmarkEnd w:id="10"/>
      <w:bookmarkEnd w:id="11"/>
      <w:bookmarkEnd w:id="12"/>
    </w:p>
    <w:p>
      <w:pPr>
        <w:pStyle w:val="Heading5"/>
      </w:pPr>
      <w:bookmarkStart w:id="13" w:name="_Toc97625225"/>
      <w:r>
        <w:rPr>
          <w:rStyle w:val="CharSectno"/>
        </w:rPr>
        <w:t>4</w:t>
      </w:r>
      <w:r>
        <w:t>.</w:t>
      </w:r>
      <w:r>
        <w:tab/>
        <w:t>Occupational safety and health laws that do not apply to petroleum operations or geothermal energy operations etc.</w:t>
      </w:r>
      <w:bookmarkEnd w:id="13"/>
    </w:p>
    <w:p>
      <w:pPr>
        <w:pStyle w:val="Subsection"/>
      </w:pPr>
      <w:r>
        <w:tab/>
      </w:r>
      <w:r>
        <w:tab/>
        <w:t>The enactments mentioned in the Table are prescribed for the purposes of section 7AA of the Act.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784"/>
      </w:tblGrid>
      <w:tr>
        <w:trPr>
          <w:tblHeader/>
        </w:trPr>
        <w:tc>
          <w:tcPr>
            <w:tcW w:w="5784" w:type="dxa"/>
          </w:tcPr>
          <w:p>
            <w:pPr>
              <w:pStyle w:val="TableNAm"/>
              <w:jc w:val="center"/>
              <w:rPr>
                <w:b/>
                <w:bCs/>
              </w:rPr>
            </w:pPr>
            <w:r>
              <w:rPr>
                <w:b/>
                <w:bCs/>
              </w:rPr>
              <w:t>Enactment</w:t>
            </w:r>
          </w:p>
        </w:tc>
      </w:tr>
      <w:tr>
        <w:tc>
          <w:tcPr>
            <w:tcW w:w="5784" w:type="dxa"/>
          </w:tcPr>
          <w:p>
            <w:pPr>
              <w:pStyle w:val="TableNAm"/>
            </w:pPr>
            <w:r>
              <w:rPr>
                <w:i/>
                <w:iCs/>
              </w:rPr>
              <w:t>Dangerous Goods Safety Act 2004</w:t>
            </w:r>
            <w:r>
              <w:t xml:space="preserve"> to the extent that it relates to occupational safety and health</w:t>
            </w:r>
          </w:p>
        </w:tc>
      </w:tr>
      <w:tr>
        <w:tc>
          <w:tcPr>
            <w:tcW w:w="5784" w:type="dxa"/>
          </w:tcPr>
          <w:p>
            <w:pPr>
              <w:pStyle w:val="TableNAm"/>
            </w:pPr>
            <w:r>
              <w:rPr>
                <w:i/>
                <w:iCs/>
              </w:rPr>
              <w:t>Electricity Act 1945</w:t>
            </w:r>
            <w:r>
              <w:t xml:space="preserve"> to the extent that it relates to occupational safety and health</w:t>
            </w:r>
          </w:p>
        </w:tc>
      </w:tr>
    </w:tbl>
    <w:p>
      <w:pPr>
        <w:pStyle w:val="Heading5"/>
      </w:pPr>
      <w:bookmarkStart w:id="14" w:name="_Toc97625226"/>
      <w:r>
        <w:rPr>
          <w:rStyle w:val="CharSectno"/>
        </w:rPr>
        <w:t>5</w:t>
      </w:r>
      <w:r>
        <w:t>.</w:t>
      </w:r>
      <w:r>
        <w:tab/>
        <w:t>Reviewing authority</w:t>
      </w:r>
      <w:bookmarkEnd w:id="14"/>
    </w:p>
    <w:p>
      <w:pPr>
        <w:pStyle w:val="Subsection"/>
      </w:pPr>
      <w:r>
        <w:tab/>
      </w:r>
      <w:r>
        <w:tab/>
        <w:t>The reviewing authority for the purposes of Schedule 1 clauses 21 and 64 is the person from time to time holding the office of the Director of the Petroleum Safety Branch of the Department of Mines and Petroleum.</w:t>
      </w:r>
    </w:p>
    <w:p>
      <w:pPr>
        <w:pStyle w:val="Heading5"/>
      </w:pPr>
      <w:bookmarkStart w:id="15" w:name="_Toc97625227"/>
      <w:r>
        <w:rPr>
          <w:rStyle w:val="CharSectno"/>
        </w:rPr>
        <w:t>6</w:t>
      </w:r>
      <w:r>
        <w:t>.</w:t>
      </w:r>
      <w:r>
        <w:tab/>
        <w:t>Exemption orders under Sch. 1 cl. 44</w:t>
      </w:r>
      <w:bookmarkEnd w:id="15"/>
    </w:p>
    <w:p>
      <w:pPr>
        <w:pStyle w:val="Subsection"/>
      </w:pPr>
      <w:r>
        <w:tab/>
        <w:t>(1)</w:t>
      </w:r>
      <w:r>
        <w:tab/>
        <w:t>For the purposes of Schedule 1 clause 44(1), a person may apply in writing to the Minister for an order exempting the person from one or more of the provisions of Schedule 1 Division 3.</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lastRenderedPageBreak/>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Heading2"/>
      </w:pPr>
      <w:bookmarkStart w:id="16" w:name="_Toc97289468"/>
      <w:bookmarkStart w:id="17" w:name="_Toc97289660"/>
      <w:bookmarkStart w:id="18" w:name="_Toc97625228"/>
      <w:r>
        <w:rPr>
          <w:rStyle w:val="CharPartNo"/>
        </w:rPr>
        <w:lastRenderedPageBreak/>
        <w:t>Part 3</w:t>
      </w:r>
      <w:r>
        <w:t> — </w:t>
      </w:r>
      <w:r>
        <w:rPr>
          <w:rStyle w:val="CharPartText"/>
        </w:rPr>
        <w:t>Election of safety and health representatives</w:t>
      </w:r>
      <w:bookmarkEnd w:id="16"/>
      <w:bookmarkEnd w:id="17"/>
      <w:bookmarkEnd w:id="18"/>
    </w:p>
    <w:p>
      <w:pPr>
        <w:pStyle w:val="Heading3"/>
      </w:pPr>
      <w:bookmarkStart w:id="19" w:name="_Toc97289469"/>
      <w:bookmarkStart w:id="20" w:name="_Toc97289661"/>
      <w:bookmarkStart w:id="21" w:name="_Toc97625229"/>
      <w:r>
        <w:rPr>
          <w:rStyle w:val="CharDivNo"/>
        </w:rPr>
        <w:t>Division 1</w:t>
      </w:r>
      <w:r>
        <w:t> — </w:t>
      </w:r>
      <w:r>
        <w:rPr>
          <w:rStyle w:val="CharDivText"/>
        </w:rPr>
        <w:t>Returning officer</w:t>
      </w:r>
      <w:bookmarkEnd w:id="19"/>
      <w:bookmarkEnd w:id="20"/>
      <w:bookmarkEnd w:id="21"/>
    </w:p>
    <w:p>
      <w:pPr>
        <w:pStyle w:val="Heading5"/>
      </w:pPr>
      <w:bookmarkStart w:id="22" w:name="_Toc97625230"/>
      <w:r>
        <w:rPr>
          <w:rStyle w:val="CharSectno"/>
        </w:rPr>
        <w:t>7</w:t>
      </w:r>
      <w:r>
        <w:t>.</w:t>
      </w:r>
      <w:r>
        <w:tab/>
        <w:t>Appointment of returning officer</w:t>
      </w:r>
      <w:bookmarkEnd w:id="22"/>
    </w:p>
    <w:p>
      <w:pPr>
        <w:pStyle w:val="Subsection"/>
      </w:pPr>
      <w:r>
        <w:tab/>
        <w:t>(1)</w:t>
      </w:r>
      <w:r>
        <w:tab/>
        <w:t>If, under Schedule 1 clause 24(3), the operator of a petroleum operation or geothermal energy operation is required to conduct, or arrange for the conduct of, an election the operator must nominate a person to act as the returning officer for the election.</w:t>
      </w:r>
    </w:p>
    <w:p>
      <w:pPr>
        <w:pStyle w:val="Subsection"/>
      </w:pPr>
      <w:r>
        <w:tab/>
        <w:t>(2)</w:t>
      </w:r>
      <w:r>
        <w:tab/>
        <w:t>The operator must give the Minister written notification of the nomination.</w:t>
      </w:r>
    </w:p>
    <w:p>
      <w:pPr>
        <w:pStyle w:val="Heading3"/>
      </w:pPr>
      <w:bookmarkStart w:id="23" w:name="_Toc97289471"/>
      <w:bookmarkStart w:id="24" w:name="_Toc97289663"/>
      <w:bookmarkStart w:id="25" w:name="_Toc97625231"/>
      <w:r>
        <w:rPr>
          <w:rStyle w:val="CharDivNo"/>
        </w:rPr>
        <w:t>Division 2</w:t>
      </w:r>
      <w:r>
        <w:t> — </w:t>
      </w:r>
      <w:r>
        <w:rPr>
          <w:rStyle w:val="CharDivText"/>
        </w:rPr>
        <w:t>The poll</w:t>
      </w:r>
      <w:bookmarkEnd w:id="23"/>
      <w:bookmarkEnd w:id="24"/>
      <w:bookmarkEnd w:id="25"/>
    </w:p>
    <w:p>
      <w:pPr>
        <w:pStyle w:val="Heading5"/>
      </w:pPr>
      <w:bookmarkStart w:id="26" w:name="_Toc97625232"/>
      <w:r>
        <w:rPr>
          <w:rStyle w:val="CharSectno"/>
        </w:rPr>
        <w:t>8</w:t>
      </w:r>
      <w:r>
        <w:t>.</w:t>
      </w:r>
      <w:r>
        <w:tab/>
        <w:t>Number of votes</w:t>
      </w:r>
      <w:bookmarkEnd w:id="26"/>
    </w:p>
    <w:p>
      <w:pPr>
        <w:pStyle w:val="Subsection"/>
      </w:pPr>
      <w:r>
        <w:tab/>
      </w:r>
      <w:r>
        <w:tab/>
        <w:t>Each voter in relation to an election is entitled to one vote only in the election.</w:t>
      </w:r>
    </w:p>
    <w:p>
      <w:pPr>
        <w:pStyle w:val="Heading5"/>
      </w:pPr>
      <w:bookmarkStart w:id="27" w:name="_Toc97625233"/>
      <w:r>
        <w:rPr>
          <w:rStyle w:val="CharSectno"/>
        </w:rPr>
        <w:t>9</w:t>
      </w:r>
      <w:r>
        <w:t>.</w:t>
      </w:r>
      <w:r>
        <w:tab/>
        <w:t>Right to secret ballot</w:t>
      </w:r>
      <w:bookmarkEnd w:id="27"/>
    </w:p>
    <w:p>
      <w:pPr>
        <w:pStyle w:val="Subsection"/>
      </w:pPr>
      <w:r>
        <w:tab/>
      </w:r>
      <w:r>
        <w:tab/>
        <w:t>A voter in relation to an election may request the returning officer for the election to conduct the poll for the election by secret ballot.</w:t>
      </w:r>
    </w:p>
    <w:p>
      <w:pPr>
        <w:pStyle w:val="Heading5"/>
      </w:pPr>
      <w:bookmarkStart w:id="28" w:name="_Toc97625234"/>
      <w:r>
        <w:rPr>
          <w:rStyle w:val="CharSectno"/>
        </w:rPr>
        <w:t>10</w:t>
      </w:r>
      <w:r>
        <w:t>.</w:t>
      </w:r>
      <w:r>
        <w:tab/>
        <w:t>Conduct of poll by secret ballot</w:t>
      </w:r>
      <w:bookmarkEnd w:id="28"/>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29" w:name="_Toc97625235"/>
      <w:r>
        <w:rPr>
          <w:rStyle w:val="CharSectno"/>
        </w:rPr>
        <w:t>11</w:t>
      </w:r>
      <w:r>
        <w:t>.</w:t>
      </w:r>
      <w:r>
        <w:tab/>
        <w:t>Conduct of poll if no request made for secret ballot</w:t>
      </w:r>
      <w:bookmarkEnd w:id="29"/>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30" w:name="_Toc97625236"/>
      <w:r>
        <w:rPr>
          <w:rStyle w:val="CharSectno"/>
        </w:rPr>
        <w:lastRenderedPageBreak/>
        <w:t>12</w:t>
      </w:r>
      <w:r>
        <w:t>.</w:t>
      </w:r>
      <w:r>
        <w:tab/>
        <w:t>If no candidate is elected</w:t>
      </w:r>
      <w:bookmarkEnd w:id="30"/>
    </w:p>
    <w:p>
      <w:pPr>
        <w:pStyle w:val="Subsection"/>
      </w:pPr>
      <w:r>
        <w:tab/>
      </w:r>
      <w:r>
        <w:tab/>
        <w:t>An election is to be taken to have failed if no candidate is elected in the election.</w:t>
      </w:r>
    </w:p>
    <w:p>
      <w:pPr>
        <w:pStyle w:val="Heading3"/>
      </w:pPr>
      <w:bookmarkStart w:id="31" w:name="_Toc97289477"/>
      <w:bookmarkStart w:id="32" w:name="_Toc97289669"/>
      <w:bookmarkStart w:id="33" w:name="_Toc97625237"/>
      <w:r>
        <w:rPr>
          <w:rStyle w:val="CharDivNo"/>
        </w:rPr>
        <w:t>Division 3</w:t>
      </w:r>
      <w:r>
        <w:t> — </w:t>
      </w:r>
      <w:r>
        <w:rPr>
          <w:rStyle w:val="CharDivText"/>
        </w:rPr>
        <w:t>Polling by secret ballot</w:t>
      </w:r>
      <w:bookmarkEnd w:id="31"/>
      <w:bookmarkEnd w:id="32"/>
      <w:bookmarkEnd w:id="33"/>
    </w:p>
    <w:p>
      <w:pPr>
        <w:pStyle w:val="Heading5"/>
      </w:pPr>
      <w:bookmarkStart w:id="34" w:name="_Toc97625238"/>
      <w:r>
        <w:rPr>
          <w:rStyle w:val="CharSectno"/>
        </w:rPr>
        <w:t>13</w:t>
      </w:r>
      <w:r>
        <w:t>.</w:t>
      </w:r>
      <w:r>
        <w:tab/>
        <w:t>Ballot papers</w:t>
      </w:r>
      <w:bookmarkEnd w:id="34"/>
    </w:p>
    <w:p>
      <w:pPr>
        <w:pStyle w:val="Subsection"/>
      </w:pPr>
      <w:r>
        <w:tab/>
      </w:r>
      <w:r>
        <w:tab/>
        <w:t xml:space="preserve">The returning officer must ensure that each ballot paper specifies — </w:t>
      </w:r>
    </w:p>
    <w:p>
      <w:pPr>
        <w:pStyle w:val="Indenta"/>
      </w:pPr>
      <w:r>
        <w:tab/>
        <w:t>(a)</w:t>
      </w:r>
      <w:r>
        <w:tab/>
        <w:t>the election to which it relates; and</w:t>
      </w:r>
    </w:p>
    <w:p>
      <w:pPr>
        <w:pStyle w:val="Indenta"/>
      </w:pPr>
      <w:r>
        <w:tab/>
        <w:t>(b)</w:t>
      </w:r>
      <w:r>
        <w:tab/>
        <w:t>the name of each candidate in alphabetical order; and</w:t>
      </w:r>
    </w:p>
    <w:p>
      <w:pPr>
        <w:pStyle w:val="Indenta"/>
      </w:pPr>
      <w:r>
        <w:tab/>
        <w:t>(c)</w:t>
      </w:r>
      <w:r>
        <w:tab/>
        <w:t>the manner of voting.</w:t>
      </w:r>
    </w:p>
    <w:p>
      <w:pPr>
        <w:pStyle w:val="Heading5"/>
      </w:pPr>
      <w:bookmarkStart w:id="35" w:name="_Toc97625239"/>
      <w:r>
        <w:rPr>
          <w:rStyle w:val="CharSectno"/>
        </w:rPr>
        <w:t>14</w:t>
      </w:r>
      <w:r>
        <w:t>.</w:t>
      </w:r>
      <w:r>
        <w:tab/>
        <w:t>Distribution of ballot papers</w:t>
      </w:r>
      <w:bookmarkEnd w:id="35"/>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36" w:name="_Toc97625240"/>
      <w:r>
        <w:rPr>
          <w:rStyle w:val="CharSectno"/>
        </w:rPr>
        <w:lastRenderedPageBreak/>
        <w:t>15</w:t>
      </w:r>
      <w:r>
        <w:t>.</w:t>
      </w:r>
      <w:r>
        <w:tab/>
        <w:t>Manner of voting by secret ballot</w:t>
      </w:r>
      <w:bookmarkEnd w:id="36"/>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37" w:name="_Toc97289481"/>
      <w:bookmarkStart w:id="38" w:name="_Toc97289673"/>
      <w:bookmarkStart w:id="39" w:name="_Toc97625241"/>
      <w:r>
        <w:rPr>
          <w:rStyle w:val="CharDivNo"/>
        </w:rPr>
        <w:lastRenderedPageBreak/>
        <w:t>Division 4</w:t>
      </w:r>
      <w:r>
        <w:t> — </w:t>
      </w:r>
      <w:r>
        <w:rPr>
          <w:rStyle w:val="CharDivText"/>
        </w:rPr>
        <w:t>The count</w:t>
      </w:r>
      <w:bookmarkEnd w:id="37"/>
      <w:bookmarkEnd w:id="38"/>
      <w:bookmarkEnd w:id="39"/>
    </w:p>
    <w:p>
      <w:pPr>
        <w:pStyle w:val="Heading5"/>
      </w:pPr>
      <w:bookmarkStart w:id="40" w:name="_Toc97625242"/>
      <w:r>
        <w:rPr>
          <w:rStyle w:val="CharSectno"/>
        </w:rPr>
        <w:t>16</w:t>
      </w:r>
      <w:r>
        <w:t>.</w:t>
      </w:r>
      <w:r>
        <w:tab/>
        <w:t>Envelopes given to returning officer</w:t>
      </w:r>
      <w:bookmarkEnd w:id="40"/>
    </w:p>
    <w:p>
      <w:pPr>
        <w:pStyle w:val="Subsection"/>
        <w:keepNext/>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41" w:name="_Toc97625243"/>
      <w:r>
        <w:rPr>
          <w:rStyle w:val="CharSectno"/>
        </w:rPr>
        <w:t>17</w:t>
      </w:r>
      <w:r>
        <w:t>.</w:t>
      </w:r>
      <w:r>
        <w:tab/>
        <w:t>Scrutineers</w:t>
      </w:r>
      <w:bookmarkEnd w:id="41"/>
    </w:p>
    <w:p>
      <w:pPr>
        <w:pStyle w:val="Subsection"/>
      </w:pPr>
      <w:r>
        <w:tab/>
      </w:r>
      <w:r>
        <w:tab/>
        <w:t>Each candidate in a poll conducted by secret ballot may appoint one scrutineer to represent the candidate at the count.</w:t>
      </w:r>
    </w:p>
    <w:p>
      <w:pPr>
        <w:pStyle w:val="Heading5"/>
      </w:pPr>
      <w:bookmarkStart w:id="42" w:name="_Toc97625244"/>
      <w:r>
        <w:rPr>
          <w:rStyle w:val="CharSectno"/>
        </w:rPr>
        <w:t>18</w:t>
      </w:r>
      <w:r>
        <w:t>.</w:t>
      </w:r>
      <w:r>
        <w:tab/>
        <w:t>Returning officer to be advised of scrutineers</w:t>
      </w:r>
      <w:bookmarkEnd w:id="42"/>
    </w:p>
    <w:p>
      <w:pPr>
        <w:pStyle w:val="Subsection"/>
      </w:pPr>
      <w:r>
        <w:tab/>
      </w:r>
      <w:r>
        <w:tab/>
        <w:t>A candidate must tell the returning officer for the election the name of the candidate’s scrutineer (if any) before the commencement of the count.</w:t>
      </w:r>
    </w:p>
    <w:p>
      <w:pPr>
        <w:pStyle w:val="Heading5"/>
      </w:pPr>
      <w:bookmarkStart w:id="43" w:name="_Toc97625245"/>
      <w:r>
        <w:rPr>
          <w:rStyle w:val="CharSectno"/>
        </w:rPr>
        <w:t>19</w:t>
      </w:r>
      <w:r>
        <w:t>.</w:t>
      </w:r>
      <w:r>
        <w:tab/>
        <w:t>Persons present at the count</w:t>
      </w:r>
      <w:bookmarkEnd w:id="43"/>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lastRenderedPageBreak/>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44" w:name="_Toc97625246"/>
      <w:r>
        <w:rPr>
          <w:rStyle w:val="CharSectno"/>
        </w:rPr>
        <w:t>20</w:t>
      </w:r>
      <w:r>
        <w:t>.</w:t>
      </w:r>
      <w:r>
        <w:tab/>
        <w:t>Conduct of the count</w:t>
      </w:r>
      <w:bookmarkEnd w:id="44"/>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45" w:name="_Toc97625247"/>
      <w:r>
        <w:rPr>
          <w:rStyle w:val="CharSectno"/>
        </w:rPr>
        <w:t>21</w:t>
      </w:r>
      <w:r>
        <w:t>.</w:t>
      </w:r>
      <w:r>
        <w:tab/>
        <w:t>Informal ballot papers</w:t>
      </w:r>
      <w:bookmarkEnd w:id="45"/>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46" w:name="_Toc97625248"/>
      <w:r>
        <w:rPr>
          <w:rStyle w:val="CharSectno"/>
        </w:rPr>
        <w:lastRenderedPageBreak/>
        <w:t>22</w:t>
      </w:r>
      <w:r>
        <w:t>.</w:t>
      </w:r>
      <w:r>
        <w:tab/>
        <w:t>Completion of the count</w:t>
      </w:r>
      <w:bookmarkEnd w:id="46"/>
    </w:p>
    <w:p>
      <w:pPr>
        <w:pStyle w:val="Subsection"/>
        <w:keepNext/>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47" w:name="_Toc97625249"/>
      <w:r>
        <w:rPr>
          <w:rStyle w:val="CharSectno"/>
        </w:rPr>
        <w:t>23</w:t>
      </w:r>
      <w:r>
        <w:t>.</w:t>
      </w:r>
      <w:r>
        <w:tab/>
        <w:t>Destruction of election material</w:t>
      </w:r>
      <w:bookmarkEnd w:id="47"/>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48" w:name="_Toc97289490"/>
      <w:bookmarkStart w:id="49" w:name="_Toc97289682"/>
      <w:bookmarkStart w:id="50" w:name="_Toc97625250"/>
      <w:r>
        <w:rPr>
          <w:rStyle w:val="CharDivNo"/>
        </w:rPr>
        <w:t>Division 5</w:t>
      </w:r>
      <w:r>
        <w:t> — </w:t>
      </w:r>
      <w:r>
        <w:rPr>
          <w:rStyle w:val="CharDivText"/>
        </w:rPr>
        <w:t>Result of election</w:t>
      </w:r>
      <w:bookmarkEnd w:id="48"/>
      <w:bookmarkEnd w:id="49"/>
      <w:bookmarkEnd w:id="50"/>
    </w:p>
    <w:p>
      <w:pPr>
        <w:pStyle w:val="Heading5"/>
      </w:pPr>
      <w:bookmarkStart w:id="51" w:name="_Toc97625251"/>
      <w:r>
        <w:rPr>
          <w:rStyle w:val="CharSectno"/>
        </w:rPr>
        <w:t>24</w:t>
      </w:r>
      <w:r>
        <w:t>.</w:t>
      </w:r>
      <w:r>
        <w:tab/>
        <w:t>Request for recount</w:t>
      </w:r>
      <w:bookmarkEnd w:id="51"/>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lastRenderedPageBreak/>
        <w:tab/>
        <w:t>(b)</w:t>
      </w:r>
      <w:r>
        <w:tab/>
        <w:t>in any other case, may make any reasonable decision in respect of the allowance and admission, or disallowance and rejection, of a vote cast in the poll.</w:t>
      </w:r>
    </w:p>
    <w:p>
      <w:pPr>
        <w:pStyle w:val="Heading5"/>
      </w:pPr>
      <w:bookmarkStart w:id="52" w:name="_Toc97625252"/>
      <w:r>
        <w:rPr>
          <w:rStyle w:val="CharSectno"/>
        </w:rPr>
        <w:t>25</w:t>
      </w:r>
      <w:r>
        <w:t>.</w:t>
      </w:r>
      <w:r>
        <w:tab/>
        <w:t>Irregularities at election</w:t>
      </w:r>
      <w:bookmarkEnd w:id="52"/>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53" w:name="_Toc97625253"/>
      <w:r>
        <w:rPr>
          <w:rStyle w:val="CharSectno"/>
        </w:rPr>
        <w:t>26</w:t>
      </w:r>
      <w:r>
        <w:t>.</w:t>
      </w:r>
      <w:r>
        <w:tab/>
        <w:t>Result of poll</w:t>
      </w:r>
      <w:bookmarkEnd w:id="53"/>
    </w:p>
    <w:p>
      <w:pPr>
        <w:pStyle w:val="Subsection"/>
      </w:pPr>
      <w:r>
        <w:tab/>
        <w:t>(1)</w:t>
      </w:r>
      <w:r>
        <w:tab/>
        <w:t xml:space="preserve">As soon as practicable after the failure of an election, a returning officer must notify in writing — </w:t>
      </w:r>
    </w:p>
    <w:p>
      <w:pPr>
        <w:pStyle w:val="Indenta"/>
      </w:pPr>
      <w:r>
        <w:tab/>
        <w:t>(a)</w:t>
      </w:r>
      <w:r>
        <w:tab/>
        <w:t>the operator of the petroleum operation or geothermal energy operation to which the election relates of the failure of the election; and</w:t>
      </w:r>
    </w:p>
    <w:p>
      <w:pPr>
        <w:pStyle w:val="Indenta"/>
      </w:pPr>
      <w:r>
        <w:tab/>
        <w:t>(b)</w:t>
      </w:r>
      <w:r>
        <w:tab/>
        <w:t>the Minister of the failure of the election.</w:t>
      </w:r>
    </w:p>
    <w:p>
      <w:pPr>
        <w:pStyle w:val="Subsection"/>
      </w:pPr>
      <w:r>
        <w:lastRenderedPageBreak/>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Heading2"/>
      </w:pPr>
      <w:bookmarkStart w:id="54" w:name="_Toc97289494"/>
      <w:bookmarkStart w:id="55" w:name="_Toc97289686"/>
      <w:bookmarkStart w:id="56" w:name="_Toc97625254"/>
      <w:r>
        <w:rPr>
          <w:rStyle w:val="CharPartNo"/>
        </w:rPr>
        <w:lastRenderedPageBreak/>
        <w:t>Part 4</w:t>
      </w:r>
      <w:r>
        <w:rPr>
          <w:rStyle w:val="CharDivNo"/>
        </w:rPr>
        <w:t> </w:t>
      </w:r>
      <w:r>
        <w:t>—</w:t>
      </w:r>
      <w:r>
        <w:rPr>
          <w:rStyle w:val="CharDivText"/>
        </w:rPr>
        <w:t> </w:t>
      </w:r>
      <w:r>
        <w:rPr>
          <w:rStyle w:val="CharPartText"/>
        </w:rPr>
        <w:t>Matters relating to occupational safety and health generally</w:t>
      </w:r>
      <w:bookmarkEnd w:id="54"/>
      <w:bookmarkEnd w:id="55"/>
      <w:bookmarkEnd w:id="56"/>
    </w:p>
    <w:p>
      <w:pPr>
        <w:pStyle w:val="Heading5"/>
      </w:pPr>
      <w:bookmarkStart w:id="57" w:name="_Toc97625255"/>
      <w:r>
        <w:rPr>
          <w:rStyle w:val="CharSectno"/>
        </w:rPr>
        <w:t>27</w:t>
      </w:r>
      <w:r>
        <w:t>.</w:t>
      </w:r>
      <w:r>
        <w:tab/>
        <w:t>Training of safety and health representatives</w:t>
      </w:r>
      <w:bookmarkEnd w:id="57"/>
    </w:p>
    <w:p>
      <w:pPr>
        <w:pStyle w:val="Subsection"/>
      </w:pPr>
      <w:r>
        <w:tab/>
      </w:r>
      <w:r>
        <w:tab/>
        <w:t>A safety and health representative for a designated work group must try to undertake a course of training accredited by the Minister for the purposes of Schedule 1 clause 28 within the first 12 months of being selected.</w:t>
      </w:r>
    </w:p>
    <w:p>
      <w:pPr>
        <w:pStyle w:val="Heading5"/>
      </w:pPr>
      <w:bookmarkStart w:id="58" w:name="_Toc97625256"/>
      <w:r>
        <w:rPr>
          <w:rStyle w:val="CharSectno"/>
        </w:rPr>
        <w:t>28</w:t>
      </w:r>
      <w:r>
        <w:t>.</w:t>
      </w:r>
      <w:r>
        <w:tab/>
        <w:t>Avoiding fatigue</w:t>
      </w:r>
      <w:bookmarkEnd w:id="58"/>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any other person engaged in the petroleum operation or geothermal energy operation or other protected person.</w:t>
      </w:r>
    </w:p>
    <w:p>
      <w:pPr>
        <w:pStyle w:val="Penstart"/>
      </w:pPr>
      <w:r>
        <w:tab/>
        <w:t>Penalty: a fine of $1 100.</w:t>
      </w:r>
    </w:p>
    <w:p>
      <w:pPr>
        <w:pStyle w:val="Heading5"/>
      </w:pPr>
      <w:bookmarkStart w:id="59" w:name="_Toc97625257"/>
      <w:r>
        <w:rPr>
          <w:rStyle w:val="CharSectno"/>
        </w:rPr>
        <w:t>29</w:t>
      </w:r>
      <w:r>
        <w:t>.</w:t>
      </w:r>
      <w:r>
        <w:tab/>
        <w:t>Possession or control of drugs or intoxicants</w:t>
      </w:r>
      <w:bookmarkEnd w:id="59"/>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Customs (Prohibited Exports) Regulations 1958</w:t>
      </w:r>
      <w:r>
        <w:t xml:space="preserve"> (Commonwealth)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lastRenderedPageBreak/>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A person, while engaged in a petroleum operation or geothermal energy operation, must not have possession or control of a controlled substance.</w:t>
      </w:r>
    </w:p>
    <w:p>
      <w:pPr>
        <w:pStyle w:val="Penstart"/>
      </w:pPr>
      <w:r>
        <w:tab/>
        <w:t>Penalty: a fine of $1 100.</w:t>
      </w:r>
    </w:p>
    <w:p>
      <w:pPr>
        <w:pStyle w:val="Subsection"/>
      </w:pPr>
      <w:r>
        <w:tab/>
        <w:t>(3)</w:t>
      </w:r>
      <w:r>
        <w:tab/>
        <w:t xml:space="preserve">It is a defence in a prosecution for an offence under subregulation (2)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in the course of the person’s duties or practice as a qualified medical practitioner, nurse, dentist or pharmacist;</w:t>
      </w:r>
    </w:p>
    <w:p>
      <w:pPr>
        <w:pStyle w:val="Indenta"/>
      </w:pPr>
      <w:r>
        <w:tab/>
      </w:r>
      <w:r>
        <w:tab/>
        <w:t>or</w:t>
      </w:r>
    </w:p>
    <w:p>
      <w:pPr>
        <w:pStyle w:val="Indenta"/>
      </w:pPr>
      <w:r>
        <w:tab/>
        <w:t>(b)</w:t>
      </w:r>
      <w:r>
        <w:tab/>
        <w:t>the person lawfully had the substance in his or her possession or control for the person’s bona fide personal use.</w:t>
      </w:r>
    </w:p>
    <w:p>
      <w:pPr>
        <w:pStyle w:val="Subsection"/>
        <w:rPr>
          <w:snapToGrid w:val="0"/>
        </w:rPr>
      </w:pPr>
      <w:r>
        <w:tab/>
        <w:t>(4)</w:t>
      </w:r>
      <w:r>
        <w:tab/>
        <w:t>A person must not</w:t>
      </w:r>
      <w:r>
        <w:rPr>
          <w:snapToGrid w:val="0"/>
        </w:rPr>
        <w:t xml:space="preserve">, without the knowledge and permission of the operator of </w:t>
      </w:r>
      <w:r>
        <w:t>a petroleum operation or geothermal energy operation</w:t>
      </w:r>
      <w:r>
        <w:rPr>
          <w:snapToGrid w:val="0"/>
        </w:rPr>
        <w:t> — </w:t>
      </w:r>
    </w:p>
    <w:p>
      <w:pPr>
        <w:pStyle w:val="Indenta"/>
        <w:rPr>
          <w:snapToGrid w:val="0"/>
        </w:rPr>
      </w:pPr>
      <w:r>
        <w:rPr>
          <w:snapToGrid w:val="0"/>
        </w:rPr>
        <w:tab/>
        <w:t>(a)</w:t>
      </w:r>
      <w:r>
        <w:rPr>
          <w:snapToGrid w:val="0"/>
        </w:rPr>
        <w:tab/>
        <w:t>have any intoxicant in his or her possession while engaged in the operation; or</w:t>
      </w:r>
    </w:p>
    <w:p>
      <w:pPr>
        <w:pStyle w:val="Indenta"/>
        <w:rPr>
          <w:snapToGrid w:val="0"/>
        </w:rPr>
      </w:pPr>
      <w:r>
        <w:rPr>
          <w:snapToGrid w:val="0"/>
        </w:rPr>
        <w:lastRenderedPageBreak/>
        <w:tab/>
        <w:t>(b)</w:t>
      </w:r>
      <w:r>
        <w:rPr>
          <w:snapToGrid w:val="0"/>
        </w:rPr>
        <w:tab/>
        <w:t>consume any intoxicant while engaged in the operation.</w:t>
      </w:r>
    </w:p>
    <w:p>
      <w:pPr>
        <w:pStyle w:val="Penstart"/>
      </w:pPr>
      <w:r>
        <w:rPr>
          <w:snapToGrid w:val="0"/>
        </w:rPr>
        <w:tab/>
        <w:t xml:space="preserve">Penalty: </w:t>
      </w:r>
      <w:r>
        <w:t>a fine of $1 100.</w:t>
      </w:r>
    </w:p>
    <w:p>
      <w:pPr>
        <w:pStyle w:val="Footnotesection"/>
      </w:pPr>
      <w:r>
        <w:tab/>
        <w:t>[Regulation 29 amended: Gazette 10 Jan 2017 p. 218.]</w:t>
      </w:r>
    </w:p>
    <w:p>
      <w:pPr>
        <w:pStyle w:val="Heading5"/>
      </w:pPr>
      <w:bookmarkStart w:id="60" w:name="_Toc97625258"/>
      <w:r>
        <w:rPr>
          <w:rStyle w:val="CharSectno"/>
        </w:rPr>
        <w:t>30</w:t>
      </w:r>
      <w:r>
        <w:t>.</w:t>
      </w:r>
      <w:r>
        <w:tab/>
        <w:t>Person must leave petroleum operation or geothermal energy operation when required to do so</w:t>
      </w:r>
      <w:bookmarkEnd w:id="60"/>
    </w:p>
    <w:p>
      <w:pPr>
        <w:pStyle w:val="Subsection"/>
      </w:pPr>
      <w:r>
        <w:tab/>
        <w:t>(1)</w:t>
      </w:r>
      <w:r>
        <w:tab/>
        <w:t xml:space="preserve">A person engaged in a petroleum operation or geothermal energy operation or other protected person must leave the operation if required to do so by — </w:t>
      </w:r>
    </w:p>
    <w:p>
      <w:pPr>
        <w:pStyle w:val="Indenta"/>
      </w:pPr>
      <w:r>
        <w:tab/>
        <w:t>(a)</w:t>
      </w:r>
      <w:r>
        <w:tab/>
        <w:t>the operator; or</w:t>
      </w:r>
    </w:p>
    <w:p>
      <w:pPr>
        <w:pStyle w:val="Indenta"/>
      </w:pPr>
      <w:r>
        <w:tab/>
        <w:t>(b)</w:t>
      </w:r>
      <w:r>
        <w:tab/>
        <w:t>a person in control of the part of the operation where the person who is required to leave is at the time he or she is required to leave.</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of persons engaged in the operation — </w:t>
      </w:r>
    </w:p>
    <w:p>
      <w:pPr>
        <w:pStyle w:val="Indenti"/>
      </w:pPr>
      <w:r>
        <w:tab/>
        <w:t>(i)</w:t>
      </w:r>
      <w:r>
        <w:tab/>
        <w:t>must be in writing; and</w:t>
      </w:r>
    </w:p>
    <w:p>
      <w:pPr>
        <w:pStyle w:val="Indenti"/>
      </w:pPr>
      <w:r>
        <w:tab/>
        <w:t>(ii)</w:t>
      </w:r>
      <w:r>
        <w:tab/>
        <w:t>must include the reason for the requirement.</w:t>
      </w:r>
    </w:p>
    <w:p>
      <w:pPr>
        <w:pStyle w:val="Heading5"/>
      </w:pPr>
      <w:bookmarkStart w:id="61" w:name="_Toc97625259"/>
      <w:r>
        <w:rPr>
          <w:rStyle w:val="CharSectno"/>
        </w:rPr>
        <w:t>31</w:t>
      </w:r>
      <w:r>
        <w:t>.</w:t>
      </w:r>
      <w:r>
        <w:tab/>
        <w:t>Prohibition on use of certain hazardous substances</w:t>
      </w:r>
      <w:bookmarkEnd w:id="61"/>
    </w:p>
    <w:p>
      <w:pPr>
        <w:pStyle w:val="Subsection"/>
      </w:pPr>
      <w:r>
        <w:tab/>
        <w:t>(1)</w:t>
      </w:r>
      <w:r>
        <w:tab/>
        <w:t>A responsible person must not allow a hazardous substance of a kind mentioned in an item in Schedule 2 Division 2 or 3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34.</w:t>
      </w:r>
    </w:p>
    <w:p>
      <w:pPr>
        <w:pStyle w:val="Subsection"/>
      </w:pPr>
      <w:r>
        <w:tab/>
        <w:t>(3)</w:t>
      </w:r>
      <w:r>
        <w:tab/>
        <w:t xml:space="preserve">Subregulation (1) does not apply to the use of chrysotile asbestos if the chrysotile asbestos is in a product specified in the </w:t>
      </w:r>
      <w:r>
        <w:lastRenderedPageBreak/>
        <w:t>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Heading5"/>
      </w:pPr>
      <w:bookmarkStart w:id="62" w:name="_Toc97625260"/>
      <w:r>
        <w:rPr>
          <w:rStyle w:val="CharSectno"/>
        </w:rPr>
        <w:t>32</w:t>
      </w:r>
      <w:r>
        <w:t>.</w:t>
      </w:r>
      <w:r>
        <w:tab/>
        <w:t>Limitations on exposure to certain hazardous substances</w:t>
      </w:r>
      <w:bookmarkEnd w:id="62"/>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 xml:space="preserve">It is a defence in a prosecution for an offence under subregulation (2) that the airborne concentration of the </w:t>
      </w:r>
      <w:r>
        <w:lastRenderedPageBreak/>
        <w:t>hazardous substance in the breathing zone of the member of the workforce is in accordance with an exemption given by the Minister under regulation 34.</w:t>
      </w:r>
    </w:p>
    <w:p>
      <w:pPr>
        <w:pStyle w:val="Heading5"/>
      </w:pPr>
      <w:bookmarkStart w:id="63" w:name="_Toc97625261"/>
      <w:r>
        <w:rPr>
          <w:rStyle w:val="CharSectno"/>
        </w:rPr>
        <w:t>33</w:t>
      </w:r>
      <w:r>
        <w:t>.</w:t>
      </w:r>
      <w:r>
        <w:tab/>
        <w:t>Exposure to noise</w:t>
      </w:r>
      <w:bookmarkEnd w:id="63"/>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34.</w:t>
      </w:r>
    </w:p>
    <w:p>
      <w:pPr>
        <w:pStyle w:val="Heading5"/>
      </w:pPr>
      <w:bookmarkStart w:id="64" w:name="_Toc97625262"/>
      <w:r>
        <w:rPr>
          <w:rStyle w:val="CharSectno"/>
        </w:rPr>
        <w:lastRenderedPageBreak/>
        <w:t>34</w:t>
      </w:r>
      <w:r>
        <w:t>.</w:t>
      </w:r>
      <w:r>
        <w:tab/>
        <w:t>Exemptions from hazardous substances and noise requirements</w:t>
      </w:r>
      <w:bookmarkEnd w:id="64"/>
    </w:p>
    <w:p>
      <w:pPr>
        <w:pStyle w:val="Subsection"/>
      </w:pPr>
      <w:r>
        <w:tab/>
      </w:r>
      <w:r>
        <w:tab/>
        <w:t xml:space="preserve">On the application by a responsible person to the Minister for an exemption from compliance with regulation 31(1), 32(2) or 33(2)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Heading5"/>
      </w:pPr>
      <w:bookmarkStart w:id="65" w:name="_Toc97625263"/>
      <w:r>
        <w:rPr>
          <w:rStyle w:val="CharSectno"/>
        </w:rPr>
        <w:t>35</w:t>
      </w:r>
      <w:r>
        <w:t>.</w:t>
      </w:r>
      <w:r>
        <w:tab/>
        <w:t>Taking samples for testing etc.</w:t>
      </w:r>
      <w:bookmarkEnd w:id="65"/>
    </w:p>
    <w:p>
      <w:pPr>
        <w:pStyle w:val="Subsection"/>
      </w:pPr>
      <w:r>
        <w:tab/>
        <w:t>(1)</w:t>
      </w:r>
      <w:r>
        <w:tab/>
        <w:t xml:space="preserve">If a sample of a substance or thing taken under Schedule 1 clause 56(1)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that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Schedule 1 clause 56(1) is not safely and practicably divisible, the inspector who has taken the sample must provide the whole sample for inspection, examination, measuring or testing for the purposes of that Schedule.</w:t>
      </w:r>
    </w:p>
    <w:p>
      <w:pPr>
        <w:pStyle w:val="Subsection"/>
      </w:pPr>
      <w:r>
        <w:tab/>
        <w:t>(3)</w:t>
      </w:r>
      <w:r>
        <w:tab/>
        <w:t xml:space="preserve">An inspector who, under Schedule 1 clause 56(1)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lastRenderedPageBreak/>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Heading5"/>
      </w:pPr>
      <w:bookmarkStart w:id="66" w:name="_Toc97625264"/>
      <w:r>
        <w:rPr>
          <w:rStyle w:val="CharSectno"/>
        </w:rPr>
        <w:t>36</w:t>
      </w:r>
      <w:r>
        <w:t>.</w:t>
      </w:r>
      <w:r>
        <w:tab/>
        <w:t>Form of certain notices</w:t>
      </w:r>
      <w:bookmarkEnd w:id="66"/>
    </w:p>
    <w:p>
      <w:pPr>
        <w:pStyle w:val="Subsection"/>
      </w:pPr>
      <w:r>
        <w:tab/>
        <w:t>(1)</w:t>
      </w:r>
      <w:r>
        <w:tab/>
        <w:t>A provisional improvement notice issued under Schedule 1 clause 36(2) may be in the form of Form 1 in Schedule 1 to these regulations.</w:t>
      </w:r>
    </w:p>
    <w:p>
      <w:pPr>
        <w:pStyle w:val="Subsection"/>
      </w:pPr>
      <w:r>
        <w:tab/>
        <w:t>(2)</w:t>
      </w:r>
      <w:r>
        <w:tab/>
        <w:t>A notice of the taking of possession or the taking of a sample of plant, a substance or a thing, given under Schedule 1 clause 56(2) may be in the form of Form 2 in Schedule 1 to these regulations.</w:t>
      </w:r>
    </w:p>
    <w:p>
      <w:pPr>
        <w:pStyle w:val="Subsection"/>
      </w:pPr>
      <w:r>
        <w:tab/>
        <w:t>(3)</w:t>
      </w:r>
      <w:r>
        <w:tab/>
        <w:t>A notice of a direction that a workplace or plant, or substance or thing, not be disturbed, given under Schedule 1 clause 57(2) may be in the form of Form 3 in Schedule 1 to these regulations.</w:t>
      </w:r>
    </w:p>
    <w:p>
      <w:pPr>
        <w:pStyle w:val="Subsection"/>
      </w:pPr>
      <w:r>
        <w:tab/>
        <w:t>(4)</w:t>
      </w:r>
      <w:r>
        <w:tab/>
        <w:t>A prohibition notice may be in the form of Form 4 in Schedule 1 to these regulations.</w:t>
      </w:r>
    </w:p>
    <w:p>
      <w:pPr>
        <w:pStyle w:val="Subsection"/>
      </w:pPr>
      <w:r>
        <w:tab/>
        <w:t>(5)</w:t>
      </w:r>
      <w:r>
        <w:tab/>
        <w:t>An improvement notice may be in the form of Form 5 in Schedule 1 to these regulations.</w:t>
      </w:r>
    </w:p>
    <w:p>
      <w:pPr>
        <w:pStyle w:val="Heading5"/>
      </w:pPr>
      <w:bookmarkStart w:id="67" w:name="_Toc97625265"/>
      <w:r>
        <w:rPr>
          <w:rStyle w:val="CharSectno"/>
        </w:rPr>
        <w:t>37</w:t>
      </w:r>
      <w:r>
        <w:t>.</w:t>
      </w:r>
      <w:r>
        <w:tab/>
        <w:t>Forms, notices and reports</w:t>
      </w:r>
      <w:bookmarkEnd w:id="67"/>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lastRenderedPageBreak/>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68" w:name="_Toc97625266"/>
      <w:r>
        <w:rPr>
          <w:rStyle w:val="CharSectno"/>
        </w:rPr>
        <w:t>38</w:t>
      </w:r>
      <w:r>
        <w:t>.</w:t>
      </w:r>
      <w:r>
        <w:tab/>
        <w:t>Service of Schedule 1 notices</w:t>
      </w:r>
      <w:bookmarkEnd w:id="68"/>
    </w:p>
    <w:p>
      <w:pPr>
        <w:pStyle w:val="Subsection"/>
      </w:pPr>
      <w:r>
        <w:tab/>
        <w:t>(1)</w:t>
      </w:r>
      <w:r>
        <w:tab/>
        <w:t>A notice that is to be served under Schedule 1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1 to the Act or regulations made for the purposes of that Schedule on a person may be served in any of the following ways — </w:t>
      </w:r>
    </w:p>
    <w:p>
      <w:pPr>
        <w:pStyle w:val="Indenta"/>
      </w:pPr>
      <w:r>
        <w:tab/>
        <w:t>(a)</w:t>
      </w:r>
      <w:r>
        <w:tab/>
        <w:t>by electronic facsimile message transmitted to a facsimile facility that is installed at the address of the person last known to the person transmitting the message;</w:t>
      </w:r>
    </w:p>
    <w:p>
      <w:pPr>
        <w:pStyle w:val="Indenta"/>
      </w:pPr>
      <w:r>
        <w:tab/>
        <w:t>(b)</w:t>
      </w:r>
      <w:r>
        <w:tab/>
        <w:t>by a message transmitted to a computer system that is known to be in use by the person and installed at the address of the person last known to the person transmitting the message, being a message that is in a form compatible with the computer system and capable of being recorded by the computer system.</w:t>
      </w:r>
    </w:p>
    <w:p>
      <w:pPr>
        <w:pStyle w:val="Subsection"/>
      </w:pPr>
      <w:r>
        <w:tab/>
        <w:t>(3)</w:t>
      </w:r>
      <w:r>
        <w:tab/>
        <w:t>A person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the person transmitting the message.</w:t>
      </w:r>
    </w:p>
    <w:p>
      <w:pPr>
        <w:pStyle w:val="Heading2"/>
      </w:pPr>
      <w:bookmarkStart w:id="69" w:name="_Toc97289507"/>
      <w:bookmarkStart w:id="70" w:name="_Toc97289699"/>
      <w:bookmarkStart w:id="71" w:name="_Toc97625267"/>
      <w:r>
        <w:rPr>
          <w:rStyle w:val="CharPartNo"/>
        </w:rPr>
        <w:lastRenderedPageBreak/>
        <w:t>Part 5</w:t>
      </w:r>
      <w:r>
        <w:rPr>
          <w:rStyle w:val="CharDivNo"/>
        </w:rPr>
        <w:t> </w:t>
      </w:r>
      <w:r>
        <w:t>—</w:t>
      </w:r>
      <w:r>
        <w:rPr>
          <w:rStyle w:val="CharDivText"/>
        </w:rPr>
        <w:t> </w:t>
      </w:r>
      <w:r>
        <w:rPr>
          <w:rStyle w:val="CharPartText"/>
        </w:rPr>
        <w:t>Transitional</w:t>
      </w:r>
      <w:bookmarkEnd w:id="69"/>
      <w:bookmarkEnd w:id="70"/>
      <w:bookmarkEnd w:id="71"/>
    </w:p>
    <w:p>
      <w:pPr>
        <w:pStyle w:val="Heading5"/>
      </w:pPr>
      <w:bookmarkStart w:id="72" w:name="_Toc97625268"/>
      <w:r>
        <w:rPr>
          <w:rStyle w:val="CharSectno"/>
        </w:rPr>
        <w:t>39</w:t>
      </w:r>
      <w:r>
        <w:t>.</w:t>
      </w:r>
      <w:r>
        <w:tab/>
        <w:t>Election commenced but not completed before commencement of regulations</w:t>
      </w:r>
      <w:bookmarkEnd w:id="72"/>
    </w:p>
    <w:p>
      <w:pPr>
        <w:pStyle w:val="Subsection"/>
      </w:pPr>
      <w:r>
        <w:tab/>
      </w:r>
      <w:r>
        <w:tab/>
        <w:t>If the process for the election of a safety and health representative has commenced, but has not been completed, before the day mentioned in regulation 2(b), the law in relation to the conduct of elections in force before that day applies to the election as if these regulations had not come into operation.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3" w:name="_Toc97289509"/>
      <w:bookmarkStart w:id="74" w:name="_Toc97289701"/>
      <w:bookmarkStart w:id="75" w:name="_Toc97625269"/>
      <w:r>
        <w:rPr>
          <w:rStyle w:val="CharSchNo"/>
        </w:rPr>
        <w:lastRenderedPageBreak/>
        <w:t>Schedule 1</w:t>
      </w:r>
      <w:r>
        <w:rPr>
          <w:rStyle w:val="CharSDivNo"/>
        </w:rPr>
        <w:t> </w:t>
      </w:r>
      <w:r>
        <w:t>—</w:t>
      </w:r>
      <w:r>
        <w:rPr>
          <w:rStyle w:val="CharSDivText"/>
        </w:rPr>
        <w:t> </w:t>
      </w:r>
      <w:r>
        <w:rPr>
          <w:rStyle w:val="CharSchText"/>
        </w:rPr>
        <w:t>Forms</w:t>
      </w:r>
      <w:bookmarkEnd w:id="73"/>
      <w:bookmarkEnd w:id="74"/>
      <w:bookmarkEnd w:id="75"/>
    </w:p>
    <w:p>
      <w:pPr>
        <w:pStyle w:val="yShoulderClause"/>
      </w:pPr>
      <w:r>
        <w:t>[r. 36]</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PROVISIONAL IMPROVEMENT NOTICE</w:t>
      </w:r>
    </w:p>
    <w:p>
      <w:pPr>
        <w:pStyle w:val="yMiscellaneousBody"/>
        <w:jc w:val="center"/>
      </w:pPr>
      <w:r>
        <w:t>(clause 36 of Schedule 1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36(2) of Schedule 1 to the Act)</w:t>
      </w:r>
    </w:p>
    <w:p>
      <w:pPr>
        <w:pStyle w:val="yMiscellaneousBody"/>
        <w:rPr>
          <w:i/>
          <w:iCs/>
        </w:rPr>
      </w:pPr>
      <w:r>
        <w:t xml:space="preserve">I, </w:t>
      </w:r>
      <w:r>
        <w:tab/>
      </w:r>
      <w:r>
        <w:rPr>
          <w:i/>
          <w:iCs/>
        </w:rPr>
        <w:t>(name of the safety and health representative issuing the notice)</w:t>
      </w:r>
      <w:r>
        <w:t xml:space="preserve">, selected as the safety and health representative under clause 23 of Schedule 1 to the Act for </w:t>
      </w:r>
      <w:r>
        <w:rPr>
          <w:i/>
          <w:iCs/>
        </w:rPr>
        <w:t>(description of the designated work group)</w:t>
      </w:r>
      <w:r>
        <w:t>,</w:t>
      </w:r>
    </w:p>
    <w:p>
      <w:pPr>
        <w:pStyle w:val="yMiscellaneousBody"/>
        <w:rPr>
          <w:i/>
          <w:iCs/>
        </w:rPr>
      </w:pPr>
    </w:p>
    <w:p>
      <w:pPr>
        <w:pStyle w:val="yMiscellaneousBody"/>
      </w:pPr>
      <w:r>
        <w:t>after consultation in accordance with clause 36(1) of that Schedule, believe that a person is contravening the following provision, or provisions, of a listed OSH law (defined in section 5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lastRenderedPageBreak/>
        <w:t xml:space="preserve">In accordance with clause 36(5)(b) of Schedule 1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 In accordance with clause 36(6) of Schedule 1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37(1) of Schedule 1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37(5) of Schedule 1 to the Act requires a responsible person to whom a provisional improvement notice is given: </w:t>
      </w:r>
    </w:p>
    <w:p>
      <w:pPr>
        <w:pStyle w:val="yMiscellaneousBody"/>
        <w:numPr>
          <w:ilvl w:val="0"/>
          <w:numId w:val="13"/>
        </w:numPr>
      </w:pPr>
      <w:r>
        <w:t xml:space="preserve">to notify each group member affected by the notice of the fact that the notice has been issued; and </w:t>
      </w:r>
    </w:p>
    <w:p>
      <w:pPr>
        <w:pStyle w:val="yMiscellaneousBody"/>
        <w:numPr>
          <w:ilvl w:val="0"/>
          <w:numId w:val="13"/>
        </w:numPr>
      </w:pPr>
      <w:r>
        <w:t xml:space="preserve">to display a copy of the notice at or near each workplace at which work that is the subject of the notice is being performed. </w:t>
      </w:r>
    </w:p>
    <w:p>
      <w:pPr>
        <w:pStyle w:val="yMiscellaneousBody"/>
        <w:keepNext/>
        <w:keepLines/>
        <w:ind w:left="567" w:hanging="567"/>
      </w:pPr>
      <w:r>
        <w:lastRenderedPageBreak/>
        <w:t>3.</w:t>
      </w:r>
      <w:r>
        <w:tab/>
        <w:t xml:space="preserve">Under clause 37(6) of Schedule 1 to the Act, a provisional improvement notice ceases to have effect when: </w:t>
      </w:r>
    </w:p>
    <w:p>
      <w:pPr>
        <w:pStyle w:val="yMiscellaneousBody"/>
        <w:keepNext/>
        <w:keepLines/>
        <w:numPr>
          <w:ilvl w:val="0"/>
          <w:numId w:val="14"/>
        </w:numPr>
      </w:pPr>
      <w:r>
        <w:t>it is cancelled by the safety and health representative or an inspector; or</w:t>
      </w:r>
    </w:p>
    <w:p>
      <w:pPr>
        <w:pStyle w:val="yMiscellaneousBody"/>
        <w:numPr>
          <w:ilvl w:val="0"/>
          <w:numId w:val="14"/>
        </w:numPr>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37(7) of Schedule 1 to the Act requires the responsible person: </w:t>
      </w:r>
    </w:p>
    <w:p>
      <w:pPr>
        <w:pStyle w:val="yMiscellaneousBody"/>
        <w:numPr>
          <w:ilvl w:val="0"/>
          <w:numId w:val="15"/>
        </w:numPr>
      </w:pPr>
      <w:r>
        <w:t xml:space="preserve">to ensure that, to the extent that the notice relates to any matter over which the person has control, a provisional improvement notice is complied with; and </w:t>
      </w:r>
    </w:p>
    <w:p>
      <w:pPr>
        <w:pStyle w:val="yMiscellaneousBody"/>
        <w:numPr>
          <w:ilvl w:val="0"/>
          <w:numId w:val="15"/>
        </w:numPr>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64 of Schedule 1 to the Act, if an inspector has confirmed or varied a provisional improvement notice the following persons may apply in writing to the reviewing authority for a review of the inspector’s decision: </w:t>
      </w:r>
    </w:p>
    <w:p>
      <w:pPr>
        <w:pStyle w:val="yMiscellaneousBody"/>
        <w:numPr>
          <w:ilvl w:val="0"/>
          <w:numId w:val="16"/>
        </w:numPr>
      </w:pPr>
      <w:r>
        <w:t xml:space="preserve">the operator of the petroleum operation or geothermal energy resources operation or an employer affected by the decision; </w:t>
      </w:r>
    </w:p>
    <w:p>
      <w:pPr>
        <w:pStyle w:val="yMiscellaneousBody"/>
        <w:numPr>
          <w:ilvl w:val="0"/>
          <w:numId w:val="16"/>
        </w:numPr>
      </w:pPr>
      <w:r>
        <w:t xml:space="preserve">the person to whom the notice was issued; </w:t>
      </w:r>
    </w:p>
    <w:p>
      <w:pPr>
        <w:pStyle w:val="yMiscellaneousBody"/>
        <w:numPr>
          <w:ilvl w:val="0"/>
          <w:numId w:val="16"/>
        </w:numPr>
      </w:pPr>
      <w:r>
        <w:t xml:space="preserve">the safety and health representative for a designated work group that includes a group member affected by the decision; </w:t>
      </w:r>
    </w:p>
    <w:p>
      <w:pPr>
        <w:pStyle w:val="yMiscellaneousBody"/>
        <w:numPr>
          <w:ilvl w:val="0"/>
          <w:numId w:val="16"/>
        </w:numPr>
      </w:pPr>
      <w:r>
        <w:t>a workforce representative in relation to the designated work group that includes a group member affected by the decision;</w:t>
      </w:r>
    </w:p>
    <w:p>
      <w:pPr>
        <w:pStyle w:val="yMiscellaneousBody"/>
        <w:numPr>
          <w:ilvl w:val="0"/>
          <w:numId w:val="16"/>
        </w:numPr>
      </w:pPr>
      <w:r>
        <w:t>if there is no designated work group — a workforce representative in relation to a member of the workforce affected by the decision;</w:t>
      </w:r>
    </w:p>
    <w:p>
      <w:pPr>
        <w:pStyle w:val="yMiscellaneousBody"/>
        <w:numPr>
          <w:ilvl w:val="0"/>
          <w:numId w:val="16"/>
        </w:numPr>
      </w:pPr>
      <w:r>
        <w:t>the owner of any workplace, plant, substance or thing to which that decision relates.</w:t>
      </w:r>
    </w:p>
    <w:p>
      <w:pPr>
        <w:pStyle w:val="yMiscellaneousHeading"/>
        <w:rPr>
          <w:b/>
          <w:bCs/>
        </w:rPr>
      </w:pPr>
      <w:r>
        <w:rPr>
          <w:b/>
          <w:bCs/>
        </w:rPr>
        <w:lastRenderedPageBreak/>
        <w:t>Form 2</w:t>
      </w:r>
      <w:r>
        <w:rPr>
          <w:b/>
          <w:bCs/>
        </w:rPr>
        <w:tab/>
        <w:t>Notice of removal of plant or sample</w:t>
      </w:r>
    </w:p>
    <w:p>
      <w:pPr>
        <w:pStyle w:val="yMiscellaneousBody"/>
        <w:keepNext/>
        <w:jc w:val="center"/>
        <w:rPr>
          <w:i/>
          <w:iCs/>
        </w:rPr>
      </w:pPr>
      <w:r>
        <w:rPr>
          <w:i/>
          <w:iCs/>
        </w:rPr>
        <w:t>Petroleum and Geothermal Energy Resources Act </w:t>
      </w:r>
      <w:r>
        <w:rPr>
          <w:i/>
        </w:rPr>
        <w:t>1967</w:t>
      </w:r>
    </w:p>
    <w:p>
      <w:pPr>
        <w:pStyle w:val="yMiscellaneousBody"/>
        <w:keepNext/>
        <w:jc w:val="center"/>
        <w:rPr>
          <w:i/>
          <w:iCs/>
        </w:rPr>
      </w:pPr>
      <w:r>
        <w:rPr>
          <w:i/>
          <w:iCs/>
        </w:rPr>
        <w:t>Petroleum and Geothermal Energy Resources (Occupational Safety and Health) Regulations 2010</w:t>
      </w:r>
    </w:p>
    <w:p>
      <w:pPr>
        <w:pStyle w:val="yMiscellaneousHeading"/>
        <w:rPr>
          <w:b/>
          <w:bCs/>
        </w:rPr>
      </w:pPr>
      <w:r>
        <w:rPr>
          <w:b/>
          <w:bCs/>
        </w:rPr>
        <w:t xml:space="preserve">NOTICE OF REMOVAL OF PLANT OR SAMPLE </w:t>
      </w:r>
    </w:p>
    <w:p>
      <w:pPr>
        <w:pStyle w:val="yMiscellaneousHeading"/>
      </w:pPr>
      <w:r>
        <w:t>(clause 56 of Schedule 1 to the Act)</w:t>
      </w:r>
    </w:p>
    <w:p>
      <w:pPr>
        <w:pStyle w:val="yMiscellaneousBody"/>
      </w:pPr>
    </w:p>
    <w:p>
      <w:pPr>
        <w:pStyle w:val="yMiscellaneousBody"/>
        <w:ind w:left="567" w:hanging="567"/>
      </w:pPr>
      <w:r>
        <w:t>To:</w:t>
      </w:r>
      <w:r>
        <w:tab/>
      </w:r>
      <w:r>
        <w:rPr>
          <w:i/>
          <w:iCs/>
        </w:rPr>
        <w:t>(name of operator of the petroleum operation or geothermal energy operation,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5 of the Act, in the course of conducting an inspection under clause 47 of Schedule 1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56(3) of Schedule 1 to the Act if a notice is given to the operator of the petroleum operation or geothermal energy operation, the operator’s representative must cause the notice to be displayed in a prominent place at the workplace from which the item was removed. </w:t>
      </w:r>
    </w:p>
    <w:p>
      <w:pPr>
        <w:pStyle w:val="yMiscellaneousBody"/>
        <w:ind w:left="567" w:hanging="567"/>
      </w:pPr>
      <w:r>
        <w:lastRenderedPageBreak/>
        <w:t>2.</w:t>
      </w:r>
      <w:r>
        <w:tab/>
        <w:t>Under clause 62(1) and (2) of Schedule 1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64 of Schedule 1 to the Act, if an inspector decides, under clause 56, to take possession of plant, a substance or a thing at a workplace,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7"/>
        </w:numPr>
      </w:pPr>
      <w:r>
        <w:t xml:space="preserve">the person to whom the notice was issued; </w:t>
      </w:r>
    </w:p>
    <w:p>
      <w:pPr>
        <w:pStyle w:val="yMiscellaneousBody"/>
        <w:numPr>
          <w:ilvl w:val="0"/>
          <w:numId w:val="17"/>
        </w:numPr>
      </w:pPr>
      <w:r>
        <w:t xml:space="preserve">the safety and health representative for a designated work group that includes a group member affected by the decision; </w:t>
      </w:r>
    </w:p>
    <w:p>
      <w:pPr>
        <w:pStyle w:val="yMiscellaneousBody"/>
        <w:numPr>
          <w:ilvl w:val="0"/>
          <w:numId w:val="17"/>
        </w:numPr>
      </w:pPr>
      <w:r>
        <w:t>a workforce representative in relation to the designated work group that includes a group member affected by the decision;</w:t>
      </w:r>
    </w:p>
    <w:p>
      <w:pPr>
        <w:pStyle w:val="yMiscellaneousBody"/>
        <w:numPr>
          <w:ilvl w:val="0"/>
          <w:numId w:val="17"/>
        </w:numPr>
      </w:pPr>
      <w:r>
        <w:t>if there is no designated work group — a workforce representative in relation to a member of the workforce affected by the decision;</w:t>
      </w:r>
    </w:p>
    <w:p>
      <w:pPr>
        <w:pStyle w:val="yMiscellaneousBody"/>
        <w:numPr>
          <w:ilvl w:val="0"/>
          <w:numId w:val="17"/>
        </w:numPr>
        <w:rPr>
          <w:b/>
          <w:bCs/>
        </w:rPr>
      </w:pPr>
      <w:r>
        <w:t>the owner of any workplace, plant, substance or thing to which that decision relates.</w:t>
      </w:r>
    </w:p>
    <w:p>
      <w:pPr>
        <w:pStyle w:val="yMiscellaneousHeading"/>
        <w:keepNext w:val="0"/>
        <w:pageBreakBefore/>
        <w:rPr>
          <w:b/>
          <w:bCs/>
        </w:rPr>
      </w:pPr>
      <w:r>
        <w:rPr>
          <w:b/>
          <w:bCs/>
        </w:rPr>
        <w:lastRenderedPageBreak/>
        <w:t>Form 3</w:t>
      </w:r>
      <w:r>
        <w:rPr>
          <w:b/>
          <w:bCs/>
        </w:rPr>
        <w:tab/>
        <w:t>Do not disturb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DO NOT DISTURB NOTICE </w:t>
      </w:r>
    </w:p>
    <w:p>
      <w:pPr>
        <w:pStyle w:val="yMiscellaneousHeading"/>
      </w:pPr>
      <w:r>
        <w:t>(clause 57 of Schedule 1 to the Act)</w:t>
      </w:r>
    </w:p>
    <w:p>
      <w:pPr>
        <w:pStyle w:val="yMiscellaneousBody"/>
      </w:pPr>
    </w:p>
    <w:p>
      <w:pPr>
        <w:pStyle w:val="yMiscellaneousBody"/>
        <w:ind w:left="567" w:hanging="567"/>
      </w:pPr>
      <w:r>
        <w:t>To:</w:t>
      </w:r>
      <w:r>
        <w:rPr>
          <w:i/>
          <w:iCs/>
        </w:rPr>
        <w:tab/>
        <w:t>(name of representative of operator of the petroleum operation or geothermal energy</w:t>
      </w:r>
      <w:r>
        <w:t xml:space="preserve"> </w:t>
      </w:r>
      <w:r>
        <w:rPr>
          <w:i/>
          <w:iCs/>
        </w:rPr>
        <w:t>operation)</w:t>
      </w:r>
    </w:p>
    <w:p>
      <w:pPr>
        <w:pStyle w:val="yMiscellaneousBody"/>
      </w:pPr>
      <w:r>
        <w:t>I,</w:t>
      </w:r>
      <w:r>
        <w:tab/>
      </w:r>
      <w:r>
        <w:rPr>
          <w:i/>
          <w:iCs/>
        </w:rPr>
        <w:t>(name of inspector)</w:t>
      </w:r>
      <w:r>
        <w:t xml:space="preserve">, an inspector as defined in section 5 of the Act, direct that: </w:t>
      </w:r>
      <w:r>
        <w:rPr>
          <w:i/>
          <w:iCs/>
        </w:rPr>
        <w:t>(description of the affected workplace or part of workplace, plant, substance or thing)</w:t>
      </w:r>
    </w:p>
    <w:p>
      <w:pPr>
        <w:pStyle w:val="yMiscellaneousBody"/>
        <w:ind w:left="567" w:hanging="567"/>
      </w:pPr>
    </w:p>
    <w:p>
      <w:pPr>
        <w:pStyle w:val="yMiscellaneousBody"/>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rPr>
          <w:i/>
          <w:iCs/>
        </w:rPr>
        <w:t>.</w:t>
      </w:r>
      <w:r>
        <w:rPr>
          <w:i/>
          <w:iCs/>
        </w:rPr>
        <w:tab/>
      </w:r>
      <w:r>
        <w:t>Under clause 57(7) of Schedule 1 to the Act, the operator of a petroleum operation or geothermal energy operation to which a direction concerning a workplace, plant, substance or a thing relates and who does not ensure that the direction is complied with may be liable to a penalty of $27 500.</w:t>
      </w:r>
    </w:p>
    <w:p>
      <w:pPr>
        <w:pStyle w:val="yMiscellaneousBody"/>
        <w:ind w:left="567" w:hanging="567"/>
      </w:pPr>
      <w:r>
        <w:lastRenderedPageBreak/>
        <w:t>2.</w:t>
      </w:r>
      <w:r>
        <w:tab/>
        <w:t>Under clause 57(5) of Schedule 1 to the Act if a notice is given to the operator’s representative,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62(1) and (3) of Schedule 1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64 of Schedule 1 to the Act, if an inspector decides, under clause 57,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8"/>
        </w:numPr>
      </w:pPr>
      <w:r>
        <w:t xml:space="preserve">the person to whom the notice was issued; </w:t>
      </w:r>
    </w:p>
    <w:p>
      <w:pPr>
        <w:pStyle w:val="yMiscellaneousBody"/>
        <w:numPr>
          <w:ilvl w:val="0"/>
          <w:numId w:val="18"/>
        </w:numPr>
      </w:pPr>
      <w:r>
        <w:t xml:space="preserve">the safety and health representative for a designated work group that includes a group member affected by the decision; </w:t>
      </w:r>
    </w:p>
    <w:p>
      <w:pPr>
        <w:pStyle w:val="yMiscellaneousBody"/>
        <w:numPr>
          <w:ilvl w:val="0"/>
          <w:numId w:val="18"/>
        </w:numPr>
      </w:pPr>
      <w:r>
        <w:t>a workforce representative in relation to the designated work group that includes a group member affected by the decision;</w:t>
      </w:r>
    </w:p>
    <w:p>
      <w:pPr>
        <w:pStyle w:val="yMiscellaneousBody"/>
        <w:numPr>
          <w:ilvl w:val="0"/>
          <w:numId w:val="18"/>
        </w:numPr>
      </w:pPr>
      <w:r>
        <w:t>if there is no designated work group — a workforce representative in relation to a member of the workforce affected by the decision;</w:t>
      </w:r>
    </w:p>
    <w:p>
      <w:pPr>
        <w:pStyle w:val="yMiscellaneousBody"/>
        <w:numPr>
          <w:ilvl w:val="0"/>
          <w:numId w:val="18"/>
        </w:numPr>
      </w:pPr>
      <w:r>
        <w:t>the owner of any workplace, plant, substance or thing to which that decision relates.</w:t>
      </w:r>
    </w:p>
    <w:p>
      <w:pPr>
        <w:pStyle w:val="yMiscellaneousHeading"/>
        <w:keepNext w:val="0"/>
        <w:pageBreakBefore/>
        <w:rPr>
          <w:b/>
          <w:bCs/>
        </w:rPr>
      </w:pPr>
      <w:r>
        <w:rPr>
          <w:b/>
          <w:bCs/>
        </w:rPr>
        <w:lastRenderedPageBreak/>
        <w:t>Form 4</w:t>
      </w:r>
      <w:r>
        <w:rPr>
          <w:b/>
          <w:bCs/>
        </w:rPr>
        <w:tab/>
        <w:t>Prohibition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PROHIBITION NOTICE </w:t>
      </w:r>
    </w:p>
    <w:p>
      <w:pPr>
        <w:pStyle w:val="yMiscellaneousHeading"/>
      </w:pPr>
      <w:r>
        <w:t>(clause 58 of Schedule 1 to the Act)</w:t>
      </w:r>
    </w:p>
    <w:p>
      <w:pPr>
        <w:pStyle w:val="yMiscellaneousBody"/>
      </w:pPr>
    </w:p>
    <w:p>
      <w:pPr>
        <w:pStyle w:val="yMiscellaneousBody"/>
        <w:ind w:left="567" w:hanging="567"/>
      </w:pPr>
      <w:r>
        <w:t>To:</w:t>
      </w:r>
      <w:r>
        <w:rPr>
          <w:i/>
          <w:iCs/>
        </w:rPr>
        <w:tab/>
        <w:t>(name of representative of operator of the petroleum operation or geothermal energy operation)</w:t>
      </w:r>
      <w:r>
        <w:t xml:space="preserve"> </w:t>
      </w:r>
    </w:p>
    <w:p>
      <w:pPr>
        <w:pStyle w:val="yMiscellaneousBody"/>
      </w:pPr>
    </w:p>
    <w:p>
      <w:pPr>
        <w:pStyle w:val="yMiscellaneousBody"/>
      </w:pPr>
      <w:r>
        <w:t xml:space="preserve">I, </w:t>
      </w:r>
      <w:r>
        <w:tab/>
      </w:r>
      <w:r>
        <w:rPr>
          <w:i/>
          <w:iCs/>
        </w:rPr>
        <w:t>(name of inspector)</w:t>
      </w:r>
      <w:r>
        <w:t xml:space="preserve">, an inspector as defined in section 5 of the Act, am satisfied that it is necessary to issue a prohibition notice to the operator of </w:t>
      </w:r>
      <w:r>
        <w:rPr>
          <w:i/>
          <w:iCs/>
        </w:rPr>
        <w:t>(name of petroleum operation or geothermal energy operation)</w:t>
      </w:r>
      <w:r>
        <w:t xml:space="preserve"> </w:t>
      </w:r>
    </w:p>
    <w:p>
      <w:pPr>
        <w:pStyle w:val="yMiscellaneousBody"/>
      </w:pPr>
    </w:p>
    <w:p>
      <w:pPr>
        <w:pStyle w:val="yMiscellaneousBody"/>
      </w:pPr>
      <w:r>
        <w:t>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lastRenderedPageBreak/>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 In accordance with clause 58(5) of Schedule 1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p>
    <w:p>
      <w:pPr>
        <w:pStyle w:val="yMiscellaneousBody"/>
      </w:pPr>
      <w:r>
        <w:t>[* Omit if inapplicable.]</w:t>
      </w:r>
    </w:p>
    <w:p>
      <w:pPr>
        <w:pStyle w:val="yMiscellaneousBody"/>
      </w:pPr>
    </w:p>
    <w:p>
      <w:pPr>
        <w:pStyle w:val="yMiscellaneousBody"/>
      </w:pPr>
      <w:r>
        <w:t xml:space="preserve">NOTES: </w:t>
      </w:r>
    </w:p>
    <w:p>
      <w:pPr>
        <w:pStyle w:val="yMiscellaneousBody"/>
        <w:ind w:left="567" w:hanging="567"/>
      </w:pPr>
      <w:r>
        <w:t>1.</w:t>
      </w:r>
      <w:r>
        <w:tab/>
        <w:t>Under clause 59 of Schedule 1 to the Act, an operator who fails to ensure that a prohibition notice issued to the operator is complied with may be liable to a penalty of $27 500.</w:t>
      </w:r>
    </w:p>
    <w:p>
      <w:pPr>
        <w:pStyle w:val="yMiscellaneousBody"/>
        <w:ind w:left="567" w:hanging="567"/>
      </w:pPr>
      <w:r>
        <w:t>2.</w:t>
      </w:r>
      <w:r>
        <w:tab/>
        <w:t>Under clause 58(6) of Schedule 1 to the Act, the operator’s representative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64 of Schedule 1 to the Act, if an inspector decides, under clause 58, to issue a prohibition notice, the following persons may apply, in writing to the reviewing authority for a review of the decision: </w:t>
      </w:r>
    </w:p>
    <w:p>
      <w:pPr>
        <w:pStyle w:val="yMiscellaneousBody"/>
        <w:numPr>
          <w:ilvl w:val="0"/>
          <w:numId w:val="17"/>
        </w:numPr>
      </w:pPr>
      <w:r>
        <w:lastRenderedPageBreak/>
        <w:t xml:space="preserve">the operator of the petroleum operation or geothermal energy operation or an employer affected by the decision; </w:t>
      </w:r>
    </w:p>
    <w:p>
      <w:pPr>
        <w:pStyle w:val="yMiscellaneousBody"/>
        <w:numPr>
          <w:ilvl w:val="0"/>
          <w:numId w:val="19"/>
        </w:numPr>
      </w:pPr>
      <w:r>
        <w:t xml:space="preserve">the person to whom the notice was issued; </w:t>
      </w:r>
    </w:p>
    <w:p>
      <w:pPr>
        <w:pStyle w:val="yMiscellaneousBody"/>
        <w:numPr>
          <w:ilvl w:val="0"/>
          <w:numId w:val="19"/>
        </w:numPr>
      </w:pPr>
      <w:r>
        <w:t xml:space="preserve">the safety and health representative for a designated work group that includes a group member affected by the decision; </w:t>
      </w:r>
    </w:p>
    <w:p>
      <w:pPr>
        <w:pStyle w:val="yMiscellaneousBody"/>
        <w:numPr>
          <w:ilvl w:val="0"/>
          <w:numId w:val="19"/>
        </w:numPr>
      </w:pPr>
      <w:r>
        <w:t>a workforce representative in relation to the designated work group that includes a group member affected by the decision;</w:t>
      </w:r>
    </w:p>
    <w:p>
      <w:pPr>
        <w:pStyle w:val="yMiscellaneousBody"/>
        <w:numPr>
          <w:ilvl w:val="0"/>
          <w:numId w:val="19"/>
        </w:numPr>
      </w:pPr>
      <w:r>
        <w:t>if there is no designated work group — a workforce representative in relation to a member of the workforce affected by the decision;</w:t>
      </w:r>
    </w:p>
    <w:p>
      <w:pPr>
        <w:pStyle w:val="yMiscellaneousBody"/>
        <w:numPr>
          <w:ilvl w:val="0"/>
          <w:numId w:val="19"/>
        </w:numPr>
      </w:pPr>
      <w:r>
        <w:t xml:space="preserve">the owner of any workplace, plant, substance or thing to which that decision relates. </w:t>
      </w:r>
    </w:p>
    <w:p>
      <w:pPr>
        <w:pStyle w:val="yMiscellaneousBody"/>
        <w:ind w:left="567" w:hanging="567"/>
      </w:pPr>
      <w:r>
        <w:t>5.</w:t>
      </w:r>
      <w:r>
        <w:tab/>
        <w:t>Under clause 59(3) of Schedule 1 to the Act, a prohibition notice ceases to have effect when an inspector notifies the operator that the inspector is satisfied that the operator had taken adequate action to remove the threat to safety or health that is the subject of the notice.</w:t>
      </w:r>
    </w:p>
    <w:p>
      <w:pPr>
        <w:pStyle w:val="yMiscellaneousHeading"/>
        <w:keepNext w:val="0"/>
        <w:pageBreakBefore/>
        <w:rPr>
          <w:b/>
          <w:bCs/>
        </w:rPr>
      </w:pPr>
      <w:r>
        <w:rPr>
          <w:b/>
          <w:bCs/>
        </w:rPr>
        <w:lastRenderedPageBreak/>
        <w:t>Form 5</w:t>
      </w:r>
      <w:r>
        <w:rPr>
          <w:b/>
          <w:bCs/>
        </w:rPr>
        <w:tab/>
        <w:t>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IMPROVEMENT NOTICE</w:t>
      </w:r>
    </w:p>
    <w:p>
      <w:pPr>
        <w:pStyle w:val="yMiscellaneousHeading"/>
      </w:pPr>
      <w:r>
        <w:t>(clause 60 of Schedule 1 to the Act)</w:t>
      </w:r>
    </w:p>
    <w:p>
      <w:pPr>
        <w:pStyle w:val="yMiscellaneousBody"/>
        <w:ind w:left="426" w:hanging="426"/>
      </w:pPr>
      <w:r>
        <w:t xml:space="preserve">To: </w:t>
      </w:r>
      <w:r>
        <w:rPr>
          <w:i/>
          <w:iCs/>
        </w:rPr>
        <w:t>(the responsible person within the meaning of clause 60(1) of Schedule 1 to the Act)</w:t>
      </w:r>
    </w:p>
    <w:p>
      <w:pPr>
        <w:pStyle w:val="yMiscellaneousBody"/>
      </w:pPr>
      <w:r>
        <w:t xml:space="preserve">I, </w:t>
      </w:r>
      <w:r>
        <w:tab/>
      </w:r>
      <w:r>
        <w:rPr>
          <w:i/>
          <w:iCs/>
        </w:rPr>
        <w:t>(name of inspector)</w:t>
      </w:r>
      <w:r>
        <w:t>, an inspector as defined in section 5 of the Act, believe that you are contravening the following provision, or provisions, of a listed OSH law (defined in section 5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60(4)(b) of Schedule 1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 In accordance with clause 60(4)(c) of Schedule 1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jc w:val="center"/>
        <w:rPr>
          <w:i/>
          <w:iCs/>
        </w:rPr>
      </w:pPr>
      <w:r>
        <w:rPr>
          <w:i/>
          <w:iCs/>
        </w:rPr>
        <w:br w:type="page"/>
      </w:r>
      <w:r>
        <w:rPr>
          <w:i/>
          <w:iCs/>
        </w:rPr>
        <w:lastRenderedPageBreak/>
        <w:t>(Page 3 of Form 5)</w:t>
      </w:r>
    </w:p>
    <w:p>
      <w:pPr>
        <w:pStyle w:val="yMiscellaneousBody"/>
        <w:keepNext/>
        <w:keepLines/>
      </w:pPr>
      <w:r>
        <w:t>NOTES:</w:t>
      </w:r>
    </w:p>
    <w:p>
      <w:pPr>
        <w:pStyle w:val="yMiscellaneousBody"/>
        <w:keepNext/>
        <w:keepLines/>
        <w:ind w:left="567" w:hanging="567"/>
      </w:pPr>
      <w:r>
        <w:t>1.</w:t>
      </w:r>
      <w:r>
        <w:tab/>
        <w:t>Under clause 61 of Schedule 1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60(7) of Schedule 1 to the Act, the operator’s representative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64 of Schedule 1 to the Act, if an inspector decides, under clause 60, to issue an improvement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20"/>
        </w:numPr>
      </w:pPr>
      <w:r>
        <w:t xml:space="preserve">the person to whom the notice was issued; </w:t>
      </w:r>
    </w:p>
    <w:p>
      <w:pPr>
        <w:pStyle w:val="yMiscellaneousBody"/>
        <w:numPr>
          <w:ilvl w:val="0"/>
          <w:numId w:val="20"/>
        </w:numPr>
      </w:pPr>
      <w:r>
        <w:t xml:space="preserve">the safety and health representative for a designated work group that includes a group member affected by the decision; </w:t>
      </w:r>
    </w:p>
    <w:p>
      <w:pPr>
        <w:pStyle w:val="yMiscellaneousBody"/>
        <w:numPr>
          <w:ilvl w:val="0"/>
          <w:numId w:val="20"/>
        </w:numPr>
      </w:pPr>
      <w:r>
        <w:t>a workforce representative in relation to the designated work group that includes a group member affected by the decision;</w:t>
      </w:r>
    </w:p>
    <w:p>
      <w:pPr>
        <w:pStyle w:val="yMiscellaneousBody"/>
        <w:numPr>
          <w:ilvl w:val="0"/>
          <w:numId w:val="20"/>
        </w:numPr>
      </w:pPr>
      <w:r>
        <w:t>if there is no designated work group — a workforce representative in relation to a member of the workforce affected by the decision;</w:t>
      </w:r>
    </w:p>
    <w:p>
      <w:pPr>
        <w:pStyle w:val="yMiscellaneousBody"/>
        <w:numPr>
          <w:ilvl w:val="0"/>
          <w:numId w:val="20"/>
        </w:numPr>
      </w:pPr>
      <w:r>
        <w:t>the owner of any workplace, plant, substance or thing to which that decision relates.</w:t>
      </w:r>
    </w:p>
    <w:p>
      <w:pPr>
        <w:pStyle w:val="yScheduleHeading"/>
      </w:pPr>
      <w:bookmarkStart w:id="76" w:name="_Toc97289510"/>
      <w:bookmarkStart w:id="77" w:name="_Toc97289702"/>
      <w:bookmarkStart w:id="78" w:name="_Toc97625270"/>
      <w:r>
        <w:rPr>
          <w:rStyle w:val="CharSchNo"/>
        </w:rPr>
        <w:lastRenderedPageBreak/>
        <w:t>Schedule 2</w:t>
      </w:r>
      <w:r>
        <w:t> — </w:t>
      </w:r>
      <w:r>
        <w:rPr>
          <w:rStyle w:val="CharSchText"/>
        </w:rPr>
        <w:t>Hazardous substances</w:t>
      </w:r>
      <w:bookmarkEnd w:id="76"/>
      <w:bookmarkEnd w:id="77"/>
      <w:bookmarkEnd w:id="78"/>
    </w:p>
    <w:p>
      <w:pPr>
        <w:pStyle w:val="yShoulderClause"/>
      </w:pPr>
      <w:r>
        <w:t>[r. 31, 32]</w:t>
      </w:r>
    </w:p>
    <w:p>
      <w:pPr>
        <w:pStyle w:val="yHeading3"/>
      </w:pPr>
      <w:bookmarkStart w:id="79" w:name="_Toc97289511"/>
      <w:bookmarkStart w:id="80" w:name="_Toc97289703"/>
      <w:bookmarkStart w:id="81" w:name="_Toc97625271"/>
      <w:r>
        <w:rPr>
          <w:rStyle w:val="CharSDivNo"/>
        </w:rPr>
        <w:t>Division 1</w:t>
      </w:r>
      <w:r>
        <w:t> — </w:t>
      </w:r>
      <w:r>
        <w:rPr>
          <w:rStyle w:val="CharSDivText"/>
        </w:rPr>
        <w:t>Preliminary</w:t>
      </w:r>
      <w:bookmarkEnd w:id="79"/>
      <w:bookmarkEnd w:id="80"/>
      <w:bookmarkEnd w:id="81"/>
    </w:p>
    <w:p>
      <w:pPr>
        <w:pStyle w:val="yHeading5"/>
      </w:pPr>
      <w:bookmarkStart w:id="82" w:name="_Toc97625272"/>
      <w:r>
        <w:tab/>
        <w:t>Terms used</w:t>
      </w:r>
      <w:bookmarkEnd w:id="82"/>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31,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keepNext w:val="0"/>
        <w:spacing w:after="240"/>
      </w:pPr>
      <w:bookmarkStart w:id="83" w:name="_Toc97289513"/>
      <w:bookmarkStart w:id="84" w:name="_Toc97289705"/>
      <w:bookmarkStart w:id="85" w:name="_Toc97625273"/>
      <w:r>
        <w:rPr>
          <w:rStyle w:val="CharSDivNo"/>
        </w:rPr>
        <w:t>Division 2</w:t>
      </w:r>
      <w:r>
        <w:t> — </w:t>
      </w:r>
      <w:r>
        <w:rPr>
          <w:rStyle w:val="CharSDivText"/>
        </w:rPr>
        <w:t>Permitted circumstances for using certain hazardous substances</w:t>
      </w:r>
      <w:bookmarkEnd w:id="83"/>
      <w:bookmarkEnd w:id="84"/>
      <w:bookmarkEnd w:id="85"/>
    </w:p>
    <w:tbl>
      <w:tblPr>
        <w:tblW w:w="0" w:type="auto"/>
        <w:tblInd w:w="250" w:type="dxa"/>
        <w:tblLayout w:type="fixed"/>
        <w:tblLook w:val="0000" w:firstRow="0" w:lastRow="0" w:firstColumn="0" w:lastColumn="0" w:noHBand="0" w:noVBand="0"/>
      </w:tblPr>
      <w:tblGrid>
        <w:gridCol w:w="709"/>
        <w:gridCol w:w="2977"/>
        <w:gridCol w:w="3260"/>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w:t>
            </w:r>
          </w:p>
        </w:tc>
        <w:tc>
          <w:tcPr>
            <w:tcW w:w="3260" w:type="dxa"/>
            <w:tcBorders>
              <w:top w:val="single" w:sz="4" w:space="0" w:color="auto"/>
              <w:bottom w:val="single" w:sz="4" w:space="0" w:color="auto"/>
            </w:tcBorders>
          </w:tcPr>
          <w:p>
            <w:pPr>
              <w:pStyle w:val="yTableNAm"/>
              <w:tabs>
                <w:tab w:val="clear" w:pos="567"/>
                <w:tab w:val="left" w:pos="317"/>
              </w:tabs>
              <w:ind w:left="317" w:hanging="317"/>
              <w:rPr>
                <w:b/>
                <w:bCs/>
              </w:rPr>
            </w:pPr>
            <w:r>
              <w:rPr>
                <w:b/>
                <w:bCs/>
              </w:rPr>
              <w:t>Permitted circumstance</w:t>
            </w:r>
          </w:p>
        </w:tc>
      </w:tr>
      <w:tr>
        <w:tc>
          <w:tcPr>
            <w:tcW w:w="709" w:type="dxa"/>
            <w:tcBorders>
              <w:top w:val="single" w:sz="4" w:space="0" w:color="auto"/>
            </w:tcBorders>
          </w:tcPr>
          <w:p>
            <w:pPr>
              <w:pStyle w:val="yTableNAm"/>
            </w:pPr>
            <w:r>
              <w:t>1.</w:t>
            </w:r>
          </w:p>
        </w:tc>
        <w:tc>
          <w:tcPr>
            <w:tcW w:w="2977" w:type="dxa"/>
            <w:tcBorders>
              <w:top w:val="single" w:sz="4" w:space="0" w:color="auto"/>
            </w:tcBorders>
          </w:tcPr>
          <w:p>
            <w:pPr>
              <w:pStyle w:val="yTableNAm"/>
            </w:pPr>
            <w:r>
              <w:t>Polychlorinated biphenyls (also known as PCBs)</w:t>
            </w:r>
          </w:p>
        </w:tc>
        <w:tc>
          <w:tcPr>
            <w:tcW w:w="3260" w:type="dxa"/>
            <w:tcBorders>
              <w:top w:val="single" w:sz="4" w:space="0" w:color="auto"/>
            </w:tcBorders>
          </w:tcPr>
          <w:p>
            <w:pPr>
              <w:pStyle w:val="yTableNAm"/>
              <w:tabs>
                <w:tab w:val="clear" w:pos="567"/>
                <w:tab w:val="left" w:pos="317"/>
              </w:tabs>
              <w:ind w:left="317" w:hanging="317"/>
            </w:pPr>
            <w:r>
              <w:t>1.</w:t>
            </w:r>
            <w:r>
              <w:tab/>
              <w:t>Handling for 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2.</w:t>
            </w:r>
            <w:r>
              <w:tab/>
              <w:t>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3.</w:t>
            </w:r>
            <w:r>
              <w:tab/>
              <w:t>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4.</w:t>
            </w:r>
            <w:r>
              <w:tab/>
              <w:t>Use when contained in existing electrical equipment or construction material.</w:t>
            </w:r>
          </w:p>
        </w:tc>
      </w:tr>
      <w:tr>
        <w:tc>
          <w:tcPr>
            <w:tcW w:w="709" w:type="dxa"/>
            <w:tcBorders>
              <w:bottom w:val="single" w:sz="4" w:space="0" w:color="auto"/>
            </w:tcBorders>
          </w:tcPr>
          <w:p>
            <w:pPr>
              <w:pStyle w:val="yTableNAm"/>
            </w:pPr>
          </w:p>
        </w:tc>
        <w:tc>
          <w:tcPr>
            <w:tcW w:w="2977" w:type="dxa"/>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5.</w:t>
            </w:r>
            <w:r>
              <w:tab/>
              <w:t>Repair of existing electrical equipment or construction material.</w:t>
            </w:r>
          </w:p>
        </w:tc>
      </w:tr>
    </w:tbl>
    <w:p>
      <w:pPr>
        <w:pStyle w:val="yHeading3"/>
        <w:spacing w:after="240"/>
      </w:pPr>
      <w:bookmarkStart w:id="86" w:name="_Toc97289514"/>
      <w:bookmarkStart w:id="87" w:name="_Toc97289706"/>
      <w:bookmarkStart w:id="88" w:name="_Toc97625274"/>
      <w:r>
        <w:rPr>
          <w:rStyle w:val="CharSDivNo"/>
        </w:rPr>
        <w:t>Division 3</w:t>
      </w:r>
      <w:r>
        <w:t> — </w:t>
      </w:r>
      <w:r>
        <w:rPr>
          <w:rStyle w:val="CharSDivText"/>
        </w:rPr>
        <w:t>Permitted circumstances for using certain hazardous substances with carcinogenic properties</w:t>
      </w:r>
      <w:bookmarkEnd w:id="86"/>
      <w:bookmarkEnd w:id="87"/>
      <w:bookmarkEnd w:id="88"/>
    </w:p>
    <w:tbl>
      <w:tblPr>
        <w:tblW w:w="0" w:type="auto"/>
        <w:tblInd w:w="250" w:type="dxa"/>
        <w:tblLayout w:type="fixed"/>
        <w:tblLook w:val="0000" w:firstRow="0" w:lastRow="0" w:firstColumn="0" w:lastColumn="0" w:noHBand="0" w:noVBand="0"/>
      </w:tblPr>
      <w:tblGrid>
        <w:gridCol w:w="709"/>
        <w:gridCol w:w="2977"/>
        <w:gridCol w:w="3260"/>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NAm"/>
              <w:rPr>
                <w:b/>
                <w:bCs/>
              </w:rPr>
            </w:pPr>
            <w:r>
              <w:rPr>
                <w:b/>
                <w:bCs/>
              </w:rPr>
              <w:t>Permitted circumstance</w:t>
            </w:r>
          </w:p>
        </w:tc>
      </w:tr>
      <w:tr>
        <w:trPr>
          <w:cantSplit/>
        </w:trPr>
        <w:tc>
          <w:tcPr>
            <w:tcW w:w="709" w:type="dxa"/>
          </w:tcPr>
          <w:p>
            <w:pPr>
              <w:pStyle w:val="yTableNAm"/>
            </w:pPr>
            <w:r>
              <w:t>1.</w:t>
            </w:r>
          </w:p>
        </w:tc>
        <w:tc>
          <w:tcPr>
            <w:tcW w:w="2977" w:type="dxa"/>
          </w:tcPr>
          <w:p>
            <w:pPr>
              <w:pStyle w:val="yTableNAm"/>
            </w:pPr>
            <w:r>
              <w:t>2</w:t>
            </w:r>
            <w:r>
              <w:noBreakHyphen/>
              <w:t>Acetylaminofluorene [53</w:t>
            </w:r>
            <w:r>
              <w:noBreakHyphen/>
              <w:t>96</w:t>
            </w:r>
            <w:r>
              <w:noBreakHyphen/>
              <w:t>3]</w:t>
            </w:r>
          </w:p>
        </w:tc>
        <w:tc>
          <w:tcPr>
            <w:tcW w:w="3260" w:type="dxa"/>
          </w:tcPr>
          <w:p>
            <w:pPr>
              <w:pStyle w:val="yTableNAm"/>
              <w:tabs>
                <w:tab w:val="clear" w:pos="567"/>
              </w:tabs>
            </w:pPr>
            <w:r>
              <w:t>Bona fide research.</w:t>
            </w:r>
          </w:p>
        </w:tc>
      </w:tr>
      <w:tr>
        <w:trPr>
          <w:cantSplit/>
        </w:trPr>
        <w:tc>
          <w:tcPr>
            <w:tcW w:w="709" w:type="dxa"/>
          </w:tcPr>
          <w:p>
            <w:pPr>
              <w:pStyle w:val="yTableNAm"/>
            </w:pPr>
            <w:r>
              <w:t>2.</w:t>
            </w:r>
          </w:p>
        </w:tc>
        <w:tc>
          <w:tcPr>
            <w:tcW w:w="2977" w:type="dxa"/>
          </w:tcPr>
          <w:p>
            <w:pPr>
              <w:pStyle w:val="yTableNAm"/>
            </w:pPr>
            <w:r>
              <w:t>Aflatoxins</w:t>
            </w:r>
          </w:p>
        </w:tc>
        <w:tc>
          <w:tcPr>
            <w:tcW w:w="3260" w:type="dxa"/>
          </w:tcPr>
          <w:p>
            <w:pPr>
              <w:pStyle w:val="yTableNAm"/>
              <w:tabs>
                <w:tab w:val="clear" w:pos="567"/>
              </w:tabs>
            </w:pPr>
            <w:r>
              <w:t>Bona fide research.</w:t>
            </w:r>
          </w:p>
        </w:tc>
      </w:tr>
      <w:tr>
        <w:trPr>
          <w:cantSplit/>
        </w:trPr>
        <w:tc>
          <w:tcPr>
            <w:tcW w:w="709" w:type="dxa"/>
          </w:tcPr>
          <w:p>
            <w:pPr>
              <w:pStyle w:val="yTableNAm"/>
            </w:pPr>
            <w:r>
              <w:t>3.</w:t>
            </w:r>
          </w:p>
        </w:tc>
        <w:tc>
          <w:tcPr>
            <w:tcW w:w="2977" w:type="dxa"/>
          </w:tcPr>
          <w:p>
            <w:pPr>
              <w:pStyle w:val="yTableNAm"/>
            </w:pPr>
            <w:r>
              <w:t>4</w:t>
            </w:r>
            <w:r>
              <w:noBreakHyphen/>
              <w:t>Aminodiphenyl [92</w:t>
            </w:r>
            <w:r>
              <w:noBreakHyphen/>
              <w:t>67</w:t>
            </w:r>
            <w:r>
              <w:noBreakHyphen/>
              <w:t>1]</w:t>
            </w:r>
          </w:p>
        </w:tc>
        <w:tc>
          <w:tcPr>
            <w:tcW w:w="3260" w:type="dxa"/>
          </w:tcPr>
          <w:p>
            <w:pPr>
              <w:pStyle w:val="yTableNAm"/>
              <w:tabs>
                <w:tab w:val="clear" w:pos="567"/>
              </w:tabs>
            </w:pPr>
            <w:r>
              <w:t>Bona fide research.</w:t>
            </w:r>
          </w:p>
        </w:tc>
      </w:tr>
      <w:tr>
        <w:trPr>
          <w:cantSplit/>
        </w:trPr>
        <w:tc>
          <w:tcPr>
            <w:tcW w:w="709" w:type="dxa"/>
          </w:tcPr>
          <w:p>
            <w:pPr>
              <w:pStyle w:val="yTableNAm"/>
            </w:pPr>
            <w:r>
              <w:t>4.</w:t>
            </w:r>
          </w:p>
        </w:tc>
        <w:tc>
          <w:tcPr>
            <w:tcW w:w="2977" w:type="dxa"/>
          </w:tcPr>
          <w:p>
            <w:pPr>
              <w:pStyle w:val="yTableNAm"/>
            </w:pPr>
            <w:r>
              <w:t>Amosite (brown asbestos) [12172</w:t>
            </w:r>
            <w:r>
              <w:noBreakHyphen/>
              <w:t>73</w:t>
            </w:r>
            <w:r>
              <w:noBreakHyphen/>
              <w:t>5]</w:t>
            </w:r>
          </w:p>
        </w:tc>
        <w:tc>
          <w:tcPr>
            <w:tcW w:w="3260" w:type="dxa"/>
          </w:tcPr>
          <w:p>
            <w:pPr>
              <w:pStyle w:val="yTableNAm"/>
              <w:tabs>
                <w:tab w:val="clear" w:pos="567"/>
                <w:tab w:val="left" w:pos="317"/>
              </w:tabs>
              <w:ind w:left="317" w:hanging="317"/>
            </w:pPr>
            <w:r>
              <w:t>1.</w:t>
            </w:r>
            <w:r>
              <w:tab/>
              <w:t>Removal or disposal of amosite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amosite if the amosite is not used in a new application.</w:t>
            </w:r>
          </w:p>
        </w:tc>
      </w:tr>
      <w:tr>
        <w:trPr>
          <w:cantSplit/>
        </w:trPr>
        <w:tc>
          <w:tcPr>
            <w:tcW w:w="709" w:type="dxa"/>
          </w:tcPr>
          <w:p>
            <w:pPr>
              <w:pStyle w:val="yTableNAm"/>
            </w:pPr>
            <w:r>
              <w:t>5.</w:t>
            </w:r>
          </w:p>
        </w:tc>
        <w:tc>
          <w:tcPr>
            <w:tcW w:w="2977" w:type="dxa"/>
          </w:tcPr>
          <w:p>
            <w:pPr>
              <w:pStyle w:val="yTableNAm"/>
            </w:pPr>
            <w:r>
              <w:t>Benzidine [92</w:t>
            </w:r>
            <w:r>
              <w:noBreakHyphen/>
              <w:t>87</w:t>
            </w:r>
            <w:r>
              <w:noBreakHyphen/>
              <w:t>5] and its salts, including benzidine dihydrochloride [531</w:t>
            </w:r>
            <w:r>
              <w:noBreakHyphen/>
              <w:t>85</w:t>
            </w:r>
            <w:r>
              <w:noBreakHyphen/>
              <w:t>1]</w:t>
            </w:r>
          </w:p>
        </w:tc>
        <w:tc>
          <w:tcPr>
            <w:tcW w:w="3260" w:type="dxa"/>
          </w:tcPr>
          <w:p>
            <w:pPr>
              <w:pStyle w:val="yTableNAm"/>
            </w:pPr>
            <w:r>
              <w:t>Bona fide research.</w:t>
            </w:r>
          </w:p>
        </w:tc>
      </w:tr>
      <w:tr>
        <w:trPr>
          <w:cantSplit/>
        </w:trPr>
        <w:tc>
          <w:tcPr>
            <w:tcW w:w="709" w:type="dxa"/>
          </w:tcPr>
          <w:p>
            <w:pPr>
              <w:pStyle w:val="yTableNAm"/>
            </w:pPr>
            <w:r>
              <w:lastRenderedPageBreak/>
              <w:t>6.</w:t>
            </w:r>
          </w:p>
        </w:tc>
        <w:tc>
          <w:tcPr>
            <w:tcW w:w="2977" w:type="dxa"/>
          </w:tcPr>
          <w:p>
            <w:pPr>
              <w:pStyle w:val="yTableNAm"/>
            </w:pPr>
            <w:r>
              <w:t>bis(Chloromethyl) ether [542</w:t>
            </w:r>
            <w:r>
              <w:noBreakHyphen/>
              <w:t>88</w:t>
            </w:r>
            <w:r>
              <w:noBreakHyphen/>
              <w:t>1]</w:t>
            </w:r>
          </w:p>
        </w:tc>
        <w:tc>
          <w:tcPr>
            <w:tcW w:w="3260" w:type="dxa"/>
          </w:tcPr>
          <w:p>
            <w:pPr>
              <w:pStyle w:val="yTableNAm"/>
            </w:pPr>
            <w:r>
              <w:t>Bona fide research.</w:t>
            </w:r>
          </w:p>
        </w:tc>
      </w:tr>
      <w:tr>
        <w:trPr>
          <w:cantSplit/>
        </w:trPr>
        <w:tc>
          <w:tcPr>
            <w:tcW w:w="709" w:type="dxa"/>
          </w:tcPr>
          <w:p>
            <w:pPr>
              <w:pStyle w:val="yTableNAm"/>
            </w:pPr>
            <w:r>
              <w:t>7.</w:t>
            </w:r>
          </w:p>
        </w:tc>
        <w:tc>
          <w:tcPr>
            <w:tcW w:w="2977" w:type="dxa"/>
          </w:tcPr>
          <w:p>
            <w:pPr>
              <w:pStyle w:val="yTableNAm"/>
            </w:pPr>
            <w:r>
              <w:t>Chloromethyl methyl ether (technical grade containing bis(chloromethyl) ether) [107</w:t>
            </w:r>
            <w:r>
              <w:noBreakHyphen/>
              <w:t>30</w:t>
            </w:r>
            <w:r>
              <w:noBreakHyphen/>
              <w:t>2]</w:t>
            </w:r>
          </w:p>
        </w:tc>
        <w:tc>
          <w:tcPr>
            <w:tcW w:w="3260" w:type="dxa"/>
          </w:tcPr>
          <w:p>
            <w:pPr>
              <w:pStyle w:val="yTableNAm"/>
            </w:pPr>
            <w:r>
              <w:t>Bona fide research.</w:t>
            </w:r>
          </w:p>
        </w:tc>
      </w:tr>
      <w:tr>
        <w:trPr>
          <w:cantSplit/>
        </w:trPr>
        <w:tc>
          <w:tcPr>
            <w:tcW w:w="709" w:type="dxa"/>
          </w:tcPr>
          <w:p>
            <w:pPr>
              <w:pStyle w:val="yTableNAm"/>
            </w:pPr>
            <w:r>
              <w:t>8.</w:t>
            </w:r>
          </w:p>
        </w:tc>
        <w:tc>
          <w:tcPr>
            <w:tcW w:w="2977" w:type="dxa"/>
          </w:tcPr>
          <w:p>
            <w:pPr>
              <w:pStyle w:val="yTableNAm"/>
            </w:pPr>
            <w:r>
              <w:t>Crocidolite (blue asbestos) [12001</w:t>
            </w:r>
            <w:r>
              <w:noBreakHyphen/>
              <w:t>28</w:t>
            </w:r>
            <w:r>
              <w:noBreakHyphen/>
              <w:t>4]</w:t>
            </w:r>
          </w:p>
        </w:tc>
        <w:tc>
          <w:tcPr>
            <w:tcW w:w="3260" w:type="dxa"/>
          </w:tcPr>
          <w:p>
            <w:pPr>
              <w:pStyle w:val="yTableNAm"/>
              <w:tabs>
                <w:tab w:val="clear" w:pos="567"/>
                <w:tab w:val="left" w:pos="317"/>
              </w:tabs>
              <w:ind w:left="317" w:hanging="317"/>
            </w:pPr>
            <w:r>
              <w:t>1.</w:t>
            </w:r>
            <w:r>
              <w:tab/>
              <w:t>Removal or disposal of crocidolite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crocidolite if the crocidolite is not used in a new application.</w:t>
            </w:r>
          </w:p>
        </w:tc>
      </w:tr>
      <w:tr>
        <w:trPr>
          <w:cantSplit/>
        </w:trPr>
        <w:tc>
          <w:tcPr>
            <w:tcW w:w="709" w:type="dxa"/>
          </w:tcPr>
          <w:p>
            <w:pPr>
              <w:pStyle w:val="yTableNAm"/>
            </w:pPr>
            <w:r>
              <w:t>9.</w:t>
            </w:r>
          </w:p>
        </w:tc>
        <w:tc>
          <w:tcPr>
            <w:tcW w:w="2977" w:type="dxa"/>
          </w:tcPr>
          <w:p>
            <w:pPr>
              <w:pStyle w:val="yTableNAm"/>
            </w:pPr>
            <w:r>
              <w:t>4</w:t>
            </w:r>
            <w:r>
              <w:noBreakHyphen/>
              <w:t>Dimethylaminoazo</w:t>
            </w:r>
            <w:r>
              <w:noBreakHyphen/>
              <w:t>benzene [60</w:t>
            </w:r>
            <w:r>
              <w:noBreakHyphen/>
              <w:t>11</w:t>
            </w:r>
            <w:r>
              <w:noBreakHyphen/>
              <w:t>7]</w:t>
            </w:r>
          </w:p>
        </w:tc>
        <w:tc>
          <w:tcPr>
            <w:tcW w:w="3260" w:type="dxa"/>
          </w:tcPr>
          <w:p>
            <w:pPr>
              <w:pStyle w:val="yTableNAm"/>
            </w:pPr>
            <w:r>
              <w:t>Bona fide research.</w:t>
            </w:r>
          </w:p>
        </w:tc>
      </w:tr>
      <w:tr>
        <w:trPr>
          <w:cantSplit/>
        </w:trPr>
        <w:tc>
          <w:tcPr>
            <w:tcW w:w="709" w:type="dxa"/>
          </w:tcPr>
          <w:p>
            <w:pPr>
              <w:pStyle w:val="yTableNAm"/>
            </w:pPr>
            <w:r>
              <w:t>10.</w:t>
            </w:r>
          </w:p>
        </w:tc>
        <w:tc>
          <w:tcPr>
            <w:tcW w:w="2977" w:type="dxa"/>
          </w:tcPr>
          <w:p>
            <w:pPr>
              <w:pStyle w:val="yTableNAm"/>
            </w:pPr>
            <w:r>
              <w:t>2</w:t>
            </w:r>
            <w:r>
              <w:noBreakHyphen/>
              <w:t>Naphthylamine [91</w:t>
            </w:r>
            <w:r>
              <w:noBreakHyphen/>
              <w:t>59</w:t>
            </w:r>
            <w:r>
              <w:noBreakHyphen/>
              <w:t>8] and its salts</w:t>
            </w:r>
          </w:p>
        </w:tc>
        <w:tc>
          <w:tcPr>
            <w:tcW w:w="3260" w:type="dxa"/>
          </w:tcPr>
          <w:p>
            <w:pPr>
              <w:pStyle w:val="yTableNAm"/>
            </w:pPr>
            <w:r>
              <w:t>Bona fide research.</w:t>
            </w:r>
          </w:p>
        </w:tc>
      </w:tr>
      <w:tr>
        <w:trPr>
          <w:cantSplit/>
        </w:trPr>
        <w:tc>
          <w:tcPr>
            <w:tcW w:w="709" w:type="dxa"/>
          </w:tcPr>
          <w:p>
            <w:pPr>
              <w:pStyle w:val="yTableNAm"/>
            </w:pPr>
            <w:r>
              <w:t>11.</w:t>
            </w:r>
          </w:p>
        </w:tc>
        <w:tc>
          <w:tcPr>
            <w:tcW w:w="2977" w:type="dxa"/>
          </w:tcPr>
          <w:p>
            <w:pPr>
              <w:pStyle w:val="yTableNAm"/>
            </w:pPr>
            <w:r>
              <w:t>4</w:t>
            </w:r>
            <w:r>
              <w:noBreakHyphen/>
              <w:t>Nitrodiphenyl [92</w:t>
            </w:r>
            <w:r>
              <w:noBreakHyphen/>
              <w:t>93</w:t>
            </w:r>
            <w:r>
              <w:noBreakHyphen/>
              <w:t>3]</w:t>
            </w:r>
          </w:p>
        </w:tc>
        <w:tc>
          <w:tcPr>
            <w:tcW w:w="3260" w:type="dxa"/>
          </w:tcPr>
          <w:p>
            <w:pPr>
              <w:pStyle w:val="yTableNAm"/>
            </w:pPr>
            <w:r>
              <w:t>Bona fide research.</w:t>
            </w:r>
          </w:p>
        </w:tc>
      </w:tr>
      <w:tr>
        <w:trPr>
          <w:cantSplit/>
        </w:trPr>
        <w:tc>
          <w:tcPr>
            <w:tcW w:w="709" w:type="dxa"/>
          </w:tcPr>
          <w:p>
            <w:pPr>
              <w:pStyle w:val="yTableNAm"/>
            </w:pPr>
            <w:r>
              <w:t>12.</w:t>
            </w:r>
          </w:p>
        </w:tc>
        <w:tc>
          <w:tcPr>
            <w:tcW w:w="2977" w:type="dxa"/>
          </w:tcPr>
          <w:p>
            <w:pPr>
              <w:pStyle w:val="yTableNAm"/>
            </w:pPr>
            <w:r>
              <w:t>Actinolite asbestos [77536</w:t>
            </w:r>
            <w:r>
              <w:noBreakHyphen/>
              <w:t>66</w:t>
            </w:r>
            <w:r>
              <w:noBreakHyphen/>
              <w:t>4]</w:t>
            </w:r>
          </w:p>
        </w:tc>
        <w:tc>
          <w:tcPr>
            <w:tcW w:w="3260" w:type="dxa"/>
          </w:tcPr>
          <w:p>
            <w:pPr>
              <w:pStyle w:val="yTableNAm"/>
              <w:tabs>
                <w:tab w:val="clear" w:pos="567"/>
                <w:tab w:val="left" w:pos="317"/>
              </w:tabs>
              <w:ind w:left="317" w:hanging="317"/>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actinolite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actinolite that is incidental to operations not related to the extraction or processing of actinolite,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actinolite in products that are in situ.</w:t>
            </w:r>
          </w:p>
        </w:tc>
      </w:tr>
      <w:tr>
        <w:trPr>
          <w:cantSplit/>
        </w:trPr>
        <w:tc>
          <w:tcPr>
            <w:tcW w:w="709" w:type="dxa"/>
          </w:tcPr>
          <w:p>
            <w:pPr>
              <w:pStyle w:val="yTableNAm"/>
            </w:pPr>
            <w:r>
              <w:t>13.</w:t>
            </w:r>
          </w:p>
        </w:tc>
        <w:tc>
          <w:tcPr>
            <w:tcW w:w="2977" w:type="dxa"/>
          </w:tcPr>
          <w:p>
            <w:pPr>
              <w:pStyle w:val="yTableNAm"/>
            </w:pPr>
            <w:r>
              <w:t>Anthophyllite asbestos [77536</w:t>
            </w:r>
            <w:r>
              <w:noBreakHyphen/>
              <w:t>67</w:t>
            </w:r>
            <w:r>
              <w:noBreakHyphen/>
              <w:t>5]</w:t>
            </w:r>
          </w:p>
        </w:tc>
        <w:tc>
          <w:tcPr>
            <w:tcW w:w="3260" w:type="dxa"/>
          </w:tcPr>
          <w:p>
            <w:pPr>
              <w:pStyle w:val="yTableNAm"/>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anthophyllite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anthophyllite in products that are in situ.</w:t>
            </w:r>
          </w:p>
        </w:tc>
      </w:tr>
      <w:tr>
        <w:trPr>
          <w:cantSplit/>
        </w:trPr>
        <w:tc>
          <w:tcPr>
            <w:tcW w:w="709" w:type="dxa"/>
          </w:tcPr>
          <w:p>
            <w:pPr>
              <w:pStyle w:val="yTableNAm"/>
            </w:pPr>
            <w:r>
              <w:t>14.</w:t>
            </w:r>
          </w:p>
        </w:tc>
        <w:tc>
          <w:tcPr>
            <w:tcW w:w="2977" w:type="dxa"/>
          </w:tcPr>
          <w:p>
            <w:pPr>
              <w:pStyle w:val="yTableNAm"/>
            </w:pPr>
            <w:r>
              <w:t>Chrysotile (white asbestos) [12001</w:t>
            </w:r>
            <w:r>
              <w:noBreakHyphen/>
              <w:t>29</w:t>
            </w:r>
            <w:r>
              <w:noBreakHyphen/>
              <w:t>5]</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awaiting disposal of chrysotile.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Removal or disposal of chrysotile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Dealing with naturally occurring chrysotile encountered during mining for a mineral other than any kind of asbestos, or encountered during the recovery of petroleum.</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Removal (without disturbance) of a product containing chrysotile that is in situ at the commencement of these regulations.</w:t>
            </w:r>
          </w:p>
        </w:tc>
      </w:tr>
      <w:tr>
        <w:trPr>
          <w:cantSplit/>
        </w:trPr>
        <w:tc>
          <w:tcPr>
            <w:tcW w:w="709" w:type="dxa"/>
          </w:tcPr>
          <w:p>
            <w:pPr>
              <w:pStyle w:val="yTableNAm"/>
            </w:pPr>
            <w:r>
              <w:t>15.</w:t>
            </w:r>
          </w:p>
        </w:tc>
        <w:tc>
          <w:tcPr>
            <w:tcW w:w="2977" w:type="dxa"/>
          </w:tcPr>
          <w:p>
            <w:pPr>
              <w:pStyle w:val="yTableNAm"/>
            </w:pPr>
            <w:r>
              <w:t>Tremolite asbestos [77536</w:t>
            </w:r>
            <w:r>
              <w:noBreakHyphen/>
              <w:t>68</w:t>
            </w:r>
            <w:r>
              <w:noBreakHyphen/>
              <w:t>6]</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tremolite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tremolite that is incidental to operations not related to the extraction or processing of tremolite, for example, roadworks.</w:t>
            </w:r>
          </w:p>
        </w:tc>
      </w:tr>
      <w:tr>
        <w:trPr>
          <w:cantSplit/>
        </w:trPr>
        <w:tc>
          <w:tcPr>
            <w:tcW w:w="3686" w:type="dxa"/>
            <w:gridSpan w:val="2"/>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6.</w:t>
            </w:r>
            <w:r>
              <w:tab/>
              <w:t>Use (without disturbance) of tremolite in products that are in situ.</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90" w:name="_Toc97289515"/>
      <w:bookmarkStart w:id="91" w:name="_Toc97289707"/>
      <w:bookmarkStart w:id="92" w:name="_Toc97625275"/>
      <w:r>
        <w:lastRenderedPageBreak/>
        <w:t>Notes</w:t>
      </w:r>
      <w:bookmarkEnd w:id="90"/>
      <w:bookmarkEnd w:id="91"/>
      <w:bookmarkEnd w:id="92"/>
    </w:p>
    <w:p>
      <w:pPr>
        <w:pStyle w:val="nStatement"/>
      </w:pPr>
      <w:r>
        <w:t xml:space="preserve">This is a compilation of the </w:t>
      </w:r>
      <w:r>
        <w:rPr>
          <w:i/>
          <w:noProof/>
        </w:rPr>
        <w:t>Petroleum and Geothermal Energy Resources (Occupational Safety and Health) Regulations 2010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3" w:name="_Toc97625276"/>
      <w:r>
        <w:t>Compilation table</w:t>
      </w:r>
      <w:bookmarkEnd w:id="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and Geothermal Energy Resources (Occupational Safety and Health) Regulations 2010</w:t>
            </w:r>
          </w:p>
        </w:tc>
        <w:tc>
          <w:tcPr>
            <w:tcW w:w="1276" w:type="dxa"/>
            <w:tcBorders>
              <w:bottom w:val="nil"/>
            </w:tcBorders>
          </w:tcPr>
          <w:p>
            <w:pPr>
              <w:pStyle w:val="nTable"/>
              <w:spacing w:after="40"/>
            </w:pPr>
            <w:r>
              <w:t>14 May 2010 p. 1835</w:t>
            </w:r>
            <w:r>
              <w:noBreakHyphen/>
              <w:t>81</w:t>
            </w:r>
          </w:p>
        </w:tc>
        <w:tc>
          <w:tcPr>
            <w:tcW w:w="2693" w:type="dxa"/>
            <w:tcBorders>
              <w:bottom w:val="nil"/>
            </w:tcBorders>
          </w:tcPr>
          <w:p>
            <w:pPr>
              <w:pStyle w:val="nTable"/>
              <w:spacing w:after="40"/>
            </w:pPr>
            <w:r>
              <w:t>r. 1 and 2:  14 May 2010 (see r. 2(a));</w:t>
            </w:r>
            <w:r>
              <w:br/>
              <w:t>Regulations other than r. 1 and 2: 15 May 2010 (see r. 2(b) and </w:t>
            </w:r>
            <w:r>
              <w:rPr>
                <w:i/>
              </w:rPr>
              <w:t>Gazette</w:t>
            </w:r>
            <w:r>
              <w:t xml:space="preserve"> 14 May 2010 p. 2015)</w:t>
            </w:r>
          </w:p>
        </w:tc>
      </w:tr>
      <w:tr>
        <w:tc>
          <w:tcPr>
            <w:tcW w:w="3118" w:type="dxa"/>
            <w:tcBorders>
              <w:top w:val="nil"/>
              <w:bottom w:val="single" w:sz="4" w:space="0" w:color="auto"/>
            </w:tcBorders>
          </w:tcPr>
          <w:p>
            <w:pPr>
              <w:pStyle w:val="nTable"/>
              <w:spacing w:after="40"/>
              <w:rPr>
                <w:i/>
              </w:rPr>
            </w:pPr>
            <w:r>
              <w:rPr>
                <w:i/>
              </w:rPr>
              <w:t xml:space="preserve">Mines and Petroleum Regulations Amendment (Public Health) Regulations 2016 </w:t>
            </w:r>
            <w:r>
              <w:t xml:space="preserve">Pt. 6 </w:t>
            </w:r>
          </w:p>
        </w:tc>
        <w:tc>
          <w:tcPr>
            <w:tcW w:w="1276" w:type="dxa"/>
            <w:tcBorders>
              <w:top w:val="nil"/>
              <w:bottom w:val="single" w:sz="4" w:space="0" w:color="auto"/>
            </w:tcBorders>
          </w:tcPr>
          <w:p>
            <w:pPr>
              <w:pStyle w:val="nTable"/>
              <w:spacing w:after="40"/>
            </w:pPr>
            <w:r>
              <w:t>10 Jan 2017 p. 213-20</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Heading3"/>
      </w:pPr>
      <w:bookmarkStart w:id="94" w:name="_Toc97625277"/>
      <w:r>
        <w:t>Uncommenced provisions table</w:t>
      </w:r>
      <w:bookmarkEnd w:id="9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Work Health and Safety Act 2020</w:t>
            </w:r>
            <w:r>
              <w:t xml:space="preserve"> s. 345(2) assented to 10 Nov 2020</w:t>
            </w:r>
          </w:p>
        </w:tc>
        <w:tc>
          <w:tcPr>
            <w:tcW w:w="2693" w:type="dxa"/>
          </w:tcPr>
          <w:p>
            <w:pPr>
              <w:pStyle w:val="nTable"/>
              <w:spacing w:after="40"/>
            </w:pPr>
            <w:r>
              <w:rPr>
                <w:snapToGrid w:val="0"/>
              </w:rPr>
              <w:t xml:space="preserve">31 Mar 2022 (see s. 2(1)(c) </w:t>
            </w:r>
            <w:r>
              <w:t>and SL 2022/18 cl. 2</w:t>
            </w:r>
            <w:r>
              <w:rPr>
                <w:snapToGrid w:val="0"/>
              </w:rPr>
              <w:t>)</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96" w:name="_Toc97289518"/>
      <w:bookmarkStart w:id="97" w:name="_Toc97289710"/>
      <w:bookmarkStart w:id="98" w:name="_Toc97625278"/>
      <w:r>
        <w:rPr>
          <w:sz w:val="28"/>
        </w:rPr>
        <w:lastRenderedPageBreak/>
        <w:t>Defined terms</w:t>
      </w:r>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exposure standard</w:t>
      </w:r>
      <w:r>
        <w:tab/>
        <w:t>32(1)</w:t>
      </w:r>
    </w:p>
    <w:p>
      <w:pPr>
        <w:pStyle w:val="DefinedTerms"/>
      </w:pPr>
      <w:r>
        <w:t>bona fide research</w:t>
      </w:r>
      <w:r>
        <w:tab/>
        <w:t>Sch. 2</w:t>
      </w:r>
    </w:p>
    <w:p>
      <w:pPr>
        <w:pStyle w:val="DefinedTerms"/>
      </w:pPr>
      <w:r>
        <w:t>controlled substance</w:t>
      </w:r>
      <w:r>
        <w:tab/>
        <w:t>29(1)</w:t>
      </w:r>
    </w:p>
    <w:p>
      <w:pPr>
        <w:pStyle w:val="DefinedTerms"/>
      </w:pPr>
      <w:r>
        <w:t>election</w:t>
      </w:r>
      <w:r>
        <w:tab/>
        <w:t>3</w:t>
      </w:r>
    </w:p>
    <w:p>
      <w:pPr>
        <w:pStyle w:val="DefinedTerms"/>
      </w:pPr>
      <w:r>
        <w:t>hazardous substance</w:t>
      </w:r>
      <w:r>
        <w:tab/>
        <w:t>32(1)</w:t>
      </w:r>
    </w:p>
    <w:p>
      <w:pPr>
        <w:pStyle w:val="DefinedTerms"/>
      </w:pPr>
      <w:r>
        <w:t>in situ</w:t>
      </w:r>
      <w:r>
        <w:tab/>
        <w:t>Sch. 2</w:t>
      </w:r>
    </w:p>
    <w:p>
      <w:pPr>
        <w:pStyle w:val="DefinedTerms"/>
      </w:pPr>
      <w:r>
        <w:t>intoxicant</w:t>
      </w:r>
      <w:r>
        <w:tab/>
        <w:t>29(1)</w:t>
      </w:r>
    </w:p>
    <w:p>
      <w:pPr>
        <w:pStyle w:val="DefinedTerms"/>
      </w:pPr>
      <w:r>
        <w:t>noise exposure standard</w:t>
      </w:r>
      <w:r>
        <w:tab/>
        <w:t>33(1)</w:t>
      </w:r>
    </w:p>
    <w:p>
      <w:pPr>
        <w:pStyle w:val="DefinedTerms"/>
      </w:pPr>
      <w:r>
        <w:t>person 2</w:t>
      </w:r>
      <w:r>
        <w:tab/>
        <w:t>38(3)</w:t>
      </w:r>
    </w:p>
    <w:p>
      <w:pPr>
        <w:pStyle w:val="DefinedTerms"/>
      </w:pPr>
      <w:r>
        <w:t>qualified</w:t>
      </w:r>
      <w:r>
        <w:tab/>
        <w:t>29(1)</w:t>
      </w:r>
    </w:p>
    <w:p>
      <w:pPr>
        <w:pStyle w:val="DefinedTerms"/>
      </w:pPr>
      <w:r>
        <w:t>responsible person</w:t>
      </w:r>
      <w:r>
        <w:tab/>
        <w:t>3</w:t>
      </w:r>
    </w:p>
    <w:p>
      <w:pPr>
        <w:pStyle w:val="DefinedTerms"/>
      </w:pPr>
      <w:r>
        <w:t>returning officer</w:t>
      </w:r>
      <w:r>
        <w:tab/>
        <w:t>3</w:t>
      </w:r>
    </w:p>
    <w:p>
      <w:pPr>
        <w:pStyle w:val="DefinedTerms"/>
      </w:pPr>
      <w:r>
        <w:t>safety and health representative</w:t>
      </w:r>
      <w:r>
        <w:tab/>
        <w:t>3</w:t>
      </w:r>
    </w:p>
    <w:p>
      <w:pPr>
        <w:pStyle w:val="DefinedTerms"/>
      </w:pPr>
      <w:r>
        <w:t>Schedule 1</w:t>
      </w:r>
      <w:r>
        <w:tab/>
        <w:t>3</w:t>
      </w:r>
    </w:p>
    <w:p>
      <w:pPr>
        <w:pStyle w:val="DefinedTerms"/>
      </w:pPr>
      <w:r>
        <w:t>therapeutic use</w:t>
      </w:r>
      <w:r>
        <w:tab/>
        <w:t>29(1)</w:t>
      </w:r>
    </w:p>
    <w:p>
      <w:pPr>
        <w:pStyle w:val="DefinedTerms"/>
      </w:pPr>
      <w:r>
        <w:t>voter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25"/>
  </w:num>
  <w:num w:numId="14">
    <w:abstractNumId w:val="28"/>
  </w:num>
  <w:num w:numId="15">
    <w:abstractNumId w:val="21"/>
  </w:num>
  <w:num w:numId="16">
    <w:abstractNumId w:val="23"/>
  </w:num>
  <w:num w:numId="17">
    <w:abstractNumId w:val="19"/>
  </w:num>
  <w:num w:numId="18">
    <w:abstractNumId w:val="15"/>
  </w:num>
  <w:num w:numId="19">
    <w:abstractNumId w:val="17"/>
  </w:num>
  <w:num w:numId="2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20304121547"/>
    <w:docVar w:name="WAFER_20140109160648" w:val="RemoveTocBookmarks,RemoveUnusedBookmarks,RemoveLanguageTags,UsedStyles,ResetPageSize,UpdateArrangement"/>
    <w:docVar w:name="WAFER_20140109160648_GUID" w:val="2c1301b0-a5ad-46e3-96eb-2c9106085c2a"/>
    <w:docVar w:name="WAFER_20140109161442" w:val="RemoveTocBookmarks,RunningHeaders"/>
    <w:docVar w:name="WAFER_20140109161442_GUID" w:val="bbd03467-02b7-46fc-a7d2-7ec31f58dde2"/>
    <w:docVar w:name="WAFER_20150709161136" w:val="ResetPageSize,UpdateArrangement,UpdateNTable"/>
    <w:docVar w:name="WAFER_20150709161136_GUID" w:val="0ba825ad-ba34-43ed-b94f-fd9af20cf2b5"/>
    <w:docVar w:name="WAFER_20151109113848" w:val="UpdateStyles,UsedStyles"/>
    <w:docVar w:name="WAFER_20151109113848_GUID" w:val="b0b37f4a-035e-440f-9235-7a56a6024adc"/>
    <w:docVar w:name="WAFER_20170111155659" w:val="RemoveTocBookmarks,RemoveUnusedBookmarks,RemoveLanguageTags,UsedStyles,ResetPageSize"/>
    <w:docVar w:name="WAFER_20170111155659_GUID" w:val="2c0c0bdb-8b9f-4c4a-b7f5-5166fe1e048b"/>
    <w:docVar w:name="WAFER_202011101048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4827_GUID" w:val="c8e0f4dc-fccb-43a8-9c1b-106ab77b7ce3"/>
    <w:docVar w:name="WAFER_202203041215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1547_GUID" w:val="e936031c-17ca-4874-8be1-1b4d64292c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B15C764-46F7-490E-A84E-CA3B3397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955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721EC-E9A2-4151-9EDF-87A96B80C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8690</Words>
  <Characters>42847</Characters>
  <Application>Microsoft Office Word</Application>
  <DocSecurity>0</DocSecurity>
  <Lines>1338</Lines>
  <Paragraphs>769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(Occupational Safety and Health) Regulations 2010 - 00-d0-01</dc:title>
  <dc:subject/>
  <dc:creator/>
  <cp:keywords/>
  <dc:description/>
  <cp:lastModifiedBy>Master Repository Process</cp:lastModifiedBy>
  <cp:revision>4</cp:revision>
  <cp:lastPrinted>2010-05-13T05:05:00Z</cp:lastPrinted>
  <dcterms:created xsi:type="dcterms:W3CDTF">2022-03-11T06:39:00Z</dcterms:created>
  <dcterms:modified xsi:type="dcterms:W3CDTF">2022-03-11T06:39:00Z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1835-81</vt:lpwstr>
  </property>
  <property fmtid="{D5CDD505-2E9C-101B-9397-08002B2CF9AE}" pid="3" name="DocumentType">
    <vt:lpwstr>Reg</vt:lpwstr>
  </property>
  <property fmtid="{D5CDD505-2E9C-101B-9397-08002B2CF9AE}" pid="4" name="OwlsUID">
    <vt:i4>40756</vt:i4>
  </property>
  <property fmtid="{D5CDD505-2E9C-101B-9397-08002B2CF9AE}" pid="5" name="CommencementDate">
    <vt:lpwstr>20201110</vt:lpwstr>
  </property>
  <property fmtid="{D5CDD505-2E9C-101B-9397-08002B2CF9AE}" pid="6" name="AsAtDate">
    <vt:lpwstr>10 Nov 2020</vt:lpwstr>
  </property>
  <property fmtid="{D5CDD505-2E9C-101B-9397-08002B2CF9AE}" pid="7" name="Suffix">
    <vt:lpwstr>00-d0-01</vt:lpwstr>
  </property>
</Properties>
</file>