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C22" w:rsidRDefault="007C26CC">
      <w:pPr>
        <w:pStyle w:val="WA"/>
      </w:pPr>
      <w:bookmarkStart w:id="0" w:name="_GoBack"/>
      <w:bookmarkEnd w:id="0"/>
      <w:r>
        <w:rPr>
          <w:noProof/>
          <w:lang w:val="en-US" w:eastAsia="en-US"/>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66C22" w:rsidRDefault="007C26CC">
      <w:pPr>
        <w:pStyle w:val="NameofActRegPage1"/>
        <w:spacing w:before="3760" w:after="4200"/>
        <w:outlineLvl w:val="0"/>
      </w:pPr>
      <w:r>
        <w:fldChar w:fldCharType="begin"/>
      </w:r>
      <w:r>
        <w:instrText xml:space="preserve"> STYLEREF "Name Of Act/Reg"</w:instrText>
      </w:r>
      <w:r>
        <w:fldChar w:fldCharType="separate"/>
      </w:r>
      <w:r w:rsidR="003E1FF7">
        <w:rPr>
          <w:noProof/>
        </w:rPr>
        <w:t>Mutual Recognition (Western Australia) Act 2020</w:t>
      </w:r>
      <w:r>
        <w:fldChar w:fldCharType="end"/>
      </w:r>
    </w:p>
    <w:p w:rsidR="00B66C22" w:rsidRDefault="00B66C22">
      <w:pPr>
        <w:jc w:val="center"/>
        <w:sectPr w:rsidR="00B66C2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66C22" w:rsidRDefault="007C26CC">
      <w:pPr>
        <w:pStyle w:val="WA"/>
        <w:outlineLvl w:val="0"/>
      </w:pPr>
      <w:r>
        <w:lastRenderedPageBreak/>
        <w:t>Western Australia</w:t>
      </w:r>
    </w:p>
    <w:p w:rsidR="00B66C22" w:rsidRDefault="007C26CC">
      <w:pPr>
        <w:pStyle w:val="NameofActRegPage1"/>
      </w:pPr>
      <w:r>
        <w:fldChar w:fldCharType="begin"/>
      </w:r>
      <w:r>
        <w:instrText xml:space="preserve"> STYLEREF "Name Of Act/Reg"</w:instrText>
      </w:r>
      <w:r>
        <w:fldChar w:fldCharType="separate"/>
      </w:r>
      <w:r w:rsidR="003E1FF7">
        <w:rPr>
          <w:noProof/>
        </w:rPr>
        <w:t>Mutual Recognition (Western Australia) Act 2020</w:t>
      </w:r>
      <w:r>
        <w:fldChar w:fldCharType="end"/>
      </w:r>
    </w:p>
    <w:p w:rsidR="00B66C22" w:rsidRDefault="007C26CC">
      <w:pPr>
        <w:pStyle w:val="Arrangement"/>
      </w:pPr>
      <w:r>
        <w:t>Contents</w:t>
      </w:r>
    </w:p>
    <w:p w:rsidR="00B66C22" w:rsidRDefault="007C26CC">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_Toc57708249 \h </w:instrText>
      </w:r>
      <w:r>
        <w:fldChar w:fldCharType="separate"/>
      </w:r>
      <w:r w:rsidR="003E1FF7">
        <w:t>2</w:t>
      </w:r>
      <w:r>
        <w:fldChar w:fldCharType="end"/>
      </w:r>
    </w:p>
    <w:p w:rsidR="00B66C22" w:rsidRDefault="007C26CC">
      <w:pPr>
        <w:pStyle w:val="TOC8"/>
        <w:rPr>
          <w:rFonts w:asciiTheme="minorHAnsi" w:eastAsiaTheme="minorEastAsia" w:hAnsiTheme="minorHAnsi" w:cstheme="minorBidi"/>
          <w:szCs w:val="22"/>
        </w:rPr>
      </w:pPr>
      <w:r>
        <w:t>2.</w:t>
      </w:r>
      <w:r>
        <w:tab/>
        <w:t>Commencement</w:t>
      </w:r>
      <w:r>
        <w:tab/>
      </w:r>
      <w:r>
        <w:fldChar w:fldCharType="begin"/>
      </w:r>
      <w:r>
        <w:instrText xml:space="preserve"> PAGEREF _Toc57708250 \h </w:instrText>
      </w:r>
      <w:r>
        <w:fldChar w:fldCharType="separate"/>
      </w:r>
      <w:r w:rsidR="003E1FF7">
        <w:t>2</w:t>
      </w:r>
      <w:r>
        <w:fldChar w:fldCharType="end"/>
      </w:r>
    </w:p>
    <w:p w:rsidR="00B66C22" w:rsidRDefault="007C26CC">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_Toc57708251 \h </w:instrText>
      </w:r>
      <w:r>
        <w:fldChar w:fldCharType="separate"/>
      </w:r>
      <w:r w:rsidR="003E1FF7">
        <w:t>2</w:t>
      </w:r>
      <w:r>
        <w:fldChar w:fldCharType="end"/>
      </w:r>
    </w:p>
    <w:p w:rsidR="00B66C22" w:rsidRDefault="007C26CC">
      <w:pPr>
        <w:pStyle w:val="TOC8"/>
        <w:rPr>
          <w:rFonts w:asciiTheme="minorHAnsi" w:eastAsiaTheme="minorEastAsia" w:hAnsiTheme="minorHAnsi" w:cstheme="minorBidi"/>
          <w:szCs w:val="22"/>
        </w:rPr>
      </w:pPr>
      <w:r>
        <w:t>4.</w:t>
      </w:r>
      <w:r>
        <w:tab/>
        <w:t>Adoption of Commonwealth Act</w:t>
      </w:r>
      <w:r>
        <w:tab/>
      </w:r>
      <w:r>
        <w:fldChar w:fldCharType="begin"/>
      </w:r>
      <w:r>
        <w:instrText xml:space="preserve"> PAGEREF _Toc57708252 \h </w:instrText>
      </w:r>
      <w:r>
        <w:fldChar w:fldCharType="separate"/>
      </w:r>
      <w:r w:rsidR="003E1FF7">
        <w:t>2</w:t>
      </w:r>
      <w:r>
        <w:fldChar w:fldCharType="end"/>
      </w:r>
    </w:p>
    <w:p w:rsidR="00B66C22" w:rsidRDefault="007C26CC">
      <w:pPr>
        <w:pStyle w:val="TOC8"/>
        <w:rPr>
          <w:rFonts w:asciiTheme="minorHAnsi" w:eastAsiaTheme="minorEastAsia" w:hAnsiTheme="minorHAnsi" w:cstheme="minorBidi"/>
          <w:szCs w:val="22"/>
        </w:rPr>
      </w:pPr>
      <w:r>
        <w:t>5.</w:t>
      </w:r>
      <w:r>
        <w:tab/>
        <w:t>Regulations for temporary exemption for goods or laws</w:t>
      </w:r>
      <w:r>
        <w:tab/>
      </w:r>
      <w:r>
        <w:fldChar w:fldCharType="begin"/>
      </w:r>
      <w:r>
        <w:instrText xml:space="preserve"> PAGEREF _Toc57708253 \h </w:instrText>
      </w:r>
      <w:r>
        <w:fldChar w:fldCharType="separate"/>
      </w:r>
      <w:r w:rsidR="003E1FF7">
        <w:t>3</w:t>
      </w:r>
      <w:r>
        <w:fldChar w:fldCharType="end"/>
      </w:r>
    </w:p>
    <w:p w:rsidR="00B66C22" w:rsidRDefault="007C26CC">
      <w:pPr>
        <w:pStyle w:val="TOC8"/>
        <w:rPr>
          <w:rFonts w:asciiTheme="minorHAnsi" w:eastAsiaTheme="minorEastAsia" w:hAnsiTheme="minorHAnsi" w:cstheme="minorBidi"/>
          <w:szCs w:val="22"/>
        </w:rPr>
      </w:pPr>
      <w:r>
        <w:t>6.</w:t>
      </w:r>
      <w:r>
        <w:tab/>
        <w:t>Termination of adoption</w:t>
      </w:r>
      <w:r>
        <w:tab/>
      </w:r>
      <w:r>
        <w:fldChar w:fldCharType="begin"/>
      </w:r>
      <w:r>
        <w:instrText xml:space="preserve"> PAGEREF _Toc57708254 \h </w:instrText>
      </w:r>
      <w:r>
        <w:fldChar w:fldCharType="separate"/>
      </w:r>
      <w:r w:rsidR="003E1FF7">
        <w:t>3</w:t>
      </w:r>
      <w:r>
        <w:fldChar w:fldCharType="end"/>
      </w:r>
    </w:p>
    <w:p w:rsidR="00B66C22" w:rsidRDefault="007C26CC">
      <w:pPr>
        <w:pStyle w:val="TOC2"/>
        <w:tabs>
          <w:tab w:val="right" w:leader="dot" w:pos="7077"/>
        </w:tabs>
        <w:rPr>
          <w:rFonts w:asciiTheme="minorHAnsi" w:eastAsiaTheme="minorEastAsia" w:hAnsiTheme="minorHAnsi" w:cstheme="minorBidi"/>
          <w:b w:val="0"/>
          <w:sz w:val="22"/>
          <w:szCs w:val="22"/>
        </w:rPr>
      </w:pPr>
      <w:r>
        <w:t>Defined terms</w:t>
      </w:r>
    </w:p>
    <w:p w:rsidR="00B66C22" w:rsidRDefault="007C26C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66C22" w:rsidRDefault="00B66C22">
      <w:pPr>
        <w:pStyle w:val="NoteHeading"/>
        <w:sectPr w:rsidR="00B66C2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66C22" w:rsidRDefault="007C26CC">
      <w:pPr>
        <w:pStyle w:val="WA"/>
        <w:suppressLineNumbers/>
        <w:spacing w:after="480"/>
        <w:outlineLvl w:val="0"/>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B66C22" w:rsidRDefault="007C26CC">
      <w:pPr>
        <w:pStyle w:val="NameofActReg"/>
        <w:suppressLineNumbers/>
      </w:pPr>
      <w:r>
        <w:t>Mutual Recognition (Western Australia) Act 2020</w:t>
      </w:r>
    </w:p>
    <w:p w:rsidR="00B66C22" w:rsidRDefault="007C26CC">
      <w:pPr>
        <w:pStyle w:val="ABillFor"/>
        <w:pBdr>
          <w:top w:val="single" w:sz="4" w:space="6" w:color="auto"/>
          <w:bottom w:val="single" w:sz="4" w:space="6" w:color="auto"/>
        </w:pBdr>
        <w:spacing w:before="0" w:after="240"/>
        <w:ind w:left="2551" w:right="2551"/>
      </w:pPr>
      <w:bookmarkStart w:id="3" w:name="BillCited"/>
      <w:bookmarkEnd w:id="3"/>
      <w:r>
        <w:t>No. 44 of 2020</w:t>
      </w:r>
    </w:p>
    <w:p w:rsidR="00B66C22" w:rsidRDefault="007C26CC">
      <w:pPr>
        <w:pStyle w:val="LongTitle"/>
        <w:suppressLineNumbers/>
      </w:pPr>
      <w:r>
        <w:t xml:space="preserve">An Act to continue the adoption of the </w:t>
      </w:r>
      <w:r>
        <w:rPr>
          <w:i/>
        </w:rPr>
        <w:t>Mutual Recognition Act 1992</w:t>
      </w:r>
      <w: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rsidR="00B66C22" w:rsidRDefault="007C26CC">
      <w:pPr>
        <w:pStyle w:val="AssentNote"/>
      </w:pPr>
      <w:r>
        <w:t>[Assented to 30 November 2020]</w:t>
      </w:r>
    </w:p>
    <w:p w:rsidR="00B66C22" w:rsidRDefault="007C26CC">
      <w:pPr>
        <w:pStyle w:val="Enactment"/>
      </w:pPr>
      <w:r>
        <w:t>The Parliament of Western Australia enacts as follows:</w:t>
      </w:r>
    </w:p>
    <w:p w:rsidR="00B66C22" w:rsidRDefault="00B66C22">
      <w:pPr>
        <w:sectPr w:rsidR="00B66C22">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B66C22" w:rsidRDefault="007C26CC" w:rsidP="007C26CC">
      <w:pPr>
        <w:pStyle w:val="Heading5"/>
        <w:spacing w:before="120"/>
      </w:pPr>
      <w:bookmarkStart w:id="4" w:name="_Toc57708249"/>
      <w:r>
        <w:rPr>
          <w:rStyle w:val="CharSectno"/>
        </w:rPr>
        <w:lastRenderedPageBreak/>
        <w:t>1</w:t>
      </w:r>
      <w:r>
        <w:t>.</w:t>
      </w:r>
      <w:r>
        <w:tab/>
        <w:t>Short title</w:t>
      </w:r>
      <w:bookmarkEnd w:id="4"/>
    </w:p>
    <w:p w:rsidR="00B66C22" w:rsidRDefault="007C26CC">
      <w:pPr>
        <w:pStyle w:val="Subsection"/>
      </w:pPr>
      <w:r>
        <w:tab/>
      </w:r>
      <w:r>
        <w:tab/>
        <w:t>This is the</w:t>
      </w:r>
      <w:r>
        <w:rPr>
          <w:i/>
        </w:rPr>
        <w:t xml:space="preserve"> Mutual Recognition (Western Australia) Act 2020</w:t>
      </w:r>
      <w:r>
        <w:t>.</w:t>
      </w:r>
    </w:p>
    <w:p w:rsidR="00B66C22" w:rsidRDefault="007C26CC">
      <w:pPr>
        <w:pStyle w:val="Heading5"/>
      </w:pPr>
      <w:bookmarkStart w:id="5" w:name="_Toc57708250"/>
      <w:r>
        <w:rPr>
          <w:rStyle w:val="CharSectno"/>
        </w:rPr>
        <w:t>2</w:t>
      </w:r>
      <w:r>
        <w:t>.</w:t>
      </w:r>
      <w:r>
        <w:tab/>
        <w:t>Commencement</w:t>
      </w:r>
      <w:bookmarkEnd w:id="5"/>
    </w:p>
    <w:p w:rsidR="00B66C22" w:rsidRDefault="007C26CC">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B66C22" w:rsidRDefault="007C26CC">
      <w:pPr>
        <w:pStyle w:val="Indenta"/>
      </w:pPr>
      <w:r>
        <w:tab/>
        <w:t>(a)</w:t>
      </w:r>
      <w:r>
        <w:tab/>
        <w:t>sections 1 and 2 — on the day on which this Act receives the Royal Assent;</w:t>
      </w:r>
    </w:p>
    <w:p w:rsidR="00B66C22" w:rsidRDefault="007C26CC">
      <w:pPr>
        <w:pStyle w:val="Indenta"/>
      </w:pPr>
      <w:r>
        <w:tab/>
        <w:t>(b)</w:t>
      </w:r>
      <w:r>
        <w:tab/>
        <w:t>the rest of the Act — on 1 March 2021.</w:t>
      </w:r>
    </w:p>
    <w:p w:rsidR="00B66C22" w:rsidRDefault="007C26CC">
      <w:pPr>
        <w:pStyle w:val="Heading5"/>
        <w:rPr>
          <w:snapToGrid w:val="0"/>
        </w:rPr>
      </w:pPr>
      <w:bookmarkStart w:id="6" w:name="_Toc57708251"/>
      <w:r>
        <w:rPr>
          <w:rStyle w:val="CharSectno"/>
        </w:rPr>
        <w:t>3</w:t>
      </w:r>
      <w:r>
        <w:rPr>
          <w:snapToGrid w:val="0"/>
        </w:rPr>
        <w:t>.</w:t>
      </w:r>
      <w:r>
        <w:rPr>
          <w:snapToGrid w:val="0"/>
        </w:rPr>
        <w:tab/>
        <w:t>Terms used</w:t>
      </w:r>
      <w:bookmarkEnd w:id="6"/>
    </w:p>
    <w:p w:rsidR="00B66C22" w:rsidRDefault="007C26CC">
      <w:pPr>
        <w:pStyle w:val="Subsection"/>
      </w:pPr>
      <w:r>
        <w:tab/>
      </w:r>
      <w:r>
        <w:tab/>
        <w:t xml:space="preserve">In this Act — </w:t>
      </w:r>
    </w:p>
    <w:p w:rsidR="00B66C22" w:rsidRDefault="007C26CC">
      <w:pPr>
        <w:pStyle w:val="Defstart"/>
      </w:pPr>
      <w:r>
        <w:tab/>
      </w:r>
      <w:r>
        <w:rPr>
          <w:rStyle w:val="CharDefText"/>
        </w:rPr>
        <w:t>adopt</w:t>
      </w:r>
      <w:r>
        <w:t xml:space="preserve"> has the same meaning as in the Constitution of the Commonwealth section 51(xxxvii);</w:t>
      </w:r>
    </w:p>
    <w:p w:rsidR="00B66C22" w:rsidRDefault="007C26CC">
      <w:pPr>
        <w:pStyle w:val="Defstart"/>
      </w:pPr>
      <w:r>
        <w:tab/>
      </w:r>
      <w:r>
        <w:rPr>
          <w:rStyle w:val="CharDefText"/>
        </w:rPr>
        <w:t>Commonwealth Act</w:t>
      </w:r>
      <w:r>
        <w:t xml:space="preserve"> means the </w:t>
      </w:r>
      <w:r>
        <w:rPr>
          <w:i/>
        </w:rPr>
        <w:t>Mutual Recognition Act 1992</w:t>
      </w:r>
      <w:r>
        <w:t xml:space="preserve"> (Commonwealth).</w:t>
      </w:r>
    </w:p>
    <w:p w:rsidR="00B66C22" w:rsidRDefault="007C26CC">
      <w:pPr>
        <w:pStyle w:val="Heading5"/>
      </w:pPr>
      <w:bookmarkStart w:id="7" w:name="_Toc57708252"/>
      <w:r>
        <w:rPr>
          <w:rStyle w:val="CharSectno"/>
        </w:rPr>
        <w:t>4</w:t>
      </w:r>
      <w:r>
        <w:t>.</w:t>
      </w:r>
      <w:r>
        <w:tab/>
        <w:t>Adoption of Commonwealth Act</w:t>
      </w:r>
      <w:bookmarkEnd w:id="7"/>
    </w:p>
    <w:p w:rsidR="00B66C22" w:rsidRDefault="007C26CC">
      <w:pPr>
        <w:pStyle w:val="Subsection"/>
      </w:pPr>
      <w:r>
        <w:tab/>
        <w:t>(1)</w:t>
      </w:r>
      <w:r>
        <w:tab/>
        <w:t>The State of Western Australia adopts the Commonwealth Act as originally enacted and any amendments made to it before this Act receives the Royal Assent.</w:t>
      </w:r>
    </w:p>
    <w:p w:rsidR="00B66C22" w:rsidRDefault="007C26CC">
      <w:pPr>
        <w:pStyle w:val="Subsection"/>
      </w:pPr>
      <w:r>
        <w:tab/>
        <w:t>(2)</w:t>
      </w:r>
      <w:r>
        <w:tab/>
        <w:t>The adoption of the Commonwealth Act under this Act does not operate so as to give effect to any adopted provision before that provision commences as a law of the Commonwealth.</w:t>
      </w:r>
    </w:p>
    <w:p w:rsidR="00B66C22" w:rsidRDefault="007C26CC">
      <w:pPr>
        <w:pStyle w:val="Subsection"/>
      </w:pPr>
      <w:r>
        <w:tab/>
        <w:t>(3)</w:t>
      </w:r>
      <w:r>
        <w:tab/>
        <w:t>To avoid doubt, it is the intention of the Parliament of the State that a Schedule to the Commonwealth Act as adopted under this Act may be amended from time to time by regulations made under the Commonwealth Act.</w:t>
      </w:r>
    </w:p>
    <w:p w:rsidR="00B66C22" w:rsidRDefault="007C26CC">
      <w:pPr>
        <w:pStyle w:val="Subsection"/>
      </w:pPr>
      <w:r>
        <w:tab/>
        <w:t>(4)</w:t>
      </w:r>
      <w:r>
        <w:tab/>
        <w:t xml:space="preserve">The Minister is to cause a copy of any regulations referred to in subsection (3) to be laid before each House of Parliament within 14 sitting days of that House after the registration of the regulations in the Federal Register of Legislation maintained under the </w:t>
      </w:r>
      <w:r>
        <w:rPr>
          <w:i/>
        </w:rPr>
        <w:t>Legislation Act 2003</w:t>
      </w:r>
      <w:r>
        <w:t xml:space="preserve"> (Commonwealth).</w:t>
      </w:r>
    </w:p>
    <w:p w:rsidR="00B66C22" w:rsidRDefault="007C26CC">
      <w:pPr>
        <w:pStyle w:val="Heading5"/>
      </w:pPr>
      <w:bookmarkStart w:id="8" w:name="_Toc57708253"/>
      <w:r>
        <w:rPr>
          <w:rStyle w:val="CharSectno"/>
        </w:rPr>
        <w:t>5</w:t>
      </w:r>
      <w:r>
        <w:t>.</w:t>
      </w:r>
      <w:r>
        <w:tab/>
        <w:t>Regulations for temporary exemption for goods or laws</w:t>
      </w:r>
      <w:bookmarkEnd w:id="8"/>
    </w:p>
    <w:p w:rsidR="00B66C22" w:rsidRDefault="007C26CC">
      <w:pPr>
        <w:pStyle w:val="Subsection"/>
      </w:pPr>
      <w:r>
        <w:tab/>
      </w:r>
      <w:r>
        <w:tab/>
        <w:t>Without limiting any other power to make regulations under any other Act, the Governor may make regulations for the purposes mentioned in the Commonwealth Act section 15 as adopted under this Act.</w:t>
      </w:r>
    </w:p>
    <w:p w:rsidR="00B66C22" w:rsidRDefault="007C26CC">
      <w:pPr>
        <w:pStyle w:val="Heading5"/>
      </w:pPr>
      <w:bookmarkStart w:id="9" w:name="_Toc57708254"/>
      <w:r>
        <w:rPr>
          <w:rStyle w:val="CharSectno"/>
        </w:rPr>
        <w:t>6</w:t>
      </w:r>
      <w:r>
        <w:t>.</w:t>
      </w:r>
      <w:r>
        <w:tab/>
        <w:t>Termination of adoption</w:t>
      </w:r>
      <w:bookmarkEnd w:id="9"/>
    </w:p>
    <w:p w:rsidR="00B66C22" w:rsidRDefault="007C26CC">
      <w:pPr>
        <w:pStyle w:val="Subsection"/>
      </w:pPr>
      <w:r>
        <w:tab/>
        <w:t>(1)</w:t>
      </w:r>
      <w:r>
        <w:tab/>
        <w:t xml:space="preserve">The adoption of the Commonwealth Act under this Act ends on — </w:t>
      </w:r>
    </w:p>
    <w:p w:rsidR="00B66C22" w:rsidRDefault="007C26CC">
      <w:pPr>
        <w:pStyle w:val="Indenta"/>
      </w:pPr>
      <w:r>
        <w:tab/>
        <w:t>(a)</w:t>
      </w:r>
      <w:r>
        <w:tab/>
        <w:t>28 February 2031; or</w:t>
      </w:r>
    </w:p>
    <w:p w:rsidR="00B66C22" w:rsidRDefault="007C26CC">
      <w:pPr>
        <w:pStyle w:val="Indenta"/>
      </w:pPr>
      <w:r>
        <w:tab/>
        <w:t>(b)</w:t>
      </w:r>
      <w:r>
        <w:tab/>
        <w:t>if an earlier day is fixed under subsection (2), that earlier day.</w:t>
      </w:r>
    </w:p>
    <w:p w:rsidR="00B66C22" w:rsidRDefault="007C26CC">
      <w:pPr>
        <w:pStyle w:val="Subsection"/>
      </w:pPr>
      <w:r>
        <w:tab/>
        <w:t>(2)</w:t>
      </w:r>
      <w:r>
        <w:tab/>
        <w:t>The Governor may, by proclamation, fix a day that is earlier than 28 February 2031 as the day on which the adoption of the Commonwealth Act under this Act ends.</w:t>
      </w:r>
    </w:p>
    <w:p w:rsidR="00B66C22" w:rsidRDefault="007C26CC">
      <w:pPr>
        <w:pStyle w:val="Subsection"/>
      </w:pPr>
      <w:r>
        <w:tab/>
        <w:t>(3)</w:t>
      </w:r>
      <w:r>
        <w:tab/>
        <w:t>This Act expires when the adoption of the Commonwealth Act ends under subsection (1).</w:t>
      </w:r>
    </w:p>
    <w:p w:rsidR="00B66C22" w:rsidRDefault="007C26CC">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66C22" w:rsidRDefault="00B66C22">
      <w:pPr>
        <w:pStyle w:val="Subsection"/>
        <w:sectPr w:rsidR="00B66C22">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B66C22" w:rsidRDefault="007C26CC">
      <w:pPr>
        <w:pStyle w:val="nHeading2"/>
        <w:rPr>
          <w:sz w:val="28"/>
        </w:rPr>
      </w:pPr>
      <w:bookmarkStart w:id="10" w:name="_Toc57708255"/>
      <w:r>
        <w:rPr>
          <w:sz w:val="28"/>
        </w:rPr>
        <w:t>Defined terms</w:t>
      </w:r>
      <w:bookmarkEnd w:id="10"/>
    </w:p>
    <w:p w:rsidR="00B66C22" w:rsidRDefault="00B66C22">
      <w:pPr>
        <w:ind w:left="850" w:right="850"/>
        <w:jc w:val="center"/>
        <w:rPr>
          <w:i/>
          <w:sz w:val="18"/>
        </w:rPr>
      </w:pPr>
    </w:p>
    <w:p w:rsidR="00B66C22" w:rsidRDefault="007C26CC">
      <w:pPr>
        <w:ind w:left="850" w:right="850"/>
        <w:jc w:val="center"/>
        <w:rPr>
          <w:i/>
          <w:sz w:val="18"/>
        </w:rPr>
      </w:pPr>
      <w:r>
        <w:rPr>
          <w:i/>
          <w:sz w:val="18"/>
        </w:rPr>
        <w:t>[This is a list of terms defined and the provisions where they are defined.  The list is not part of the law.]</w:t>
      </w:r>
    </w:p>
    <w:p w:rsidR="00B66C22" w:rsidRDefault="007C26CC">
      <w:pPr>
        <w:pBdr>
          <w:bottom w:val="single" w:sz="4" w:space="1" w:color="auto"/>
        </w:pBdr>
        <w:tabs>
          <w:tab w:val="right" w:pos="7070"/>
        </w:tabs>
        <w:ind w:left="578"/>
        <w:rPr>
          <w:b/>
          <w:sz w:val="20"/>
        </w:rPr>
      </w:pPr>
      <w:r>
        <w:rPr>
          <w:b/>
          <w:sz w:val="20"/>
        </w:rPr>
        <w:t>Defined term</w:t>
      </w:r>
      <w:r>
        <w:rPr>
          <w:b/>
          <w:sz w:val="20"/>
        </w:rPr>
        <w:tab/>
        <w:t>Provision(s)</w:t>
      </w:r>
    </w:p>
    <w:p w:rsidR="00B66C22" w:rsidRDefault="007C26CC">
      <w:pPr>
        <w:pStyle w:val="DefinedTerms"/>
      </w:pPr>
      <w:r>
        <w:t>adopt</w:t>
      </w:r>
      <w:r>
        <w:tab/>
        <w:t>3</w:t>
      </w:r>
    </w:p>
    <w:p w:rsidR="00B66C22" w:rsidRDefault="007C26CC">
      <w:pPr>
        <w:pStyle w:val="DefinedTerms"/>
      </w:pPr>
      <w:r>
        <w:t>Commonwealth Act</w:t>
      </w:r>
      <w:r>
        <w:tab/>
        <w:t>3</w:t>
      </w:r>
    </w:p>
    <w:p w:rsidR="00B66C22" w:rsidRDefault="00B66C22"/>
    <w:p w:rsidR="00B66C22" w:rsidRDefault="00B66C22">
      <w:pPr>
        <w:sectPr w:rsidR="00B66C22">
          <w:headerReference w:type="even" r:id="rId28"/>
          <w:headerReference w:type="default" r:id="rId29"/>
          <w:pgSz w:w="11907" w:h="16840" w:code="9"/>
          <w:pgMar w:top="2381" w:right="2409" w:bottom="3543" w:left="2409" w:header="720" w:footer="3380" w:gutter="0"/>
          <w:cols w:space="720"/>
          <w:noEndnote/>
          <w:docGrid w:linePitch="326"/>
        </w:sectPr>
      </w:pPr>
    </w:p>
    <w:p w:rsidR="00B66C22" w:rsidRDefault="007C26CC">
      <w:r>
        <w:rPr>
          <w:noProof/>
          <w:lang w:val="en-US" w:eastAsia="en-US"/>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6428" cy="1148317"/>
                <wp:effectExtent l="0" t="0" r="190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6428" cy="1148317"/>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B66C22" w:rsidRDefault="007C26CC">
                            <w:pPr>
                              <w:spacing w:after="50" w:line="220" w:lineRule="exact"/>
                              <w:ind w:left="567" w:right="567"/>
                              <w:rPr>
                                <w:sz w:val="20"/>
                              </w:rPr>
                            </w:pPr>
                            <w:r>
                              <w:rPr>
                                <w:sz w:val="20"/>
                              </w:rPr>
                              <w:t>© State of Western Australia 2020.</w:t>
                            </w:r>
                          </w:p>
                          <w:p w:rsidR="00B66C22" w:rsidRDefault="007C26CC">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B66C22" w:rsidRDefault="007C26CC">
                            <w:pPr>
                              <w:spacing w:after="50" w:line="220" w:lineRule="exact"/>
                              <w:ind w:left="567" w:right="567"/>
                              <w:rPr>
                                <w:sz w:val="20"/>
                              </w:rPr>
                            </w:pPr>
                            <w:r>
                              <w:rPr>
                                <w:sz w:val="20"/>
                              </w:rPr>
                              <w:t>Attribute work as: © State of Western Australia 2020.</w:t>
                            </w:r>
                          </w:p>
                          <w:p w:rsidR="00B66C22" w:rsidRDefault="007C26CC">
                            <w:pPr>
                              <w:pBdr>
                                <w:top w:val="double" w:sz="4" w:space="1" w:color="auto"/>
                              </w:pBdr>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5.85pt;height:90.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" stroked="f">
                <v:stroke joinstyle="round"/>
                <v:path arrowok="t"/>
                <v:textbox inset="7.09pt,3.69pt,7.09pt,3.69pt">
                  <w:txbxContent>
                    <w:p w:rsidR="00B66C22" w:rsidRDefault="007C26CC">
                      <w:pPr>
                        <w:spacing w:after="50" w:line="220" w:lineRule="exact"/>
                        <w:ind w:left="567" w:right="567"/>
                        <w:rPr>
                          <w:sz w:val="20"/>
                        </w:rPr>
                      </w:pPr>
                      <w:r>
                        <w:rPr>
                          <w:sz w:val="20"/>
                        </w:rPr>
                        <w:t>© State of Western Australia 2020.</w:t>
                      </w:r>
                    </w:p>
                    <w:p w:rsidR="00B66C22" w:rsidRDefault="007C26CC">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B66C22" w:rsidRDefault="007C26CC">
                      <w:pPr>
                        <w:spacing w:after="50" w:line="220" w:lineRule="exact"/>
                        <w:ind w:left="567" w:right="567"/>
                        <w:rPr>
                          <w:sz w:val="20"/>
                        </w:rPr>
                      </w:pPr>
                      <w:r>
                        <w:rPr>
                          <w:sz w:val="20"/>
                        </w:rPr>
                        <w:t>Attribute work as: © State of Western Australia 2020.</w:t>
                      </w:r>
                    </w:p>
                    <w:p w:rsidR="00B66C22" w:rsidRDefault="007C26CC">
                      <w:pPr>
                        <w:pBdr>
                          <w:top w:val="double" w:sz="4" w:space="1" w:color="auto"/>
                        </w:pBdr>
                        <w:jc w:val="center"/>
                        <w:rPr>
                          <w:rFonts w:ascii="Arial" w:hAnsi="Arial" w:cs="Arial"/>
                          <w:sz w:val="12"/>
                        </w:rPr>
                      </w:pPr>
                      <w:r>
                        <w:rPr>
                          <w:rFonts w:ascii="Arial" w:hAnsi="Arial" w:cs="Arial"/>
                          <w:sz w:val="12"/>
                        </w:rPr>
                        <w:t>By Au</w:t>
                      </w:r>
                      <w:r>
                        <w:rPr>
                          <w:rFonts w:ascii="Arial" w:hAnsi="Arial" w:cs="Arial"/>
                          <w:sz w:val="12"/>
                        </w:rPr>
                        <w:t>thority: GEOFF O. LAWN, Government Printer</w:t>
                      </w:r>
                    </w:p>
                  </w:txbxContent>
                </v:textbox>
                <w10:wrap anchorx="page" anchory="page"/>
              </v:shape>
            </w:pict>
          </mc:Fallback>
        </mc:AlternateContent>
      </w:r>
    </w:p>
    <w:sectPr w:rsidR="00B66C22">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C22" w:rsidRDefault="007C26CC">
      <w:pPr>
        <w:rPr>
          <w:b/>
          <w:sz w:val="28"/>
        </w:rPr>
      </w:pPr>
      <w:r>
        <w:rPr>
          <w:b/>
          <w:sz w:val="28"/>
        </w:rPr>
        <w:t>Endnotes</w:t>
      </w:r>
    </w:p>
    <w:p w:rsidR="00B66C22" w:rsidRDefault="007C26CC">
      <w:pPr>
        <w:spacing w:after="240"/>
        <w:rPr>
          <w:rFonts w:ascii="Times" w:hAnsi="Times"/>
          <w:sz w:val="18"/>
        </w:rPr>
      </w:pPr>
      <w:r>
        <w:rPr>
          <w:sz w:val="20"/>
        </w:rPr>
        <w:t>[For ease of reference detach these notes and read them alongside the draft.]</w:t>
      </w:r>
    </w:p>
  </w:endnote>
  <w:endnote w:type="continuationSeparator" w:id="0">
    <w:p w:rsidR="00B66C22" w:rsidRDefault="00B66C22">
      <w:pPr>
        <w:pStyle w:val="Footer"/>
      </w:pPr>
    </w:p>
  </w:endnote>
  <w:endnote w:type="continuationNotice" w:id="1">
    <w:p w:rsidR="00B66C22" w:rsidRDefault="00B66C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Bdr>
        <w:bottom w:val="single" w:sz="4" w:space="1" w:color="auto"/>
      </w:pBdr>
      <w:rPr>
        <w:sz w:val="20"/>
      </w:rPr>
    </w:pPr>
  </w:p>
  <w:p w:rsidR="00B66C22" w:rsidRDefault="007C26CC">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3E1FF7">
      <w:rPr>
        <w:sz w:val="20"/>
      </w:rPr>
      <w:t>No. 44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E1FF7">
      <w:rPr>
        <w:sz w:val="20"/>
      </w:rPr>
      <w:t>30 Nov 2020</w:t>
    </w:r>
    <w:r>
      <w:rPr>
        <w:sz w:val="20"/>
      </w:rPr>
      <w:fldChar w:fldCharType="end"/>
    </w:r>
  </w:p>
  <w:p w:rsidR="00B66C22" w:rsidRDefault="007C26C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Bdr>
        <w:bottom w:val="single" w:sz="4" w:space="1" w:color="auto"/>
      </w:pBdr>
      <w:rPr>
        <w:sz w:val="20"/>
      </w:rPr>
    </w:pPr>
  </w:p>
  <w:p w:rsidR="00B66C22" w:rsidRDefault="007C26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1FF7">
      <w:rPr>
        <w:sz w:val="20"/>
      </w:rPr>
      <w:t>30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E1FF7">
      <w:rPr>
        <w:sz w:val="20"/>
      </w:rPr>
      <w:t>No. 44 of 2020</w:t>
    </w:r>
    <w:r>
      <w:rPr>
        <w:sz w:val="20"/>
      </w:rPr>
      <w:fldChar w:fldCharType="end"/>
    </w:r>
    <w:r>
      <w:rPr>
        <w:sz w:val="20"/>
      </w:rPr>
      <w:tab/>
    </w:r>
  </w:p>
  <w:p w:rsidR="00B66C22" w:rsidRDefault="007C26C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Bdr>
        <w:bottom w:val="single" w:sz="4" w:space="1" w:color="auto"/>
      </w:pBdr>
      <w:rPr>
        <w:sz w:val="20"/>
      </w:rPr>
    </w:pPr>
  </w:p>
  <w:p w:rsidR="00B66C22" w:rsidRDefault="007C26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1FF7">
      <w:rPr>
        <w:sz w:val="20"/>
      </w:rPr>
      <w:t>30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E1FF7">
      <w:rPr>
        <w:sz w:val="20"/>
      </w:rPr>
      <w:t>No. 44 of 2020</w:t>
    </w:r>
    <w:r>
      <w:rPr>
        <w:sz w:val="20"/>
      </w:rPr>
      <w:fldChar w:fldCharType="end"/>
    </w:r>
    <w:r>
      <w:rPr>
        <w:sz w:val="20"/>
      </w:rPr>
      <w:tab/>
    </w:r>
  </w:p>
  <w:p w:rsidR="00B66C22" w:rsidRDefault="007C26C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Bdr>
        <w:bottom w:val="single" w:sz="4" w:space="1" w:color="auto"/>
      </w:pBdr>
      <w:rPr>
        <w:sz w:val="20"/>
      </w:rPr>
    </w:pPr>
  </w:p>
  <w:p w:rsidR="00B66C22" w:rsidRDefault="007C26C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E1FF7">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E1FF7">
      <w:rPr>
        <w:sz w:val="20"/>
      </w:rPr>
      <w:t>No. 44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E1FF7">
      <w:rPr>
        <w:sz w:val="20"/>
      </w:rPr>
      <w:t>30 Nov 2020</w:t>
    </w:r>
    <w:r>
      <w:rPr>
        <w:sz w:val="20"/>
      </w:rPr>
      <w:fldChar w:fldCharType="end"/>
    </w:r>
  </w:p>
  <w:p w:rsidR="00B66C22" w:rsidRDefault="007C26C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Bdr>
        <w:bottom w:val="single" w:sz="4" w:space="1" w:color="auto"/>
      </w:pBdr>
      <w:rPr>
        <w:sz w:val="20"/>
      </w:rPr>
    </w:pPr>
  </w:p>
  <w:p w:rsidR="00B66C22" w:rsidRDefault="007C26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1FF7">
      <w:rPr>
        <w:sz w:val="20"/>
      </w:rPr>
      <w:t>30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E1FF7">
      <w:rPr>
        <w:sz w:val="20"/>
      </w:rPr>
      <w:t>No. 44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E1FF7">
      <w:rPr>
        <w:noProof/>
        <w:sz w:val="20"/>
      </w:rPr>
      <w:t>3</w:t>
    </w:r>
    <w:r>
      <w:rPr>
        <w:sz w:val="20"/>
      </w:rPr>
      <w:fldChar w:fldCharType="end"/>
    </w:r>
  </w:p>
  <w:p w:rsidR="00B66C22" w:rsidRDefault="007C26C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Bdr>
        <w:bottom w:val="single" w:sz="4" w:space="1" w:color="auto"/>
      </w:pBdr>
      <w:rPr>
        <w:sz w:val="20"/>
      </w:rPr>
    </w:pPr>
  </w:p>
  <w:p w:rsidR="00B66C22" w:rsidRDefault="007C26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1FF7">
      <w:rPr>
        <w:sz w:val="20"/>
      </w:rPr>
      <w:t>30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3E1FF7">
      <w:rPr>
        <w:sz w:val="20"/>
      </w:rPr>
      <w:t>No. 44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E1FF7">
      <w:rPr>
        <w:noProof/>
        <w:sz w:val="20"/>
      </w:rPr>
      <w:t>i</w:t>
    </w:r>
    <w:r>
      <w:rPr>
        <w:sz w:val="20"/>
      </w:rPr>
      <w:fldChar w:fldCharType="end"/>
    </w:r>
  </w:p>
  <w:p w:rsidR="00B66C22" w:rsidRDefault="007C26C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C22" w:rsidRDefault="007C26CC">
      <w:r>
        <w:separator/>
      </w:r>
    </w:p>
  </w:footnote>
  <w:footnote w:type="continuationSeparator" w:id="0">
    <w:p w:rsidR="00B66C22" w:rsidRDefault="007C26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FF7" w:rsidRDefault="003E1F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FF7" w:rsidRDefault="003E1F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6C22">
      <w:trPr>
        <w:cantSplit/>
      </w:trPr>
      <w:tc>
        <w:tcPr>
          <w:tcW w:w="7258" w:type="dxa"/>
          <w:gridSpan w:val="2"/>
        </w:tcPr>
        <w:p w:rsidR="00B66C22" w:rsidRDefault="007C26CC">
          <w:pPr>
            <w:pStyle w:val="Header"/>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1548" w:type="dxa"/>
        </w:tcPr>
        <w:p w:rsidR="00B66C22" w:rsidRDefault="00B66C22">
          <w:pPr>
            <w:pStyle w:val="Header"/>
            <w:spacing w:before="40"/>
          </w:pPr>
        </w:p>
      </w:tc>
      <w:tc>
        <w:tcPr>
          <w:tcW w:w="5715" w:type="dxa"/>
        </w:tcPr>
        <w:p w:rsidR="00B66C22" w:rsidRDefault="00B66C22">
          <w:pPr>
            <w:pStyle w:val="Header"/>
            <w:spacing w:before="40"/>
          </w:pPr>
        </w:p>
      </w:tc>
    </w:tr>
    <w:tr w:rsidR="00B66C22">
      <w:tc>
        <w:tcPr>
          <w:tcW w:w="1548" w:type="dxa"/>
        </w:tcPr>
        <w:p w:rsidR="00B66C22" w:rsidRDefault="00B66C22">
          <w:pPr>
            <w:pStyle w:val="Header"/>
            <w:spacing w:before="40"/>
          </w:pPr>
        </w:p>
      </w:tc>
      <w:tc>
        <w:tcPr>
          <w:tcW w:w="5715" w:type="dxa"/>
        </w:tcPr>
        <w:p w:rsidR="00B66C22" w:rsidRDefault="00B66C22">
          <w:pPr>
            <w:pStyle w:val="Header"/>
            <w:spacing w:before="40"/>
          </w:pPr>
        </w:p>
      </w:tc>
    </w:tr>
    <w:tr w:rsidR="00B66C22">
      <w:trPr>
        <w:cantSplit/>
      </w:trPr>
      <w:tc>
        <w:tcPr>
          <w:tcW w:w="7258" w:type="dxa"/>
          <w:gridSpan w:val="2"/>
        </w:tcPr>
        <w:p w:rsidR="00B66C22" w:rsidRDefault="007C26CC">
          <w:pPr>
            <w:pStyle w:val="Header"/>
            <w:spacing w:before="40"/>
          </w:pPr>
          <w:r>
            <w:t>Contents</w:t>
          </w:r>
        </w:p>
      </w:tc>
    </w:tr>
  </w:tbl>
  <w:p w:rsidR="00B66C22" w:rsidRDefault="00B66C2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6C22">
      <w:trPr>
        <w:cantSplit/>
      </w:trPr>
      <w:tc>
        <w:tcPr>
          <w:tcW w:w="7258" w:type="dxa"/>
          <w:gridSpan w:val="2"/>
        </w:tcPr>
        <w:p w:rsidR="00B66C22" w:rsidRDefault="007C26CC">
          <w:pPr>
            <w:pStyle w:val="Header"/>
            <w:ind w:right="17"/>
            <w:jc w:val="right"/>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5715" w:type="dxa"/>
        </w:tcPr>
        <w:p w:rsidR="00B66C22" w:rsidRDefault="00B66C22">
          <w:pPr>
            <w:pStyle w:val="Header"/>
            <w:spacing w:before="40"/>
            <w:jc w:val="right"/>
          </w:pPr>
        </w:p>
      </w:tc>
      <w:tc>
        <w:tcPr>
          <w:tcW w:w="1548" w:type="dxa"/>
        </w:tcPr>
        <w:p w:rsidR="00B66C22" w:rsidRDefault="00B66C22">
          <w:pPr>
            <w:pStyle w:val="Header"/>
            <w:spacing w:before="40"/>
            <w:ind w:right="17"/>
            <w:jc w:val="right"/>
          </w:pPr>
        </w:p>
      </w:tc>
    </w:tr>
    <w:tr w:rsidR="00B66C22">
      <w:tc>
        <w:tcPr>
          <w:tcW w:w="5715" w:type="dxa"/>
        </w:tcPr>
        <w:p w:rsidR="00B66C22" w:rsidRDefault="00B66C22">
          <w:pPr>
            <w:pStyle w:val="Header"/>
            <w:spacing w:before="40"/>
            <w:jc w:val="right"/>
          </w:pPr>
        </w:p>
      </w:tc>
      <w:tc>
        <w:tcPr>
          <w:tcW w:w="1548" w:type="dxa"/>
        </w:tcPr>
        <w:p w:rsidR="00B66C22" w:rsidRDefault="00B66C22">
          <w:pPr>
            <w:pStyle w:val="Header"/>
            <w:spacing w:before="40"/>
            <w:ind w:right="17"/>
            <w:jc w:val="right"/>
          </w:pPr>
        </w:p>
      </w:tc>
    </w:tr>
    <w:tr w:rsidR="00B66C22">
      <w:trPr>
        <w:cantSplit/>
      </w:trPr>
      <w:tc>
        <w:tcPr>
          <w:tcW w:w="7258" w:type="dxa"/>
          <w:gridSpan w:val="2"/>
        </w:tcPr>
        <w:p w:rsidR="00B66C22" w:rsidRDefault="007C26CC">
          <w:pPr>
            <w:pStyle w:val="Header"/>
            <w:spacing w:before="40"/>
            <w:ind w:right="17"/>
            <w:jc w:val="right"/>
          </w:pPr>
          <w:r>
            <w:t>Contents</w:t>
          </w:r>
        </w:p>
      </w:tc>
    </w:tr>
  </w:tbl>
  <w:p w:rsidR="00B66C22" w:rsidRDefault="00B66C22">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6C22">
      <w:trPr>
        <w:cantSplit/>
      </w:trPr>
      <w:tc>
        <w:tcPr>
          <w:tcW w:w="7263" w:type="dxa"/>
          <w:gridSpan w:val="2"/>
        </w:tcPr>
        <w:p w:rsidR="00B66C22" w:rsidRDefault="007C26CC">
          <w:pPr>
            <w:pStyle w:val="Header"/>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1548" w:type="dxa"/>
        </w:tcPr>
        <w:p w:rsidR="00B66C22" w:rsidRDefault="007C26CC">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B66C22" w:rsidRDefault="007C26CC">
          <w:pPr>
            <w:pStyle w:val="Header"/>
            <w:spacing w:before="40"/>
          </w:pPr>
          <w:r>
            <w:fldChar w:fldCharType="begin"/>
          </w:r>
          <w:r>
            <w:instrText xml:space="preserve"> styleref CharPartText </w:instrText>
          </w:r>
          <w:r>
            <w:fldChar w:fldCharType="end"/>
          </w:r>
        </w:p>
      </w:tc>
    </w:tr>
    <w:tr w:rsidR="00B66C22">
      <w:tc>
        <w:tcPr>
          <w:tcW w:w="1548" w:type="dxa"/>
        </w:tcPr>
        <w:p w:rsidR="00B66C22" w:rsidRDefault="007C26CC">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B66C22" w:rsidRDefault="007C26CC">
          <w:pPr>
            <w:pStyle w:val="Header"/>
            <w:spacing w:before="40"/>
          </w:pPr>
          <w:r>
            <w:fldChar w:fldCharType="begin"/>
          </w:r>
          <w:r>
            <w:instrText xml:space="preserve"> styleref CharDivText </w:instrText>
          </w:r>
          <w:r>
            <w:fldChar w:fldCharType="end"/>
          </w:r>
        </w:p>
      </w:tc>
    </w:tr>
    <w:tr w:rsidR="00B66C22">
      <w:trPr>
        <w:cantSplit/>
      </w:trPr>
      <w:tc>
        <w:tcPr>
          <w:tcW w:w="7263" w:type="dxa"/>
          <w:gridSpan w:val="2"/>
        </w:tcPr>
        <w:p w:rsidR="00B66C22" w:rsidRDefault="00B66C22">
          <w:pPr>
            <w:pStyle w:val="Header"/>
            <w:spacing w:before="40"/>
          </w:pPr>
        </w:p>
      </w:tc>
    </w:tr>
  </w:tbl>
  <w:p w:rsidR="00B66C22" w:rsidRDefault="00B66C2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6C22">
      <w:trPr>
        <w:cantSplit/>
      </w:trPr>
      <w:tc>
        <w:tcPr>
          <w:tcW w:w="7263" w:type="dxa"/>
          <w:gridSpan w:val="2"/>
        </w:tcPr>
        <w:p w:rsidR="00B66C22" w:rsidRDefault="007C26CC">
          <w:pPr>
            <w:pStyle w:val="Header"/>
            <w:ind w:right="17"/>
            <w:jc w:val="right"/>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5715" w:type="dxa"/>
          <w:vAlign w:val="bottom"/>
        </w:tcPr>
        <w:p w:rsidR="00B66C22" w:rsidRDefault="007C26CC">
          <w:pPr>
            <w:pStyle w:val="Header"/>
            <w:spacing w:before="40"/>
            <w:jc w:val="right"/>
          </w:pPr>
          <w:r>
            <w:fldChar w:fldCharType="begin"/>
          </w:r>
          <w:r>
            <w:instrText xml:space="preserve"> styleref CharPartText </w:instrText>
          </w:r>
          <w:r>
            <w:fldChar w:fldCharType="end"/>
          </w:r>
        </w:p>
      </w:tc>
      <w:tc>
        <w:tcPr>
          <w:tcW w:w="1548" w:type="dxa"/>
        </w:tcPr>
        <w:p w:rsidR="00B66C22" w:rsidRDefault="007C26CC">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B66C22">
      <w:tc>
        <w:tcPr>
          <w:tcW w:w="5715" w:type="dxa"/>
          <w:vAlign w:val="bottom"/>
        </w:tcPr>
        <w:p w:rsidR="00B66C22" w:rsidRDefault="007C26CC">
          <w:pPr>
            <w:pStyle w:val="Header"/>
            <w:spacing w:before="40"/>
            <w:jc w:val="right"/>
          </w:pPr>
          <w:r>
            <w:fldChar w:fldCharType="begin"/>
          </w:r>
          <w:r>
            <w:instrText xml:space="preserve"> styleref CharDivText </w:instrText>
          </w:r>
          <w:r>
            <w:fldChar w:fldCharType="end"/>
          </w:r>
        </w:p>
      </w:tc>
      <w:tc>
        <w:tcPr>
          <w:tcW w:w="1548" w:type="dxa"/>
        </w:tcPr>
        <w:p w:rsidR="00B66C22" w:rsidRDefault="007C26CC">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B66C22">
      <w:trPr>
        <w:cantSplit/>
      </w:trPr>
      <w:tc>
        <w:tcPr>
          <w:tcW w:w="7263" w:type="dxa"/>
          <w:gridSpan w:val="2"/>
        </w:tcPr>
        <w:p w:rsidR="00B66C22" w:rsidRDefault="00B66C22">
          <w:pPr>
            <w:pStyle w:val="Header"/>
            <w:spacing w:before="40"/>
            <w:ind w:right="17"/>
            <w:jc w:val="right"/>
          </w:pPr>
        </w:p>
      </w:tc>
    </w:tr>
  </w:tbl>
  <w:p w:rsidR="00B66C22" w:rsidRDefault="00B66C2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66C22">
      <w:tc>
        <w:tcPr>
          <w:tcW w:w="7263" w:type="dxa"/>
          <w:gridSpan w:val="2"/>
        </w:tcPr>
        <w:p w:rsidR="00B66C22" w:rsidRDefault="007C26CC">
          <w:pPr>
            <w:pStyle w:val="Header"/>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1548" w:type="dxa"/>
        </w:tcPr>
        <w:p w:rsidR="00B66C22" w:rsidRDefault="007C26CC">
          <w:pPr>
            <w:pStyle w:val="Header"/>
            <w:spacing w:before="40"/>
          </w:pPr>
          <w:r>
            <w:rPr>
              <w:b/>
            </w:rPr>
            <w:fldChar w:fldCharType="begin"/>
          </w:r>
          <w:r>
            <w:rPr>
              <w:b/>
            </w:rPr>
            <w:instrText>STYLEREF CharPartNo</w:instrText>
          </w:r>
          <w:r>
            <w:rPr>
              <w:b/>
            </w:rPr>
            <w:fldChar w:fldCharType="end"/>
          </w:r>
        </w:p>
      </w:tc>
      <w:tc>
        <w:tcPr>
          <w:tcW w:w="5715" w:type="dxa"/>
          <w:vAlign w:val="bottom"/>
        </w:tcPr>
        <w:p w:rsidR="00B66C22" w:rsidRDefault="007C26CC">
          <w:pPr>
            <w:pStyle w:val="Header"/>
            <w:spacing w:before="40"/>
          </w:pPr>
          <w:r>
            <w:fldChar w:fldCharType="begin"/>
          </w:r>
          <w:r>
            <w:instrText xml:space="preserve"> styleref CharPartText </w:instrText>
          </w:r>
          <w:r>
            <w:fldChar w:fldCharType="end"/>
          </w:r>
        </w:p>
      </w:tc>
    </w:tr>
    <w:tr w:rsidR="00B66C22">
      <w:tc>
        <w:tcPr>
          <w:tcW w:w="1548" w:type="dxa"/>
        </w:tcPr>
        <w:p w:rsidR="00B66C22" w:rsidRDefault="007C26CC">
          <w:pPr>
            <w:pStyle w:val="Header"/>
            <w:spacing w:before="40"/>
          </w:pPr>
          <w:r>
            <w:rPr>
              <w:b/>
            </w:rPr>
            <w:fldChar w:fldCharType="begin"/>
          </w:r>
          <w:r>
            <w:rPr>
              <w:b/>
            </w:rPr>
            <w:instrText>STYLEREF CharDivNo</w:instrText>
          </w:r>
          <w:r>
            <w:rPr>
              <w:b/>
            </w:rPr>
            <w:fldChar w:fldCharType="end"/>
          </w:r>
        </w:p>
      </w:tc>
      <w:tc>
        <w:tcPr>
          <w:tcW w:w="5715" w:type="dxa"/>
          <w:vAlign w:val="bottom"/>
        </w:tcPr>
        <w:p w:rsidR="00B66C22" w:rsidRDefault="007C26CC">
          <w:pPr>
            <w:pStyle w:val="Header"/>
            <w:spacing w:before="40"/>
          </w:pPr>
          <w:r>
            <w:fldChar w:fldCharType="begin"/>
          </w:r>
          <w:r>
            <w:instrText xml:space="preserve"> styleref CharDivText </w:instrText>
          </w:r>
          <w:r>
            <w:fldChar w:fldCharType="end"/>
          </w:r>
        </w:p>
      </w:tc>
    </w:tr>
    <w:tr w:rsidR="00B66C22">
      <w:tc>
        <w:tcPr>
          <w:tcW w:w="7263" w:type="dxa"/>
          <w:gridSpan w:val="2"/>
        </w:tcPr>
        <w:p w:rsidR="00B66C22" w:rsidRDefault="007C26CC">
          <w:pPr>
            <w:pStyle w:val="Header"/>
            <w:spacing w:before="40"/>
          </w:pPr>
          <w:r>
            <w:rPr>
              <w:b/>
            </w:rPr>
            <w:t xml:space="preserve">s. </w:t>
          </w:r>
          <w:r>
            <w:rPr>
              <w:b/>
            </w:rPr>
            <w:fldChar w:fldCharType="begin"/>
          </w:r>
          <w:r>
            <w:rPr>
              <w:b/>
            </w:rPr>
            <w:instrText>STYLEREF CharSectNo</w:instrText>
          </w:r>
          <w:r>
            <w:rPr>
              <w:b/>
            </w:rPr>
            <w:fldChar w:fldCharType="separate"/>
          </w:r>
          <w:r w:rsidR="003E1FF7">
            <w:rPr>
              <w:b/>
            </w:rPr>
            <w:t>1</w:t>
          </w:r>
          <w:r>
            <w:rPr>
              <w:b/>
            </w:rPr>
            <w:fldChar w:fldCharType="end"/>
          </w:r>
        </w:p>
      </w:tc>
    </w:tr>
  </w:tbl>
  <w:p w:rsidR="00B66C22" w:rsidRDefault="00B66C2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6C22">
      <w:trPr>
        <w:cantSplit/>
      </w:trPr>
      <w:tc>
        <w:tcPr>
          <w:tcW w:w="7263" w:type="dxa"/>
          <w:gridSpan w:val="2"/>
        </w:tcPr>
        <w:p w:rsidR="00B66C22" w:rsidRDefault="007C26CC">
          <w:pPr>
            <w:pStyle w:val="Header"/>
            <w:spacing w:before="40"/>
            <w:ind w:right="17"/>
            <w:jc w:val="right"/>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5715" w:type="dxa"/>
          <w:vAlign w:val="bottom"/>
        </w:tcPr>
        <w:p w:rsidR="00B66C22" w:rsidRDefault="007C26CC">
          <w:pPr>
            <w:pStyle w:val="Header"/>
            <w:spacing w:before="40"/>
            <w:jc w:val="right"/>
          </w:pPr>
          <w:r>
            <w:fldChar w:fldCharType="begin"/>
          </w:r>
          <w:r>
            <w:instrText xml:space="preserve"> styleref CharPartText </w:instrText>
          </w:r>
          <w:r>
            <w:fldChar w:fldCharType="end"/>
          </w:r>
        </w:p>
      </w:tc>
      <w:tc>
        <w:tcPr>
          <w:tcW w:w="1548" w:type="dxa"/>
        </w:tcPr>
        <w:p w:rsidR="00B66C22" w:rsidRDefault="007C26CC">
          <w:pPr>
            <w:pStyle w:val="Header"/>
            <w:spacing w:before="40"/>
            <w:ind w:right="17"/>
            <w:jc w:val="right"/>
          </w:pPr>
          <w:r>
            <w:rPr>
              <w:b/>
            </w:rPr>
            <w:fldChar w:fldCharType="begin"/>
          </w:r>
          <w:r>
            <w:rPr>
              <w:b/>
            </w:rPr>
            <w:instrText>STYLEREF CharPartNo</w:instrText>
          </w:r>
          <w:r>
            <w:rPr>
              <w:b/>
            </w:rPr>
            <w:fldChar w:fldCharType="end"/>
          </w:r>
        </w:p>
      </w:tc>
    </w:tr>
    <w:tr w:rsidR="00B66C22">
      <w:tc>
        <w:tcPr>
          <w:tcW w:w="5715" w:type="dxa"/>
          <w:vAlign w:val="bottom"/>
        </w:tcPr>
        <w:p w:rsidR="00B66C22" w:rsidRDefault="007C26CC">
          <w:pPr>
            <w:pStyle w:val="Header"/>
            <w:spacing w:before="40"/>
            <w:jc w:val="right"/>
          </w:pPr>
          <w:r>
            <w:fldChar w:fldCharType="begin"/>
          </w:r>
          <w:r>
            <w:instrText xml:space="preserve"> styleref CharDivText </w:instrText>
          </w:r>
          <w:r>
            <w:fldChar w:fldCharType="end"/>
          </w:r>
        </w:p>
      </w:tc>
      <w:tc>
        <w:tcPr>
          <w:tcW w:w="1548" w:type="dxa"/>
        </w:tcPr>
        <w:p w:rsidR="00B66C22" w:rsidRDefault="007C26CC">
          <w:pPr>
            <w:pStyle w:val="Header"/>
            <w:spacing w:before="40"/>
            <w:ind w:right="17"/>
            <w:jc w:val="right"/>
          </w:pPr>
          <w:r>
            <w:rPr>
              <w:b/>
            </w:rPr>
            <w:fldChar w:fldCharType="begin"/>
          </w:r>
          <w:r>
            <w:rPr>
              <w:b/>
            </w:rPr>
            <w:instrText>STYLEREF CharDivNo</w:instrText>
          </w:r>
          <w:r>
            <w:rPr>
              <w:b/>
            </w:rPr>
            <w:fldChar w:fldCharType="end"/>
          </w:r>
        </w:p>
      </w:tc>
    </w:tr>
    <w:tr w:rsidR="00B66C22">
      <w:trPr>
        <w:cantSplit/>
      </w:trPr>
      <w:tc>
        <w:tcPr>
          <w:tcW w:w="7263" w:type="dxa"/>
          <w:gridSpan w:val="2"/>
        </w:tcPr>
        <w:p w:rsidR="00B66C22" w:rsidRDefault="007C26C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E1FF7">
            <w:rPr>
              <w:b/>
            </w:rPr>
            <w:t>1</w:t>
          </w:r>
          <w:r>
            <w:rPr>
              <w:b/>
            </w:rPr>
            <w:fldChar w:fldCharType="end"/>
          </w:r>
        </w:p>
      </w:tc>
    </w:tr>
  </w:tbl>
  <w:p w:rsidR="00B66C22" w:rsidRDefault="00B66C2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66C22">
      <w:trPr>
        <w:cantSplit/>
      </w:trPr>
      <w:tc>
        <w:tcPr>
          <w:tcW w:w="7263" w:type="dxa"/>
          <w:gridSpan w:val="2"/>
        </w:tcPr>
        <w:p w:rsidR="00B66C22" w:rsidRDefault="007C26CC">
          <w:pPr>
            <w:pStyle w:val="Header"/>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1348" w:type="dxa"/>
        </w:tcPr>
        <w:p w:rsidR="00B66C22" w:rsidRDefault="00B66C22">
          <w:pPr>
            <w:pStyle w:val="Header"/>
            <w:spacing w:before="40"/>
          </w:pPr>
        </w:p>
      </w:tc>
      <w:tc>
        <w:tcPr>
          <w:tcW w:w="5915" w:type="dxa"/>
        </w:tcPr>
        <w:p w:rsidR="00B66C22" w:rsidRDefault="00B66C22">
          <w:pPr>
            <w:pStyle w:val="Header"/>
            <w:spacing w:before="40"/>
          </w:pPr>
        </w:p>
      </w:tc>
    </w:tr>
    <w:tr w:rsidR="00B66C22">
      <w:tc>
        <w:tcPr>
          <w:tcW w:w="1348" w:type="dxa"/>
        </w:tcPr>
        <w:p w:rsidR="00B66C22" w:rsidRDefault="00B66C22">
          <w:pPr>
            <w:pStyle w:val="Header"/>
            <w:spacing w:before="40"/>
          </w:pPr>
        </w:p>
      </w:tc>
      <w:tc>
        <w:tcPr>
          <w:tcW w:w="5915" w:type="dxa"/>
        </w:tcPr>
        <w:p w:rsidR="00B66C22" w:rsidRDefault="00B66C22">
          <w:pPr>
            <w:pStyle w:val="Header"/>
            <w:spacing w:before="40"/>
          </w:pPr>
        </w:p>
      </w:tc>
    </w:tr>
    <w:tr w:rsidR="00B66C22">
      <w:trPr>
        <w:cantSplit/>
      </w:trPr>
      <w:tc>
        <w:tcPr>
          <w:tcW w:w="7263" w:type="dxa"/>
          <w:gridSpan w:val="2"/>
        </w:tcPr>
        <w:p w:rsidR="00B66C22" w:rsidRDefault="007C26CC">
          <w:pPr>
            <w:pStyle w:val="Header"/>
          </w:pPr>
          <w:r>
            <w:t>Defined terms</w:t>
          </w:r>
        </w:p>
      </w:tc>
    </w:tr>
  </w:tbl>
  <w:p w:rsidR="00B66C22" w:rsidRDefault="00B66C2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66C22">
      <w:trPr>
        <w:cantSplit/>
      </w:trPr>
      <w:tc>
        <w:tcPr>
          <w:tcW w:w="7263" w:type="dxa"/>
          <w:gridSpan w:val="2"/>
        </w:tcPr>
        <w:p w:rsidR="00B66C22" w:rsidRDefault="007C26CC">
          <w:pPr>
            <w:pStyle w:val="Header"/>
            <w:spacing w:before="40"/>
            <w:ind w:right="17"/>
            <w:jc w:val="right"/>
          </w:pPr>
          <w:r>
            <w:rPr>
              <w:b/>
              <w:i/>
            </w:rPr>
            <w:fldChar w:fldCharType="begin"/>
          </w:r>
          <w:r>
            <w:rPr>
              <w:b/>
              <w:i/>
            </w:rPr>
            <w:instrText xml:space="preserve"> STYLEREF "Name of Act/Reg" </w:instrText>
          </w:r>
          <w:r>
            <w:rPr>
              <w:b/>
              <w:i/>
            </w:rPr>
            <w:fldChar w:fldCharType="separate"/>
          </w:r>
          <w:r w:rsidR="003E1FF7">
            <w:rPr>
              <w:b/>
              <w:i/>
            </w:rPr>
            <w:t>Mutual Recognition (Western Australia) Act 2020</w:t>
          </w:r>
          <w:r>
            <w:rPr>
              <w:b/>
              <w:i/>
            </w:rPr>
            <w:fldChar w:fldCharType="end"/>
          </w:r>
        </w:p>
      </w:tc>
    </w:tr>
    <w:tr w:rsidR="00B66C22">
      <w:tc>
        <w:tcPr>
          <w:tcW w:w="5884" w:type="dxa"/>
        </w:tcPr>
        <w:p w:rsidR="00B66C22" w:rsidRDefault="00B66C22">
          <w:pPr>
            <w:pStyle w:val="Header"/>
            <w:spacing w:before="40"/>
            <w:jc w:val="right"/>
          </w:pPr>
        </w:p>
      </w:tc>
      <w:tc>
        <w:tcPr>
          <w:tcW w:w="1379" w:type="dxa"/>
        </w:tcPr>
        <w:p w:rsidR="00B66C22" w:rsidRDefault="00B66C22">
          <w:pPr>
            <w:pStyle w:val="Header"/>
            <w:spacing w:before="40"/>
            <w:ind w:right="17"/>
            <w:jc w:val="right"/>
          </w:pPr>
        </w:p>
      </w:tc>
    </w:tr>
    <w:tr w:rsidR="00B66C22">
      <w:tc>
        <w:tcPr>
          <w:tcW w:w="5884" w:type="dxa"/>
        </w:tcPr>
        <w:p w:rsidR="00B66C22" w:rsidRDefault="00B66C22">
          <w:pPr>
            <w:pStyle w:val="Header"/>
            <w:spacing w:before="40"/>
            <w:jc w:val="right"/>
          </w:pPr>
        </w:p>
      </w:tc>
      <w:tc>
        <w:tcPr>
          <w:tcW w:w="1379" w:type="dxa"/>
        </w:tcPr>
        <w:p w:rsidR="00B66C22" w:rsidRDefault="00B66C22">
          <w:pPr>
            <w:pStyle w:val="Header"/>
            <w:spacing w:before="40"/>
            <w:ind w:right="17"/>
            <w:jc w:val="right"/>
          </w:pPr>
        </w:p>
      </w:tc>
    </w:tr>
    <w:tr w:rsidR="00B66C22">
      <w:trPr>
        <w:cantSplit/>
      </w:trPr>
      <w:tc>
        <w:tcPr>
          <w:tcW w:w="7263" w:type="dxa"/>
          <w:gridSpan w:val="2"/>
        </w:tcPr>
        <w:p w:rsidR="00B66C22" w:rsidRDefault="007C26CC">
          <w:pPr>
            <w:pStyle w:val="Header"/>
            <w:spacing w:before="40"/>
            <w:ind w:right="17"/>
            <w:jc w:val="right"/>
          </w:pPr>
          <w:r>
            <w:t>Defined terms</w:t>
          </w:r>
        </w:p>
      </w:tc>
    </w:tr>
  </w:tbl>
  <w:p w:rsidR="00B66C22" w:rsidRDefault="00B66C22">
    <w:pPr>
      <w:pStyle w:val="Header"/>
      <w:pBdr>
        <w:top w:val="single" w:sz="4" w:space="1" w:color="auto"/>
      </w:pBdr>
    </w:pPr>
    <w:bookmarkStart w:id="11" w:name="DefinedTerms"/>
    <w:bookmarkEnd w:id="1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22" w:rsidRDefault="00B66C22">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10914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09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01091431_GUID" w:val="41c0f2be-d289-4a37-a6fb-c699dd2d2cf7"/>
  </w:docVars>
  <w:rsids>
    <w:rsidRoot w:val="00B66C22"/>
    <w:rsid w:val="0011071C"/>
    <w:rsid w:val="003E1FF7"/>
    <w:rsid w:val="007C26CC"/>
    <w:rsid w:val="009F3758"/>
    <w:rsid w:val="00B66C22"/>
    <w:rsid w:val="00DB32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jp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936F3-6BEC-473E-BC3F-762DD7A95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618</Words>
  <Characters>3061</Characters>
  <Application>Microsoft Office Word</Application>
  <DocSecurity>0</DocSecurity>
  <Lines>105</Lines>
  <Paragraphs>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3614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2020 - 00-00-02</dc:title>
  <dc:subject/>
  <dc:creator/>
  <cp:keywords/>
  <dc:description/>
  <cp:lastModifiedBy>Master Repository Process</cp:lastModifiedBy>
  <cp:revision>4</cp:revision>
  <cp:lastPrinted>2020-12-01T00:58:00Z</cp:lastPrinted>
  <dcterms:created xsi:type="dcterms:W3CDTF">2020-12-01T06:42:00Z</dcterms:created>
  <dcterms:modified xsi:type="dcterms:W3CDTF">2020-12-01T06:42:00Z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AsAtDate">
    <vt:lpwstr>30 Nov 2020</vt:lpwstr>
  </property>
  <property fmtid="{D5CDD505-2E9C-101B-9397-08002B2CF9AE}" pid="6" name="Suffix">
    <vt:lpwstr>00-00-02</vt:lpwstr>
  </property>
  <property fmtid="{D5CDD505-2E9C-101B-9397-08002B2CF9AE}" pid="7" name="ActNoFooter">
    <vt:lpwstr>No. 44 of 2020</vt:lpwstr>
  </property>
  <property fmtid="{D5CDD505-2E9C-101B-9397-08002B2CF9AE}" pid="8" name="CommencementDate">
    <vt:lpwstr>20201130</vt:lpwstr>
  </property>
</Properties>
</file>